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r>
        <w:rPr>
          <w:rFonts w:hint="eastAsia"/>
          <w:b/>
          <w:sz w:val="52"/>
          <w:szCs w:val="52"/>
        </w:rPr>
        <w:t>台州市交通投资集团有限公司</w:t>
      </w:r>
    </w:p>
    <w:p>
      <w:pPr>
        <w:jc w:val="center"/>
        <w:rPr>
          <w:b/>
          <w:sz w:val="52"/>
          <w:szCs w:val="52"/>
        </w:rPr>
      </w:pPr>
      <w:r>
        <w:rPr>
          <w:rFonts w:hint="eastAsia"/>
          <w:b/>
          <w:sz w:val="52"/>
          <w:szCs w:val="52"/>
        </w:rPr>
        <w:t>企业年金基金受托管理人</w:t>
      </w:r>
    </w:p>
    <w:p>
      <w:pPr>
        <w:jc w:val="center"/>
        <w:rPr>
          <w:b/>
          <w:sz w:val="52"/>
          <w:szCs w:val="52"/>
        </w:rPr>
      </w:pPr>
    </w:p>
    <w:p>
      <w:pPr>
        <w:jc w:val="center"/>
        <w:rPr>
          <w:b/>
          <w:sz w:val="84"/>
          <w:szCs w:val="84"/>
        </w:rPr>
      </w:pPr>
      <w:r>
        <w:rPr>
          <w:rFonts w:hint="eastAsia"/>
          <w:b/>
          <w:sz w:val="84"/>
          <w:szCs w:val="84"/>
        </w:rPr>
        <w:t>招</w:t>
      </w:r>
    </w:p>
    <w:p>
      <w:pPr>
        <w:jc w:val="center"/>
        <w:rPr>
          <w:b/>
          <w:sz w:val="84"/>
          <w:szCs w:val="84"/>
        </w:rPr>
      </w:pPr>
      <w:r>
        <w:rPr>
          <w:rFonts w:hint="eastAsia"/>
          <w:b/>
          <w:sz w:val="84"/>
          <w:szCs w:val="84"/>
        </w:rPr>
        <w:t>标</w:t>
      </w:r>
    </w:p>
    <w:p>
      <w:pPr>
        <w:jc w:val="center"/>
        <w:rPr>
          <w:b/>
          <w:sz w:val="84"/>
          <w:szCs w:val="84"/>
        </w:rPr>
      </w:pPr>
      <w:r>
        <w:rPr>
          <w:rFonts w:hint="eastAsia"/>
          <w:b/>
          <w:sz w:val="84"/>
          <w:szCs w:val="84"/>
        </w:rPr>
        <w:t>文</w:t>
      </w:r>
    </w:p>
    <w:p>
      <w:pPr>
        <w:jc w:val="center"/>
        <w:rPr>
          <w:b/>
          <w:sz w:val="52"/>
          <w:szCs w:val="52"/>
        </w:rPr>
      </w:pPr>
      <w:r>
        <w:rPr>
          <w:rFonts w:hint="eastAsia"/>
          <w:b/>
          <w:sz w:val="84"/>
          <w:szCs w:val="84"/>
        </w:rPr>
        <w:t>件</w:t>
      </w:r>
    </w:p>
    <w:p>
      <w:pPr>
        <w:rPr>
          <w:sz w:val="36"/>
          <w:szCs w:val="36"/>
        </w:rPr>
      </w:pPr>
    </w:p>
    <w:p>
      <w:pPr>
        <w:rPr>
          <w:sz w:val="36"/>
          <w:szCs w:val="36"/>
        </w:rPr>
      </w:pPr>
    </w:p>
    <w:p>
      <w:pPr>
        <w:rPr>
          <w:sz w:val="36"/>
          <w:szCs w:val="36"/>
        </w:rPr>
      </w:pPr>
    </w:p>
    <w:p>
      <w:pPr>
        <w:ind w:firstLine="1446" w:firstLineChars="400"/>
        <w:rPr>
          <w:b/>
          <w:sz w:val="36"/>
          <w:szCs w:val="36"/>
        </w:rPr>
      </w:pPr>
      <w:r>
        <w:rPr>
          <w:rFonts w:hint="eastAsia"/>
          <w:b/>
          <w:sz w:val="36"/>
          <w:szCs w:val="36"/>
        </w:rPr>
        <w:t>项目编号：台交所招〔2016〕8号</w:t>
      </w:r>
    </w:p>
    <w:p>
      <w:pPr>
        <w:ind w:firstLine="1446" w:firstLineChars="400"/>
        <w:rPr>
          <w:b/>
          <w:sz w:val="36"/>
          <w:szCs w:val="36"/>
        </w:rPr>
      </w:pPr>
      <w:r>
        <w:rPr>
          <w:rFonts w:hint="eastAsia"/>
          <w:b/>
          <w:sz w:val="36"/>
          <w:szCs w:val="36"/>
        </w:rPr>
        <w:t>招 标 人：台州市交通投资集团有限公司</w:t>
      </w:r>
    </w:p>
    <w:p>
      <w:pPr>
        <w:ind w:firstLine="1807" w:firstLineChars="500"/>
        <w:rPr>
          <w:b/>
          <w:sz w:val="36"/>
          <w:szCs w:val="36"/>
        </w:rPr>
      </w:pPr>
    </w:p>
    <w:p>
      <w:pPr>
        <w:ind w:firstLine="1807" w:firstLineChars="500"/>
        <w:rPr>
          <w:b/>
          <w:sz w:val="36"/>
          <w:szCs w:val="36"/>
        </w:rPr>
      </w:pPr>
    </w:p>
    <w:p>
      <w:pPr>
        <w:ind w:firstLine="1446" w:firstLineChars="400"/>
        <w:rPr>
          <w:b/>
          <w:sz w:val="36"/>
          <w:szCs w:val="36"/>
        </w:rPr>
      </w:pPr>
      <w:r>
        <w:rPr>
          <w:rFonts w:hint="eastAsia" w:asciiTheme="minorEastAsia" w:hAnsiTheme="minorEastAsia"/>
          <w:b/>
          <w:bCs/>
          <w:sz w:val="36"/>
          <w:szCs w:val="36"/>
        </w:rPr>
        <w:t>台州市产权交易所有限公司</w:t>
      </w:r>
    </w:p>
    <w:p>
      <w:pPr>
        <w:ind w:firstLine="2530" w:firstLineChars="700"/>
        <w:rPr>
          <w:b/>
          <w:sz w:val="36"/>
          <w:szCs w:val="36"/>
        </w:rPr>
      </w:pPr>
      <w:r>
        <w:rPr>
          <w:rFonts w:hint="eastAsia"/>
          <w:b/>
          <w:sz w:val="36"/>
          <w:szCs w:val="36"/>
        </w:rPr>
        <w:t>2016年11月</w:t>
      </w:r>
    </w:p>
    <w:p>
      <w:pPr>
        <w:widowControl/>
        <w:rPr>
          <w:b/>
          <w:sz w:val="36"/>
          <w:szCs w:val="36"/>
        </w:rPr>
      </w:pPr>
      <w:r>
        <w:rPr>
          <w:b/>
          <w:sz w:val="36"/>
          <w:szCs w:val="36"/>
        </w:rPr>
        <w:br w:type="page"/>
      </w:r>
    </w:p>
    <w:p>
      <w:pPr>
        <w:jc w:val="center"/>
        <w:rPr>
          <w:rFonts w:ascii="宋体" w:hAnsi="宋体"/>
          <w:b/>
          <w:sz w:val="46"/>
          <w:szCs w:val="46"/>
        </w:rPr>
      </w:pPr>
      <w:r>
        <w:rPr>
          <w:rFonts w:hint="eastAsia" w:ascii="宋体" w:hAnsi="宋体"/>
          <w:b/>
          <w:sz w:val="46"/>
          <w:szCs w:val="46"/>
        </w:rPr>
        <w:t>目  录</w:t>
      </w:r>
    </w:p>
    <w:p>
      <w:pPr>
        <w:rPr>
          <w:rFonts w:ascii="仿宋_GB2312" w:hAnsi="宋体" w:eastAsia="仿宋_GB2312"/>
          <w:sz w:val="30"/>
          <w:szCs w:val="30"/>
        </w:rPr>
      </w:pPr>
    </w:p>
    <w:p>
      <w:pPr>
        <w:pStyle w:val="8"/>
        <w:tabs>
          <w:tab w:val="right" w:leader="dot" w:pos="8302"/>
        </w:tabs>
        <w:ind w:firstLine="600" w:firstLineChars="250"/>
        <w:rPr>
          <w:rFonts w:asciiTheme="minorEastAsia" w:hAnsiTheme="minorEastAsia" w:eastAsiaTheme="minorEastAsia"/>
          <w:szCs w:val="28"/>
        </w:rPr>
      </w:pP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TOC \o "1-3" \h \z \u </w:instrText>
      </w:r>
      <w:r>
        <w:rPr>
          <w:rFonts w:hint="eastAsia" w:asciiTheme="minorEastAsia" w:hAnsiTheme="minorEastAsia" w:eastAsiaTheme="minorEastAsia"/>
          <w:sz w:val="24"/>
          <w:szCs w:val="24"/>
        </w:rPr>
        <w:fldChar w:fldCharType="separate"/>
      </w:r>
      <w:r>
        <w:fldChar w:fldCharType="begin"/>
      </w:r>
      <w:r>
        <w:instrText xml:space="preserve"> HYPERLINK \l "_Toc337800356" </w:instrText>
      </w:r>
      <w:r>
        <w:fldChar w:fldCharType="separate"/>
      </w:r>
      <w:r>
        <w:rPr>
          <w:rFonts w:hint="eastAsia" w:asciiTheme="minorEastAsia" w:hAnsiTheme="minorEastAsia" w:eastAsiaTheme="minorEastAsia"/>
          <w:szCs w:val="28"/>
        </w:rPr>
        <w:t>第一章 招标公告</w:t>
      </w:r>
      <w:r>
        <w:rPr>
          <w:rFonts w:hint="eastAsia" w:asciiTheme="minorEastAsia" w:hAnsiTheme="minorEastAsia" w:eastAsiaTheme="minorEastAsia"/>
          <w:szCs w:val="28"/>
        </w:rPr>
        <w:tab/>
      </w:r>
      <w:r>
        <w:rPr>
          <w:rFonts w:hint="eastAsia" w:asciiTheme="minorEastAsia" w:hAnsiTheme="minorEastAsia" w:eastAsiaTheme="minorEastAsia"/>
          <w:szCs w:val="28"/>
        </w:rPr>
        <w:t>3</w:t>
      </w:r>
      <w:r>
        <w:rPr>
          <w:rFonts w:hint="eastAsia" w:asciiTheme="minorEastAsia" w:hAnsiTheme="minorEastAsia" w:eastAsiaTheme="minorEastAsia"/>
          <w:szCs w:val="28"/>
        </w:rPr>
        <w:fldChar w:fldCharType="end"/>
      </w:r>
    </w:p>
    <w:p>
      <w:pPr>
        <w:pStyle w:val="8"/>
        <w:tabs>
          <w:tab w:val="right" w:leader="dot" w:pos="8302"/>
        </w:tabs>
        <w:ind w:firstLine="560"/>
        <w:rPr>
          <w:rFonts w:asciiTheme="minorEastAsia" w:hAnsiTheme="minorEastAsia" w:eastAsiaTheme="minorEastAsia"/>
          <w:szCs w:val="28"/>
        </w:rPr>
      </w:pPr>
      <w:r>
        <w:fldChar w:fldCharType="begin"/>
      </w:r>
      <w:r>
        <w:instrText xml:space="preserve"> HYPERLINK \l "_Toc337800357" </w:instrText>
      </w:r>
      <w:r>
        <w:fldChar w:fldCharType="separate"/>
      </w:r>
      <w:r>
        <w:rPr>
          <w:rFonts w:hint="eastAsia" w:asciiTheme="minorEastAsia" w:hAnsiTheme="minorEastAsia" w:eastAsiaTheme="minorEastAsia"/>
          <w:szCs w:val="28"/>
        </w:rPr>
        <w:t>第二章 投标人须知</w:t>
      </w:r>
      <w:r>
        <w:rPr>
          <w:rFonts w:hint="eastAsia" w:asciiTheme="minorEastAsia" w:hAnsiTheme="minorEastAsia" w:eastAsiaTheme="minorEastAsia"/>
          <w:szCs w:val="28"/>
        </w:rPr>
        <w:tab/>
      </w:r>
      <w:r>
        <w:rPr>
          <w:rFonts w:hint="eastAsia" w:asciiTheme="minorEastAsia" w:hAnsiTheme="minorEastAsia" w:eastAsiaTheme="minorEastAsia"/>
          <w:szCs w:val="28"/>
        </w:rPr>
        <w:fldChar w:fldCharType="end"/>
      </w:r>
      <w:r>
        <w:rPr>
          <w:rFonts w:hint="eastAsia" w:ascii="宋体" w:hAnsi="宋体" w:eastAsia="宋体" w:cs="宋体"/>
        </w:rPr>
        <w:t>5</w:t>
      </w:r>
    </w:p>
    <w:p>
      <w:pPr>
        <w:pStyle w:val="8"/>
        <w:tabs>
          <w:tab w:val="right" w:leader="dot" w:pos="8302"/>
        </w:tabs>
        <w:ind w:firstLine="560"/>
        <w:rPr>
          <w:rFonts w:asciiTheme="minorEastAsia" w:hAnsiTheme="minorEastAsia" w:eastAsiaTheme="minorEastAsia"/>
          <w:szCs w:val="28"/>
        </w:rPr>
      </w:pPr>
      <w:r>
        <w:fldChar w:fldCharType="begin"/>
      </w:r>
      <w:r>
        <w:instrText xml:space="preserve"> HYPERLINK \l "_Toc337800358" </w:instrText>
      </w:r>
      <w:r>
        <w:fldChar w:fldCharType="separate"/>
      </w:r>
      <w:r>
        <w:rPr>
          <w:rFonts w:hint="eastAsia" w:asciiTheme="minorEastAsia" w:hAnsiTheme="minorEastAsia" w:eastAsiaTheme="minorEastAsia"/>
          <w:szCs w:val="28"/>
        </w:rPr>
        <w:t>第三章 投标文件的编制</w:t>
      </w:r>
      <w:r>
        <w:rPr>
          <w:rFonts w:hint="eastAsia" w:asciiTheme="minorEastAsia" w:hAnsiTheme="minorEastAsia" w:eastAsiaTheme="minorEastAsia"/>
          <w:szCs w:val="28"/>
        </w:rPr>
        <w:tab/>
      </w:r>
      <w:r>
        <w:rPr>
          <w:rFonts w:hint="eastAsia" w:asciiTheme="minorEastAsia" w:hAnsiTheme="minorEastAsia" w:eastAsiaTheme="minorEastAsia"/>
          <w:szCs w:val="28"/>
        </w:rPr>
        <w:t>8</w:t>
      </w:r>
      <w:r>
        <w:rPr>
          <w:rFonts w:hint="eastAsia" w:asciiTheme="minorEastAsia" w:hAnsiTheme="minorEastAsia" w:eastAsiaTheme="minorEastAsia"/>
          <w:szCs w:val="28"/>
        </w:rPr>
        <w:fldChar w:fldCharType="end"/>
      </w:r>
    </w:p>
    <w:p>
      <w:pPr>
        <w:pStyle w:val="8"/>
        <w:tabs>
          <w:tab w:val="right" w:leader="dot" w:pos="8302"/>
        </w:tabs>
        <w:ind w:firstLine="560"/>
        <w:rPr>
          <w:rFonts w:asciiTheme="minorEastAsia" w:hAnsiTheme="minorEastAsia" w:eastAsiaTheme="minorEastAsia"/>
          <w:szCs w:val="28"/>
        </w:rPr>
      </w:pPr>
      <w:r>
        <w:fldChar w:fldCharType="begin"/>
      </w:r>
      <w:r>
        <w:instrText xml:space="preserve"> HYPERLINK \l "_Toc337800359" </w:instrText>
      </w:r>
      <w:r>
        <w:fldChar w:fldCharType="separate"/>
      </w:r>
      <w:r>
        <w:rPr>
          <w:rFonts w:hint="eastAsia" w:asciiTheme="minorEastAsia" w:hAnsiTheme="minorEastAsia" w:eastAsiaTheme="minorEastAsia"/>
          <w:szCs w:val="28"/>
        </w:rPr>
        <w:t>第四章 评标及合同签订</w:t>
      </w:r>
      <w:r>
        <w:rPr>
          <w:rFonts w:hint="eastAsia" w:asciiTheme="minorEastAsia" w:hAnsiTheme="minorEastAsia" w:eastAsiaTheme="minorEastAsia"/>
          <w:szCs w:val="28"/>
        </w:rPr>
        <w:tab/>
      </w:r>
      <w:r>
        <w:rPr>
          <w:rFonts w:hint="eastAsia" w:asciiTheme="minorEastAsia" w:hAnsiTheme="minorEastAsia" w:eastAsiaTheme="minorEastAsia"/>
          <w:szCs w:val="28"/>
        </w:rPr>
        <w:t>10</w:t>
      </w:r>
      <w:r>
        <w:rPr>
          <w:rFonts w:hint="eastAsia" w:asciiTheme="minorEastAsia" w:hAnsiTheme="minorEastAsia" w:eastAsiaTheme="minorEastAsia"/>
          <w:szCs w:val="28"/>
        </w:rPr>
        <w:fldChar w:fldCharType="end"/>
      </w:r>
    </w:p>
    <w:p>
      <w:pPr>
        <w:pStyle w:val="8"/>
        <w:tabs>
          <w:tab w:val="right" w:leader="dot" w:pos="8302"/>
        </w:tabs>
        <w:ind w:firstLine="560"/>
        <w:rPr>
          <w:rFonts w:asciiTheme="minorEastAsia" w:hAnsiTheme="minorEastAsia" w:eastAsiaTheme="minorEastAsia"/>
          <w:szCs w:val="28"/>
        </w:rPr>
      </w:pPr>
      <w:r>
        <w:fldChar w:fldCharType="begin"/>
      </w:r>
      <w:r>
        <w:instrText xml:space="preserve"> HYPERLINK \l "_Toc337800360" </w:instrText>
      </w:r>
      <w:r>
        <w:fldChar w:fldCharType="separate"/>
      </w:r>
      <w:r>
        <w:rPr>
          <w:rFonts w:hint="eastAsia" w:asciiTheme="minorEastAsia" w:hAnsiTheme="minorEastAsia" w:eastAsiaTheme="minorEastAsia"/>
          <w:szCs w:val="28"/>
        </w:rPr>
        <w:t>第五章</w:t>
      </w:r>
      <w:r>
        <w:rPr>
          <w:rFonts w:hint="eastAsia" w:asciiTheme="minorEastAsia" w:hAnsiTheme="minorEastAsia" w:eastAsiaTheme="minorEastAsia"/>
          <w:szCs w:val="28"/>
          <w:lang w:val="en-US" w:eastAsia="zh-CN"/>
        </w:rPr>
        <w:t xml:space="preserve"> </w:t>
      </w:r>
      <w:r>
        <w:rPr>
          <w:rFonts w:hint="eastAsia" w:asciiTheme="minorEastAsia" w:hAnsiTheme="minorEastAsia" w:eastAsiaTheme="minorEastAsia"/>
          <w:szCs w:val="28"/>
          <w:lang w:eastAsia="zh-CN"/>
        </w:rPr>
        <w:t>评分标准</w:t>
      </w:r>
      <w:r>
        <w:rPr>
          <w:rFonts w:hint="eastAsia" w:asciiTheme="minorEastAsia" w:hAnsiTheme="minorEastAsia" w:eastAsiaTheme="minorEastAsia"/>
          <w:szCs w:val="28"/>
        </w:rPr>
        <w:tab/>
      </w:r>
      <w:r>
        <w:rPr>
          <w:rFonts w:hint="eastAsia" w:asciiTheme="minorEastAsia" w:hAnsiTheme="minorEastAsia" w:eastAsiaTheme="minorEastAsia"/>
          <w:szCs w:val="28"/>
        </w:rPr>
        <w:t>1</w:t>
      </w:r>
      <w:r>
        <w:rPr>
          <w:rFonts w:hint="eastAsia" w:asciiTheme="minorEastAsia" w:hAnsiTheme="minorEastAsia" w:eastAsiaTheme="minorEastAsia"/>
          <w:szCs w:val="28"/>
        </w:rPr>
        <w:fldChar w:fldCharType="end"/>
      </w:r>
      <w:r>
        <w:rPr>
          <w:rFonts w:hint="eastAsia" w:asciiTheme="minorEastAsia" w:hAnsiTheme="minorEastAsia" w:eastAsiaTheme="minorEastAsia"/>
          <w:szCs w:val="28"/>
        </w:rPr>
        <w:t>4</w:t>
      </w:r>
    </w:p>
    <w:p>
      <w:pPr>
        <w:pStyle w:val="8"/>
        <w:tabs>
          <w:tab w:val="right" w:leader="dot" w:pos="8302"/>
        </w:tabs>
        <w:ind w:firstLine="480"/>
        <w:rPr>
          <w:rFonts w:asciiTheme="minorEastAsia" w:hAnsiTheme="minorEastAsia" w:eastAsiaTheme="minorEastAsia"/>
          <w:sz w:val="24"/>
          <w:szCs w:val="24"/>
        </w:rPr>
      </w:pPr>
      <w:r>
        <w:rPr>
          <w:rFonts w:hint="eastAsia" w:asciiTheme="minorEastAsia" w:hAnsiTheme="minorEastAsia" w:eastAsiaTheme="minorEastAsia"/>
          <w:sz w:val="24"/>
          <w:szCs w:val="24"/>
        </w:rPr>
        <w:fldChar w:fldCharType="end"/>
      </w: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jc w:val="center"/>
        <w:rPr>
          <w:b/>
          <w:kern w:val="44"/>
          <w:sz w:val="36"/>
          <w:szCs w:val="36"/>
        </w:rPr>
      </w:pPr>
    </w:p>
    <w:p>
      <w:pPr>
        <w:rPr>
          <w:b/>
          <w:kern w:val="44"/>
          <w:sz w:val="36"/>
          <w:szCs w:val="36"/>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docGrid w:type="lines" w:linePitch="312" w:charSpace="0"/>
        </w:sectPr>
      </w:pPr>
    </w:p>
    <w:p>
      <w:pPr>
        <w:ind w:firstLine="1970" w:firstLineChars="545"/>
        <w:rPr>
          <w:b/>
          <w:kern w:val="44"/>
          <w:sz w:val="36"/>
          <w:szCs w:val="36"/>
        </w:rPr>
      </w:pPr>
      <w:r>
        <w:rPr>
          <w:rFonts w:hint="eastAsia"/>
          <w:b/>
          <w:kern w:val="44"/>
          <w:sz w:val="36"/>
          <w:szCs w:val="36"/>
        </w:rPr>
        <w:t>第一章  招标公告</w:t>
      </w:r>
    </w:p>
    <w:p>
      <w:pPr>
        <w:rPr>
          <w:b/>
          <w:kern w:val="44"/>
          <w:sz w:val="36"/>
          <w:szCs w:val="36"/>
        </w:rPr>
      </w:pPr>
      <w:r>
        <w:rPr>
          <w:rFonts w:hint="eastAsia" w:ascii="宋体" w:hAnsi="宋体" w:eastAsia="宋体"/>
          <w:b/>
          <w:sz w:val="24"/>
          <w:szCs w:val="24"/>
        </w:rPr>
        <w:t>1. 招标内容</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1.1概述：台州市交通投资集团有限公司为实现企业年金基金规范运作，维护企业年金基金受益人的利益，公开进行企业年金基金</w:t>
      </w:r>
      <w:r>
        <w:rPr>
          <w:rFonts w:hint="eastAsia" w:ascii="宋体" w:hAnsi="宋体" w:eastAsia="宋体" w:cs="宋体"/>
          <w:sz w:val="24"/>
          <w:szCs w:val="24"/>
        </w:rPr>
        <w:t>受托</w:t>
      </w:r>
      <w:r>
        <w:rPr>
          <w:rFonts w:hint="eastAsia" w:ascii="宋体" w:hAnsi="宋体" w:eastAsia="宋体"/>
          <w:sz w:val="24"/>
          <w:szCs w:val="24"/>
        </w:rPr>
        <w:t>管理人的招标。</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1.2项目名称：台州市交通投资集团有限公司企业年金基金受托管理项目。</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1.3用途：企业年金基金管理。</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1.4人数、资金：约</w:t>
      </w:r>
      <w:r>
        <w:rPr>
          <w:rFonts w:hint="eastAsia" w:ascii="宋体" w:hAnsi="宋体" w:eastAsia="宋体"/>
          <w:sz w:val="24"/>
          <w:szCs w:val="24"/>
          <w:u w:val="single"/>
        </w:rPr>
        <w:t>40</w:t>
      </w:r>
      <w:r>
        <w:rPr>
          <w:rFonts w:hint="eastAsia" w:ascii="宋体" w:hAnsi="宋体" w:eastAsia="宋体"/>
          <w:sz w:val="24"/>
          <w:szCs w:val="24"/>
        </w:rPr>
        <w:t>人，企业年金基金管理规模约人民币</w:t>
      </w:r>
      <w:r>
        <w:rPr>
          <w:rFonts w:hint="eastAsia" w:ascii="宋体" w:hAnsi="宋体" w:eastAsia="宋体"/>
          <w:sz w:val="24"/>
          <w:szCs w:val="24"/>
          <w:u w:val="single"/>
        </w:rPr>
        <w:t>30</w:t>
      </w:r>
      <w:r>
        <w:rPr>
          <w:rFonts w:hint="eastAsia" w:ascii="宋体" w:hAnsi="宋体" w:eastAsia="宋体"/>
          <w:sz w:val="24"/>
          <w:szCs w:val="24"/>
        </w:rPr>
        <w:t>万元（首年）（实际缴费规模以该项目正式启动后委托人提供数据为准）。</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1.5管理服务期限</w:t>
      </w:r>
      <w:r>
        <w:rPr>
          <w:rFonts w:hint="eastAsia" w:ascii="宋体" w:hAnsi="宋体" w:eastAsia="宋体" w:cs="宋体"/>
          <w:sz w:val="24"/>
          <w:szCs w:val="24"/>
        </w:rPr>
        <w:t>三</w:t>
      </w:r>
      <w:r>
        <w:rPr>
          <w:rFonts w:hint="eastAsia" w:ascii="宋体" w:hAnsi="宋体" w:eastAsia="宋体"/>
          <w:sz w:val="24"/>
          <w:szCs w:val="24"/>
        </w:rPr>
        <w:t>年:自企业年金基金受托管理合同签订之日起计。</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1.6响应条件：投标文件响应招标文件要求。</w:t>
      </w:r>
    </w:p>
    <w:p>
      <w:pPr>
        <w:spacing w:line="360" w:lineRule="auto"/>
        <w:ind w:firstLine="120" w:firstLineChars="50"/>
        <w:rPr>
          <w:rFonts w:ascii="宋体" w:hAnsi="宋体" w:eastAsia="宋体"/>
          <w:sz w:val="24"/>
          <w:szCs w:val="24"/>
        </w:rPr>
      </w:pPr>
    </w:p>
    <w:p>
      <w:pPr>
        <w:numPr>
          <w:ilvl w:val="0"/>
          <w:numId w:val="1"/>
        </w:numPr>
        <w:spacing w:line="360" w:lineRule="auto"/>
        <w:rPr>
          <w:rFonts w:ascii="宋体" w:hAnsi="宋体" w:eastAsia="宋体"/>
          <w:b/>
          <w:sz w:val="24"/>
          <w:szCs w:val="24"/>
        </w:rPr>
      </w:pPr>
      <w:r>
        <w:rPr>
          <w:rFonts w:hint="eastAsia" w:ascii="宋体" w:hAnsi="宋体" w:eastAsia="宋体"/>
          <w:b/>
          <w:sz w:val="24"/>
          <w:szCs w:val="24"/>
        </w:rPr>
        <w:t>招标文件领取</w:t>
      </w:r>
    </w:p>
    <w:p>
      <w:pPr>
        <w:widowControl/>
        <w:spacing w:line="360" w:lineRule="auto"/>
        <w:jc w:val="left"/>
        <w:rPr>
          <w:rFonts w:ascii="宋体" w:hAnsi="宋体" w:cs="宋体"/>
          <w:kern w:val="0"/>
          <w:sz w:val="24"/>
        </w:rPr>
      </w:pPr>
      <w:r>
        <w:rPr>
          <w:rFonts w:hint="eastAsia" w:ascii="宋体" w:hAnsi="宋体" w:cs="宋体"/>
          <w:kern w:val="0"/>
          <w:sz w:val="24"/>
        </w:rPr>
        <w:t xml:space="preserve">   2.1本项目招标文件和补充（答疑、澄清）、修改文件以台州市公共资源交易中心网（http://www.tzztb.com）、台州市产权交易网（http://www.tzpre.com）上下载方式发放 ；</w:t>
      </w:r>
    </w:p>
    <w:p>
      <w:pPr>
        <w:widowControl/>
        <w:spacing w:line="360" w:lineRule="auto"/>
        <w:jc w:val="left"/>
        <w:rPr>
          <w:rFonts w:ascii="宋体" w:hAnsi="宋体" w:cs="宋体"/>
          <w:kern w:val="0"/>
          <w:sz w:val="24"/>
        </w:rPr>
      </w:pPr>
      <w:r>
        <w:rPr>
          <w:rFonts w:hint="eastAsia" w:ascii="宋体" w:hAnsi="宋体" w:cs="宋体"/>
          <w:kern w:val="0"/>
          <w:sz w:val="24"/>
        </w:rPr>
        <w:t xml:space="preserve">   2.2招标文件收取工本费300元，投标人在递交投标文件时缴纳；</w:t>
      </w:r>
    </w:p>
    <w:p>
      <w:pPr>
        <w:spacing w:line="360" w:lineRule="auto"/>
        <w:rPr>
          <w:rFonts w:ascii="宋体" w:hAnsi="宋体" w:eastAsia="宋体"/>
          <w:b/>
          <w:sz w:val="24"/>
          <w:szCs w:val="24"/>
        </w:rPr>
      </w:pPr>
      <w:r>
        <w:rPr>
          <w:rFonts w:hint="eastAsia" w:ascii="宋体" w:hAnsi="宋体" w:cs="宋体"/>
          <w:kern w:val="0"/>
          <w:sz w:val="24"/>
        </w:rPr>
        <w:t>联系人：潘小姐          电话：0576-88685180</w:t>
      </w:r>
    </w:p>
    <w:p>
      <w:pPr>
        <w:widowControl/>
        <w:spacing w:line="360" w:lineRule="auto"/>
        <w:jc w:val="left"/>
        <w:rPr>
          <w:rFonts w:ascii="宋体" w:hAnsi="宋体" w:cs="宋体"/>
          <w:kern w:val="0"/>
          <w:sz w:val="24"/>
        </w:rPr>
      </w:pPr>
    </w:p>
    <w:p>
      <w:pPr>
        <w:spacing w:line="360" w:lineRule="auto"/>
        <w:rPr>
          <w:rFonts w:ascii="宋体" w:hAnsi="宋体" w:eastAsia="宋体"/>
          <w:b/>
          <w:sz w:val="24"/>
          <w:szCs w:val="24"/>
        </w:rPr>
      </w:pPr>
      <w:r>
        <w:rPr>
          <w:rFonts w:hint="eastAsia" w:ascii="宋体" w:hAnsi="宋体" w:eastAsia="宋体"/>
          <w:b/>
          <w:sz w:val="24"/>
          <w:szCs w:val="24"/>
        </w:rPr>
        <w:t>3. 投标人资格和要求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3.1投标人须具有国家人力资源和社会保障部认定的企业年金基金受托管理人资格。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3.2投标人必须具有独立法人资格或经其授权具有独立投标能力的省级分公司或地市级分公司或中心支公司，参加投标需提供总公司授权书（同一总公司只允许授权一家省级分公司或地市级分公司或中心支公司参加投标，否则均按否决投标处理）,一旦投标书开标并认定，中标人必须按照投标书的承诺履行。</w:t>
      </w:r>
    </w:p>
    <w:p>
      <w:pPr>
        <w:spacing w:line="360" w:lineRule="auto"/>
        <w:rPr>
          <w:rFonts w:ascii="宋体" w:hAnsi="宋体" w:eastAsia="宋体"/>
          <w:sz w:val="24"/>
          <w:szCs w:val="24"/>
        </w:rPr>
      </w:pPr>
      <w:r>
        <w:rPr>
          <w:rFonts w:hint="eastAsia" w:ascii="宋体" w:hAnsi="宋体" w:eastAsia="宋体"/>
          <w:sz w:val="24"/>
          <w:szCs w:val="24"/>
        </w:rPr>
        <w:t>3.3</w:t>
      </w:r>
      <w:r>
        <w:rPr>
          <w:rFonts w:hint="eastAsia" w:ascii="宋体" w:hAnsi="宋体" w:eastAsia="宋体"/>
          <w:bCs/>
          <w:sz w:val="24"/>
          <w:szCs w:val="24"/>
        </w:rPr>
        <w:t>本次招标采用</w:t>
      </w:r>
      <w:r>
        <w:rPr>
          <w:rFonts w:hint="eastAsia" w:ascii="宋体" w:hAnsi="宋体" w:eastAsia="宋体" w:cs="宋体"/>
          <w:bCs/>
          <w:sz w:val="24"/>
          <w:szCs w:val="24"/>
        </w:rPr>
        <w:t>集合计划</w:t>
      </w:r>
      <w:r>
        <w:rPr>
          <w:rFonts w:hint="eastAsia" w:ascii="宋体" w:hAnsi="宋体" w:eastAsia="宋体"/>
          <w:bCs/>
          <w:sz w:val="24"/>
          <w:szCs w:val="24"/>
        </w:rPr>
        <w:t>管理模式，投标人所有相关的</w:t>
      </w:r>
      <w:r>
        <w:rPr>
          <w:rFonts w:hint="eastAsia" w:ascii="宋体" w:hAnsi="宋体" w:eastAsia="宋体" w:cs="宋体"/>
          <w:bCs/>
          <w:sz w:val="24"/>
          <w:szCs w:val="24"/>
        </w:rPr>
        <w:t>材料与信息都需要</w:t>
      </w:r>
      <w:r>
        <w:rPr>
          <w:rFonts w:hint="eastAsia" w:ascii="宋体" w:hAnsi="宋体" w:eastAsia="宋体"/>
          <w:bCs/>
          <w:sz w:val="24"/>
          <w:szCs w:val="24"/>
        </w:rPr>
        <w:t>投标</w:t>
      </w:r>
      <w:r>
        <w:rPr>
          <w:rFonts w:hint="eastAsia" w:ascii="宋体" w:hAnsi="宋体" w:eastAsia="宋体" w:cs="宋体"/>
          <w:bCs/>
          <w:sz w:val="24"/>
          <w:szCs w:val="24"/>
        </w:rPr>
        <w:t>机构盖章。</w:t>
      </w:r>
    </w:p>
    <w:p>
      <w:pPr>
        <w:widowControl/>
        <w:spacing w:line="360" w:lineRule="auto"/>
        <w:jc w:val="left"/>
        <w:rPr>
          <w:rFonts w:ascii="宋体" w:hAnsi="宋体" w:cs="宋体"/>
          <w:kern w:val="0"/>
          <w:sz w:val="24"/>
        </w:rPr>
      </w:pPr>
    </w:p>
    <w:p>
      <w:pPr>
        <w:widowControl/>
        <w:spacing w:line="360" w:lineRule="auto"/>
        <w:jc w:val="left"/>
        <w:rPr>
          <w:rFonts w:ascii="宋体" w:hAnsi="宋体" w:cs="宋体"/>
          <w:kern w:val="0"/>
          <w:sz w:val="24"/>
        </w:rPr>
      </w:pPr>
      <w:r>
        <w:rPr>
          <w:rFonts w:hint="eastAsia" w:ascii="宋体" w:hAnsi="宋体" w:cs="宋体"/>
          <w:b/>
          <w:kern w:val="0"/>
          <w:sz w:val="24"/>
        </w:rPr>
        <w:t>4.投标保证金：</w:t>
      </w:r>
    </w:p>
    <w:p>
      <w:pPr>
        <w:widowControl/>
        <w:spacing w:line="360" w:lineRule="auto"/>
        <w:jc w:val="left"/>
        <w:rPr>
          <w:rFonts w:ascii="宋体" w:hAnsi="宋体" w:cs="宋体"/>
          <w:kern w:val="0"/>
          <w:sz w:val="24"/>
          <w:u w:val="single"/>
        </w:rPr>
      </w:pPr>
      <w:r>
        <w:rPr>
          <w:rFonts w:hint="eastAsia" w:ascii="宋体" w:hAnsi="宋体" w:cs="宋体"/>
          <w:kern w:val="0"/>
          <w:sz w:val="24"/>
          <w:u w:val="single"/>
        </w:rPr>
        <w:t>4.1担保金额：5000元；</w:t>
      </w:r>
    </w:p>
    <w:p>
      <w:pPr>
        <w:widowControl/>
        <w:spacing w:line="360" w:lineRule="auto"/>
        <w:jc w:val="left"/>
        <w:rPr>
          <w:rFonts w:ascii="宋体" w:hAnsi="宋体" w:cs="宋体"/>
          <w:kern w:val="0"/>
          <w:sz w:val="24"/>
        </w:rPr>
      </w:pPr>
      <w:r>
        <w:rPr>
          <w:rFonts w:hint="eastAsia" w:ascii="宋体" w:hAnsi="宋体" w:cs="宋体"/>
          <w:kern w:val="0"/>
          <w:sz w:val="24"/>
        </w:rPr>
        <w:t>担保形式：投标人出具的银行汇票、转帐支票或电汇等非现金方式；</w:t>
      </w:r>
      <w:r>
        <w:rPr>
          <w:rFonts w:hint="eastAsia" w:ascii="宋体" w:hAnsi="宋体" w:cs="宋体"/>
          <w:kern w:val="0"/>
          <w:sz w:val="24"/>
        </w:rPr>
        <w:br w:type="textWrapping"/>
      </w:r>
      <w:r>
        <w:rPr>
          <w:rFonts w:hint="eastAsia" w:ascii="宋体" w:hAnsi="宋体" w:cs="宋体"/>
          <w:kern w:val="0"/>
          <w:sz w:val="24"/>
        </w:rPr>
        <w:t>收款单位：台州市产权交易所有限公司；</w:t>
      </w:r>
    </w:p>
    <w:p>
      <w:pPr>
        <w:widowControl/>
        <w:spacing w:line="360" w:lineRule="auto"/>
        <w:jc w:val="left"/>
        <w:rPr>
          <w:rFonts w:ascii="宋体" w:hAnsi="宋体" w:cs="宋体"/>
          <w:kern w:val="0"/>
          <w:sz w:val="24"/>
        </w:rPr>
      </w:pPr>
      <w:r>
        <w:rPr>
          <w:rFonts w:hint="eastAsia" w:ascii="宋体" w:hAnsi="宋体" w:cs="宋体"/>
          <w:kern w:val="0"/>
          <w:sz w:val="24"/>
        </w:rPr>
        <w:t>开户银行：浙江民泰商业银行台州椒江支行；</w:t>
      </w:r>
    </w:p>
    <w:p>
      <w:pPr>
        <w:spacing w:line="360" w:lineRule="auto"/>
        <w:rPr>
          <w:rFonts w:ascii="宋体" w:hAnsi="宋体" w:cs="宋体"/>
          <w:kern w:val="0"/>
          <w:sz w:val="24"/>
        </w:rPr>
      </w:pPr>
      <w:r>
        <w:rPr>
          <w:rFonts w:hint="eastAsia" w:ascii="宋体" w:hAnsi="宋体" w:cs="宋体"/>
          <w:kern w:val="0"/>
          <w:sz w:val="24"/>
        </w:rPr>
        <w:t>银行帐号：583016260800015；</w:t>
      </w:r>
      <w:r>
        <w:rPr>
          <w:rFonts w:hint="eastAsia" w:ascii="宋体" w:hAnsi="宋体" w:cs="宋体"/>
          <w:kern w:val="0"/>
          <w:sz w:val="24"/>
        </w:rPr>
        <w:br w:type="textWrapping"/>
      </w:r>
      <w:r>
        <w:rPr>
          <w:rFonts w:hint="eastAsia" w:ascii="宋体" w:hAnsi="宋体" w:cs="宋体"/>
          <w:kern w:val="0"/>
          <w:sz w:val="24"/>
        </w:rPr>
        <w:t>4.2担保提交地址：台州市产权交易所有限公司；</w:t>
      </w:r>
      <w:r>
        <w:rPr>
          <w:rFonts w:hint="eastAsia" w:ascii="宋体" w:hAnsi="宋体" w:cs="宋体"/>
          <w:kern w:val="0"/>
          <w:sz w:val="24"/>
        </w:rPr>
        <w:br w:type="textWrapping"/>
      </w:r>
      <w:r>
        <w:rPr>
          <w:rFonts w:hint="eastAsia" w:ascii="宋体" w:hAnsi="宋体" w:cs="宋体"/>
          <w:kern w:val="0"/>
          <w:sz w:val="24"/>
        </w:rPr>
        <w:t>联系人电话：0576-88685153；</w:t>
      </w:r>
      <w:r>
        <w:rPr>
          <w:rFonts w:hint="eastAsia" w:ascii="宋体" w:hAnsi="宋体" w:cs="宋体"/>
          <w:kern w:val="0"/>
          <w:sz w:val="24"/>
        </w:rPr>
        <w:br w:type="textWrapping"/>
      </w:r>
      <w:r>
        <w:rPr>
          <w:rFonts w:hint="eastAsia" w:ascii="宋体" w:hAnsi="宋体" w:cs="宋体"/>
          <w:kern w:val="0"/>
          <w:sz w:val="24"/>
          <w:u w:val="single"/>
        </w:rPr>
        <w:t>投标人凭转账、汇款凭证复印件或银行汇票到台州市产权交易所有限公司领取投标担保确认单</w:t>
      </w:r>
      <w:r>
        <w:rPr>
          <w:rFonts w:hint="eastAsia" w:ascii="宋体" w:hAnsi="宋体" w:cs="宋体"/>
          <w:kern w:val="0"/>
          <w:sz w:val="24"/>
        </w:rPr>
        <w:t>；</w:t>
      </w:r>
      <w:r>
        <w:rPr>
          <w:rFonts w:hint="eastAsia" w:ascii="宋体" w:hAnsi="宋体" w:cs="宋体"/>
          <w:kern w:val="0"/>
          <w:sz w:val="24"/>
        </w:rPr>
        <w:br w:type="textWrapping"/>
      </w:r>
      <w:r>
        <w:rPr>
          <w:rFonts w:hint="eastAsia" w:ascii="宋体" w:hAnsi="宋体" w:cs="宋体"/>
          <w:kern w:val="0"/>
          <w:sz w:val="24"/>
        </w:rPr>
        <w:t>建议投标人在投标文件提交截止期前1小时办妥投标担保并领取投标担保确认单。</w:t>
      </w:r>
    </w:p>
    <w:p>
      <w:pPr>
        <w:spacing w:line="360" w:lineRule="auto"/>
        <w:rPr>
          <w:rFonts w:ascii="宋体" w:hAnsi="宋体" w:cs="宋体"/>
          <w:kern w:val="0"/>
          <w:sz w:val="24"/>
        </w:rPr>
      </w:pPr>
    </w:p>
    <w:p>
      <w:pPr>
        <w:spacing w:line="360" w:lineRule="auto"/>
        <w:rPr>
          <w:rFonts w:ascii="宋体" w:hAnsi="宋体" w:eastAsia="宋体"/>
          <w:sz w:val="24"/>
          <w:szCs w:val="24"/>
        </w:rPr>
      </w:pPr>
      <w:r>
        <w:rPr>
          <w:rFonts w:hint="eastAsia" w:ascii="宋体" w:hAnsi="宋体" w:eastAsia="宋体"/>
          <w:b/>
          <w:bCs/>
          <w:sz w:val="24"/>
          <w:szCs w:val="24"/>
        </w:rPr>
        <w:t xml:space="preserve">5. </w:t>
      </w:r>
      <w:r>
        <w:rPr>
          <w:rFonts w:hint="eastAsia" w:ascii="宋体" w:hAnsi="宋体" w:eastAsia="宋体"/>
          <w:b/>
          <w:sz w:val="24"/>
          <w:szCs w:val="24"/>
        </w:rPr>
        <w:t>投标时间和地点</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5.1投标书递交截止时间：2016年12月6日上午9时30分前。逾期提交，恕不接受。</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5.2递送地点：台州市公共资源交易中心三楼大开标室</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6. 其他事项</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6.1 本招标文件的所有信息均为招标人内部数据，受到法律保护，招标人、投标人应就招投标活动过程中知悉的对方信息承担保密义务，保密义务不因招标行为的终止而终止。</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7. 联系方式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 xml:space="preserve">7.1联系单位： </w:t>
      </w:r>
      <w:r>
        <w:rPr>
          <w:rFonts w:hint="eastAsia" w:ascii="宋体" w:hAnsi="宋体" w:eastAsia="宋体"/>
          <w:bCs/>
          <w:sz w:val="24"/>
          <w:szCs w:val="24"/>
        </w:rPr>
        <w:t>台州市产权交易所有限公司</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7.2地 址：台州市市府大道777号民泰银行5楼511室</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7.3联系人：潘小姐    电话：0576—88685180</w:t>
      </w:r>
    </w:p>
    <w:p>
      <w:pPr>
        <w:spacing w:line="360" w:lineRule="auto"/>
        <w:ind w:firstLine="480" w:firstLineChars="200"/>
        <w:rPr>
          <w:rFonts w:ascii="宋体" w:hAnsi="宋体" w:eastAsia="宋体"/>
          <w:sz w:val="24"/>
          <w:szCs w:val="24"/>
        </w:rPr>
      </w:pPr>
      <w:r>
        <w:rPr>
          <w:rFonts w:hint="eastAsia" w:ascii="宋体" w:hAnsi="宋体" w:eastAsia="宋体"/>
          <w:sz w:val="24"/>
          <w:szCs w:val="24"/>
        </w:rPr>
        <w:t>7.4招标文件咨询,联系人：岳拴青      联系电话：13989656628</w:t>
      </w:r>
    </w:p>
    <w:p>
      <w:pPr>
        <w:widowControl/>
        <w:spacing w:line="360" w:lineRule="auto"/>
        <w:ind w:firstLine="2160" w:firstLineChars="900"/>
        <w:jc w:val="left"/>
        <w:rPr>
          <w:rFonts w:asciiTheme="minorEastAsia" w:hAnsiTheme="minorEastAsia"/>
          <w:sz w:val="24"/>
          <w:szCs w:val="24"/>
        </w:rPr>
      </w:pPr>
      <w:r>
        <w:rPr>
          <w:rFonts w:asciiTheme="minorEastAsia" w:hAnsiTheme="minorEastAsia"/>
          <w:sz w:val="24"/>
          <w:szCs w:val="24"/>
        </w:rPr>
        <w:br w:type="page"/>
      </w:r>
      <w:r>
        <w:rPr>
          <w:rFonts w:hint="eastAsia"/>
          <w:b/>
          <w:kern w:val="44"/>
          <w:sz w:val="36"/>
          <w:szCs w:val="36"/>
        </w:rPr>
        <w:t>第二章  投标人须知</w:t>
      </w:r>
    </w:p>
    <w:p>
      <w:pPr>
        <w:spacing w:line="360" w:lineRule="auto"/>
        <w:rPr>
          <w:rFonts w:asciiTheme="minorEastAsia" w:hAnsiTheme="minorEastAsia"/>
          <w:b/>
          <w:sz w:val="24"/>
          <w:szCs w:val="24"/>
        </w:rPr>
      </w:pPr>
    </w:p>
    <w:p>
      <w:pPr>
        <w:spacing w:line="360" w:lineRule="auto"/>
        <w:rPr>
          <w:rFonts w:ascii="宋体" w:hAnsi="宋体" w:eastAsia="宋体"/>
          <w:b/>
          <w:sz w:val="24"/>
          <w:szCs w:val="24"/>
        </w:rPr>
      </w:pPr>
      <w:r>
        <w:rPr>
          <w:rFonts w:hint="eastAsia" w:ascii="宋体" w:hAnsi="宋体" w:eastAsia="宋体"/>
          <w:b/>
          <w:sz w:val="24"/>
          <w:szCs w:val="24"/>
        </w:rPr>
        <w:t>1. 投标人资格和要求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投标人须具有国家人力资源和社会保障部认定的企业年金基金受托管理人资格，必须具有独立法人资格或经其授权具有独立投标能力，其代表必须是经投标人合法授权的、能够完全代表投标人行为的人，一旦投标书开标并认定，中标人必须按照投标书的承诺履行。</w:t>
      </w:r>
    </w:p>
    <w:p>
      <w:pPr>
        <w:spacing w:line="360" w:lineRule="auto"/>
        <w:rPr>
          <w:rFonts w:ascii="宋体" w:hAnsi="宋体" w:eastAsia="宋体"/>
          <w:sz w:val="24"/>
          <w:szCs w:val="24"/>
        </w:rPr>
      </w:pPr>
      <w:r>
        <w:rPr>
          <w:rFonts w:hint="eastAsia" w:ascii="宋体" w:hAnsi="宋体" w:eastAsia="宋体"/>
          <w:sz w:val="24"/>
          <w:szCs w:val="24"/>
        </w:rPr>
        <w:t xml:space="preserve">   1.2</w:t>
      </w:r>
      <w:r>
        <w:rPr>
          <w:rFonts w:hint="eastAsia" w:ascii="宋体" w:hAnsi="宋体" w:eastAsia="宋体"/>
          <w:bCs/>
          <w:sz w:val="24"/>
          <w:szCs w:val="24"/>
        </w:rPr>
        <w:t>本次招标采用</w:t>
      </w:r>
      <w:r>
        <w:rPr>
          <w:rFonts w:hint="eastAsia" w:ascii="宋体" w:hAnsi="宋体" w:eastAsia="宋体" w:cs="宋体"/>
          <w:bCs/>
          <w:sz w:val="24"/>
          <w:szCs w:val="24"/>
        </w:rPr>
        <w:t>集合计划</w:t>
      </w:r>
      <w:r>
        <w:rPr>
          <w:rFonts w:hint="eastAsia" w:ascii="宋体" w:hAnsi="宋体" w:eastAsia="宋体"/>
          <w:bCs/>
          <w:sz w:val="24"/>
          <w:szCs w:val="24"/>
        </w:rPr>
        <w:t>管理模式，参加投标的</w:t>
      </w:r>
      <w:r>
        <w:rPr>
          <w:rFonts w:hint="eastAsia" w:ascii="宋体" w:hAnsi="宋体" w:eastAsia="宋体" w:cs="宋体"/>
          <w:bCs/>
          <w:sz w:val="24"/>
          <w:szCs w:val="24"/>
        </w:rPr>
        <w:t>受托</w:t>
      </w:r>
      <w:r>
        <w:rPr>
          <w:rFonts w:hint="eastAsia" w:ascii="宋体" w:hAnsi="宋体" w:eastAsia="宋体"/>
          <w:bCs/>
          <w:sz w:val="24"/>
          <w:szCs w:val="24"/>
        </w:rPr>
        <w:t>管理人需推荐两个</w:t>
      </w:r>
      <w:r>
        <w:rPr>
          <w:rFonts w:hint="eastAsia" w:ascii="宋体" w:hAnsi="宋体" w:eastAsia="宋体" w:cs="宋体"/>
          <w:bCs/>
          <w:sz w:val="24"/>
          <w:szCs w:val="24"/>
        </w:rPr>
        <w:t>集合计划</w:t>
      </w:r>
      <w:r>
        <w:rPr>
          <w:rFonts w:hint="eastAsia" w:ascii="宋体" w:hAnsi="宋体" w:eastAsia="宋体"/>
          <w:bCs/>
          <w:sz w:val="24"/>
          <w:szCs w:val="24"/>
        </w:rPr>
        <w:t>方案，</w:t>
      </w:r>
      <w:r>
        <w:rPr>
          <w:rFonts w:hint="eastAsia" w:ascii="宋体" w:hAnsi="宋体" w:eastAsia="宋体"/>
          <w:sz w:val="24"/>
          <w:szCs w:val="24"/>
        </w:rPr>
        <w:t>方案一为首选方案，作为评标评分对象。其余方案为备选方案。</w:t>
      </w:r>
      <w:r>
        <w:rPr>
          <w:rFonts w:hint="eastAsia" w:ascii="宋体" w:hAnsi="宋体" w:eastAsia="宋体"/>
          <w:bCs/>
          <w:sz w:val="24"/>
          <w:szCs w:val="24"/>
        </w:rPr>
        <w:t>投标人所有相关的</w:t>
      </w:r>
      <w:r>
        <w:rPr>
          <w:rFonts w:hint="eastAsia" w:ascii="宋体" w:hAnsi="宋体" w:eastAsia="宋体" w:cs="宋体"/>
          <w:bCs/>
          <w:sz w:val="24"/>
          <w:szCs w:val="24"/>
        </w:rPr>
        <w:t>材料与信息都需要</w:t>
      </w:r>
      <w:r>
        <w:rPr>
          <w:rFonts w:hint="eastAsia" w:ascii="宋体" w:hAnsi="宋体" w:eastAsia="宋体"/>
          <w:bCs/>
          <w:sz w:val="24"/>
          <w:szCs w:val="24"/>
        </w:rPr>
        <w:t>投标</w:t>
      </w:r>
      <w:r>
        <w:rPr>
          <w:rFonts w:hint="eastAsia" w:ascii="宋体" w:hAnsi="宋体" w:eastAsia="宋体" w:cs="宋体"/>
          <w:bCs/>
          <w:sz w:val="24"/>
          <w:szCs w:val="24"/>
        </w:rPr>
        <w:t>机构盖章。</w:t>
      </w:r>
    </w:p>
    <w:p>
      <w:pPr>
        <w:spacing w:line="360" w:lineRule="auto"/>
        <w:ind w:firstLine="360" w:firstLineChars="150"/>
        <w:rPr>
          <w:rFonts w:ascii="宋体" w:hAnsi="宋体" w:eastAsia="宋体"/>
          <w:sz w:val="24"/>
          <w:szCs w:val="24"/>
        </w:rPr>
      </w:pPr>
      <w:r>
        <w:rPr>
          <w:rFonts w:hint="eastAsia" w:ascii="宋体" w:hAnsi="宋体" w:eastAsia="宋体"/>
          <w:sz w:val="24"/>
          <w:szCs w:val="24"/>
        </w:rPr>
        <w:t>1.3投标文件里涉及投资收益等数据应以人社部官网及投标人官网公布数据为准，如果人社部官网与投标人官网数据有不一致的以人社部官网数据为准。</w:t>
      </w:r>
    </w:p>
    <w:p>
      <w:pPr>
        <w:spacing w:line="360" w:lineRule="auto"/>
        <w:ind w:firstLine="360" w:firstLineChars="150"/>
        <w:rPr>
          <w:rFonts w:ascii="宋体" w:hAnsi="宋体" w:eastAsia="宋体" w:cs="宋体"/>
          <w:sz w:val="24"/>
          <w:szCs w:val="24"/>
        </w:rPr>
      </w:pPr>
    </w:p>
    <w:p>
      <w:pPr>
        <w:spacing w:line="360" w:lineRule="auto"/>
        <w:rPr>
          <w:rFonts w:ascii="宋体" w:hAnsi="宋体" w:eastAsia="宋体" w:cs="宋体"/>
          <w:sz w:val="24"/>
          <w:szCs w:val="24"/>
        </w:rPr>
      </w:pPr>
      <w:r>
        <w:rPr>
          <w:rFonts w:hint="eastAsia" w:ascii="宋体" w:hAnsi="宋体" w:eastAsia="宋体"/>
          <w:b/>
          <w:sz w:val="24"/>
          <w:szCs w:val="24"/>
        </w:rPr>
        <w:t>2. 招标方式</w:t>
      </w:r>
    </w:p>
    <w:p>
      <w:pPr>
        <w:spacing w:line="360" w:lineRule="auto"/>
        <w:ind w:firstLine="480" w:firstLineChars="200"/>
        <w:rPr>
          <w:rFonts w:ascii="宋体" w:hAnsi="宋体" w:eastAsia="宋体"/>
          <w:sz w:val="24"/>
          <w:szCs w:val="24"/>
        </w:rPr>
      </w:pPr>
      <w:r>
        <w:rPr>
          <w:rFonts w:hint="eastAsia" w:ascii="宋体" w:hAnsi="宋体" w:eastAsia="宋体"/>
          <w:sz w:val="24"/>
          <w:szCs w:val="24"/>
        </w:rPr>
        <w:t>2.1本次招标采用</w:t>
      </w:r>
      <w:r>
        <w:rPr>
          <w:rFonts w:hint="eastAsia" w:ascii="宋体" w:hAnsi="宋体" w:eastAsia="宋体" w:cs="宋体"/>
          <w:sz w:val="24"/>
          <w:szCs w:val="24"/>
        </w:rPr>
        <w:t>公开</w:t>
      </w:r>
      <w:r>
        <w:rPr>
          <w:rFonts w:hint="eastAsia" w:ascii="宋体" w:hAnsi="宋体" w:eastAsia="宋体"/>
          <w:sz w:val="24"/>
          <w:szCs w:val="24"/>
        </w:rPr>
        <w:t>招标的方式进行，若有效投标人不足3家，多数评标专家认为充分具备竞争性的，评标委员会领导小组可以继续评标。</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3. 开标</w:t>
      </w:r>
    </w:p>
    <w:p>
      <w:pPr>
        <w:spacing w:line="360" w:lineRule="auto"/>
        <w:ind w:firstLine="480" w:firstLineChars="200"/>
        <w:rPr>
          <w:rFonts w:ascii="宋体" w:hAnsi="宋体" w:eastAsia="宋体"/>
        </w:rPr>
      </w:pPr>
      <w:r>
        <w:rPr>
          <w:rFonts w:hint="eastAsia" w:ascii="宋体" w:hAnsi="宋体" w:eastAsia="宋体"/>
          <w:sz w:val="24"/>
          <w:szCs w:val="24"/>
        </w:rPr>
        <w:t>3.1投标文件提供份数及包装要求：</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3.1.1 投标文件提供份数：</w:t>
      </w:r>
      <w:r>
        <w:rPr>
          <w:rFonts w:hint="eastAsia" w:ascii="宋体" w:hAnsi="宋体" w:eastAsia="宋体" w:cs="Times New Roman"/>
          <w:sz w:val="24"/>
          <w:szCs w:val="24"/>
        </w:rPr>
        <w:t>报价</w:t>
      </w:r>
      <w:r>
        <w:rPr>
          <w:rFonts w:hint="eastAsia" w:ascii="宋体" w:hAnsi="宋体" w:eastAsia="宋体"/>
          <w:sz w:val="24"/>
          <w:szCs w:val="24"/>
        </w:rPr>
        <w:t>文件一份；</w:t>
      </w:r>
      <w:r>
        <w:rPr>
          <w:rFonts w:hint="eastAsia" w:ascii="宋体" w:hAnsi="宋体" w:eastAsia="宋体" w:cs="Times New Roman"/>
          <w:sz w:val="24"/>
          <w:szCs w:val="24"/>
        </w:rPr>
        <w:t>商务</w:t>
      </w:r>
      <w:r>
        <w:rPr>
          <w:rFonts w:hint="eastAsia" w:ascii="宋体" w:hAnsi="宋体" w:eastAsia="宋体"/>
          <w:sz w:val="24"/>
          <w:szCs w:val="24"/>
        </w:rPr>
        <w:t>文件</w:t>
      </w:r>
      <w:r>
        <w:rPr>
          <w:rFonts w:hint="eastAsia" w:ascii="宋体" w:hAnsi="宋体" w:eastAsia="宋体" w:cs="Times New Roman"/>
          <w:sz w:val="24"/>
          <w:szCs w:val="24"/>
        </w:rPr>
        <w:t>、技术</w:t>
      </w:r>
      <w:r>
        <w:rPr>
          <w:rFonts w:hint="eastAsia" w:ascii="宋体" w:hAnsi="宋体" w:eastAsia="宋体"/>
          <w:sz w:val="24"/>
          <w:szCs w:val="24"/>
        </w:rPr>
        <w:t>文件均提供</w:t>
      </w:r>
      <w:r>
        <w:rPr>
          <w:rFonts w:hint="eastAsia" w:ascii="宋体" w:hAnsi="宋体" w:eastAsia="宋体" w:cs="Times New Roman"/>
          <w:sz w:val="24"/>
          <w:szCs w:val="24"/>
        </w:rPr>
        <w:t>正本</w:t>
      </w:r>
      <w:r>
        <w:rPr>
          <w:rFonts w:hint="eastAsia" w:ascii="宋体" w:hAnsi="宋体" w:eastAsia="宋体"/>
          <w:sz w:val="24"/>
          <w:szCs w:val="24"/>
        </w:rPr>
        <w:t>一</w:t>
      </w:r>
      <w:r>
        <w:rPr>
          <w:rFonts w:hint="eastAsia" w:ascii="宋体" w:hAnsi="宋体" w:eastAsia="宋体" w:cs="Times New Roman"/>
          <w:sz w:val="24"/>
          <w:szCs w:val="24"/>
        </w:rPr>
        <w:t>份，副本</w:t>
      </w:r>
      <w:r>
        <w:rPr>
          <w:rFonts w:hint="eastAsia" w:ascii="宋体" w:hAnsi="宋体" w:eastAsia="宋体"/>
          <w:sz w:val="24"/>
          <w:szCs w:val="24"/>
        </w:rPr>
        <w:t>五</w:t>
      </w:r>
      <w:r>
        <w:rPr>
          <w:rFonts w:hint="eastAsia" w:ascii="宋体" w:hAnsi="宋体" w:eastAsia="宋体" w:cs="Times New Roman"/>
          <w:sz w:val="24"/>
          <w:szCs w:val="24"/>
        </w:rPr>
        <w:t>份</w:t>
      </w:r>
      <w:r>
        <w:rPr>
          <w:rFonts w:hint="eastAsia" w:ascii="宋体" w:hAnsi="宋体" w:eastAsia="宋体"/>
          <w:sz w:val="24"/>
          <w:szCs w:val="24"/>
        </w:rPr>
        <w:t>；另加电子文档一份。</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3.1.2 包装要求：投标文件的正本与副本应分别装订成册，并编制目录。报价文件单独用内层封套密封包装，商务及技术文件正本与副本分开用内层封套密封包装（电子版文件密封在商务及技术文件正本内），然后报价文件、商务及技术文件正、副本统一包装在一个外层封套内，外层封套上加盖投标人单位章。</w:t>
      </w:r>
    </w:p>
    <w:p>
      <w:pPr>
        <w:widowControl/>
        <w:spacing w:line="360" w:lineRule="auto"/>
        <w:jc w:val="left"/>
        <w:rPr>
          <w:rFonts w:ascii="宋体" w:hAnsi="宋体"/>
          <w:sz w:val="24"/>
        </w:rPr>
      </w:pPr>
      <w:r>
        <w:rPr>
          <w:rFonts w:hint="eastAsia" w:ascii="宋体" w:hAnsi="宋体"/>
          <w:sz w:val="24"/>
        </w:rPr>
        <w:t xml:space="preserve">外层封套上写明：招标人名称：                  </w:t>
      </w:r>
    </w:p>
    <w:p>
      <w:pPr>
        <w:widowControl/>
        <w:spacing w:line="360" w:lineRule="auto"/>
        <w:jc w:val="left"/>
        <w:rPr>
          <w:rFonts w:ascii="宋体" w:hAnsi="宋体"/>
          <w:sz w:val="24"/>
        </w:rPr>
      </w:pPr>
      <w:r>
        <w:rPr>
          <w:rFonts w:hint="eastAsia" w:ascii="宋体" w:hAnsi="宋体"/>
          <w:sz w:val="24"/>
        </w:rPr>
        <w:t xml:space="preserve">项目名称：             </w:t>
      </w:r>
    </w:p>
    <w:p>
      <w:pPr>
        <w:widowControl/>
        <w:spacing w:line="360" w:lineRule="auto"/>
        <w:jc w:val="left"/>
        <w:rPr>
          <w:rFonts w:ascii="宋体" w:hAnsi="宋体"/>
          <w:sz w:val="24"/>
        </w:rPr>
      </w:pPr>
      <w:r>
        <w:rPr>
          <w:rFonts w:hint="eastAsia" w:ascii="宋体" w:hAnsi="宋体"/>
          <w:sz w:val="24"/>
        </w:rPr>
        <w:t xml:space="preserve">投标人名称：                  </w:t>
      </w:r>
    </w:p>
    <w:p>
      <w:pPr>
        <w:widowControl/>
        <w:spacing w:line="360" w:lineRule="auto"/>
        <w:jc w:val="left"/>
        <w:rPr>
          <w:rFonts w:ascii="宋体" w:hAnsi="宋体"/>
          <w:sz w:val="24"/>
        </w:rPr>
      </w:pPr>
      <w:r>
        <w:rPr>
          <w:rFonts w:hint="eastAsia" w:ascii="宋体" w:hAnsi="宋体"/>
          <w:sz w:val="24"/>
        </w:rPr>
        <w:t xml:space="preserve">投标人地址：                  </w:t>
      </w:r>
    </w:p>
    <w:p>
      <w:pPr>
        <w:spacing w:line="360" w:lineRule="auto"/>
        <w:ind w:firstLine="840" w:firstLineChars="350"/>
        <w:rPr>
          <w:rFonts w:ascii="宋体" w:hAnsi="宋体" w:eastAsia="宋体"/>
          <w:sz w:val="24"/>
          <w:szCs w:val="24"/>
        </w:rPr>
      </w:pPr>
      <w:r>
        <w:rPr>
          <w:rFonts w:hint="eastAsia" w:ascii="宋体" w:hAnsi="宋体"/>
          <w:sz w:val="24"/>
        </w:rPr>
        <w:t>在      年    月    日    时    分前不得开启。</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3.2开标时间：2016年12月6日9时30分。</w:t>
      </w:r>
    </w:p>
    <w:p>
      <w:pPr>
        <w:spacing w:line="360" w:lineRule="auto"/>
        <w:ind w:firstLine="480" w:firstLineChars="200"/>
        <w:rPr>
          <w:rFonts w:ascii="宋体" w:hAnsi="宋体" w:eastAsia="宋体"/>
          <w:sz w:val="24"/>
          <w:szCs w:val="24"/>
        </w:rPr>
      </w:pPr>
      <w:r>
        <w:rPr>
          <w:rFonts w:hint="eastAsia" w:ascii="宋体" w:hAnsi="宋体" w:eastAsia="宋体"/>
          <w:sz w:val="24"/>
          <w:szCs w:val="24"/>
        </w:rPr>
        <w:t>3.3开标地点：台州市公共资源交易中心三楼大开标室</w:t>
      </w:r>
    </w:p>
    <w:p>
      <w:pPr>
        <w:spacing w:line="360" w:lineRule="auto"/>
        <w:ind w:firstLine="480" w:firstLineChars="200"/>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4. 评标及定标</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4.1 评标办法：综合评估法。</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4.2 定标：招标人将确定评标委员会推荐的中标候选人为中标人。中标候选人放弃中标、因不可抗力不能履行合同、或者被查实存在影响中标结果的违法行为等情形，不符合中标条件的，招标人依法重新组织招标。</w:t>
      </w:r>
    </w:p>
    <w:p>
      <w:pPr>
        <w:spacing w:line="360" w:lineRule="auto"/>
        <w:ind w:firstLine="240" w:firstLineChars="100"/>
        <w:rPr>
          <w:rFonts w:ascii="宋体" w:hAnsi="宋体" w:eastAsia="宋体"/>
          <w:sz w:val="24"/>
          <w:szCs w:val="24"/>
        </w:rPr>
      </w:pPr>
      <w:r>
        <w:rPr>
          <w:rFonts w:hint="eastAsia" w:ascii="宋体" w:hAnsi="宋体" w:eastAsia="宋体"/>
          <w:sz w:val="24"/>
          <w:szCs w:val="24"/>
        </w:rPr>
        <w:t xml:space="preserve">  4.3 中标人应及时与招标人签订合同，并不得以任何形式将中标项目对外转包、分包。</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5. 招标费用</w:t>
      </w:r>
    </w:p>
    <w:p>
      <w:pPr>
        <w:spacing w:line="360" w:lineRule="auto"/>
        <w:rPr>
          <w:rFonts w:ascii="宋体" w:hAnsi="宋体" w:eastAsia="宋体"/>
          <w:sz w:val="24"/>
          <w:szCs w:val="24"/>
        </w:rPr>
      </w:pPr>
      <w:r>
        <w:rPr>
          <w:rFonts w:hint="eastAsia" w:ascii="宋体" w:hAnsi="宋体" w:eastAsia="宋体"/>
          <w:sz w:val="24"/>
          <w:szCs w:val="24"/>
        </w:rPr>
        <w:t>　  5.1投标人应自行承担所有与参加投标有关的费用。不论投标结果如何，在任何情况下招标人均无义务承担这些费用。</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6. 招标文件的修改</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6.1.在投标截止时间48小时以前，无论出于何种原因，招标人可主动或在解答投标人提出的澄清问题时对招标文件进行修改。</w:t>
      </w:r>
    </w:p>
    <w:p>
      <w:pPr>
        <w:spacing w:line="360" w:lineRule="auto"/>
        <w:rPr>
          <w:rFonts w:ascii="宋体" w:hAnsi="宋体" w:eastAsia="宋体"/>
          <w:sz w:val="24"/>
          <w:szCs w:val="24"/>
        </w:rPr>
      </w:pPr>
      <w:r>
        <w:rPr>
          <w:rFonts w:hint="eastAsia" w:ascii="宋体" w:hAnsi="宋体" w:eastAsia="宋体"/>
          <w:sz w:val="24"/>
          <w:szCs w:val="24"/>
        </w:rPr>
        <w:t>　  6.2.招标文件的修改将以书面形式通知所有投标人，并对其具有约束力。</w:t>
      </w:r>
    </w:p>
    <w:p>
      <w:pPr>
        <w:spacing w:line="360" w:lineRule="auto"/>
        <w:ind w:firstLine="465"/>
        <w:rPr>
          <w:rFonts w:ascii="宋体" w:hAnsi="宋体" w:eastAsia="宋体"/>
          <w:sz w:val="24"/>
          <w:szCs w:val="24"/>
        </w:rPr>
      </w:pPr>
      <w:r>
        <w:rPr>
          <w:rFonts w:hint="eastAsia" w:ascii="宋体" w:hAnsi="宋体" w:eastAsia="宋体"/>
          <w:sz w:val="24"/>
          <w:szCs w:val="24"/>
        </w:rPr>
        <w:t>6.3.招标人可以对已发出的招标文件进行必要的澄清或者修改。澄清或者修改的内容可能影响招投标文件编制的，招标人应当在投标截止时间至少15日前，以书面形式通知所有获取招标文件的潜在投标人；不足15日的，招标人应当顺延投标文件的截止时间。</w:t>
      </w:r>
    </w:p>
    <w:p>
      <w:pPr>
        <w:spacing w:line="360" w:lineRule="auto"/>
        <w:ind w:firstLine="465"/>
        <w:rPr>
          <w:rFonts w:ascii="宋体" w:hAnsi="宋体" w:eastAsia="宋体"/>
          <w:sz w:val="24"/>
          <w:szCs w:val="24"/>
        </w:rPr>
      </w:pPr>
      <w:r>
        <w:rPr>
          <w:rFonts w:hint="eastAsia" w:ascii="宋体" w:hAnsi="宋体" w:eastAsia="宋体"/>
          <w:sz w:val="24"/>
          <w:szCs w:val="24"/>
        </w:rPr>
        <w:t xml:space="preserve"> 6.4招标文件的澄清、答疑、修改、补充文件是招标文件的组成部分，投标人需按照招标文件的澄清、答疑、补充文件的要求参与投标，投标人没有做出实质性响应可能导致其投标文件被拒绝。</w:t>
      </w:r>
    </w:p>
    <w:p>
      <w:pPr>
        <w:spacing w:line="360" w:lineRule="auto"/>
        <w:rPr>
          <w:rFonts w:ascii="宋体" w:hAnsi="宋体" w:eastAsia="宋体"/>
          <w:b/>
          <w:sz w:val="24"/>
          <w:szCs w:val="24"/>
        </w:rPr>
      </w:pPr>
      <w:r>
        <w:rPr>
          <w:rFonts w:hint="eastAsia" w:ascii="宋体" w:hAnsi="宋体" w:eastAsia="宋体"/>
          <w:b/>
          <w:sz w:val="24"/>
          <w:szCs w:val="24"/>
        </w:rPr>
        <w:t>7. 投标文件有效期</w:t>
      </w:r>
    </w:p>
    <w:p>
      <w:pPr>
        <w:spacing w:line="360" w:lineRule="auto"/>
        <w:rPr>
          <w:rFonts w:ascii="宋体" w:hAnsi="宋体" w:eastAsia="宋体"/>
          <w:sz w:val="24"/>
          <w:szCs w:val="24"/>
        </w:rPr>
      </w:pPr>
      <w:r>
        <w:rPr>
          <w:rFonts w:hint="eastAsia" w:ascii="宋体" w:hAnsi="宋体" w:eastAsia="宋体"/>
          <w:sz w:val="24"/>
          <w:szCs w:val="24"/>
        </w:rPr>
        <w:t>　 7.1投标文件递交截止之日起90日内有效（从投标截止之日算起）。</w:t>
      </w:r>
    </w:p>
    <w:p>
      <w:pPr>
        <w:spacing w:line="360" w:lineRule="auto"/>
        <w:rPr>
          <w:rFonts w:ascii="宋体" w:hAnsi="宋体" w:eastAsia="宋体"/>
          <w:sz w:val="24"/>
          <w:szCs w:val="24"/>
        </w:rPr>
      </w:pPr>
    </w:p>
    <w:p>
      <w:pPr>
        <w:spacing w:line="360" w:lineRule="auto"/>
        <w:rPr>
          <w:rFonts w:ascii="宋体" w:hAnsi="宋体" w:eastAsia="宋体"/>
          <w:b/>
          <w:sz w:val="24"/>
          <w:szCs w:val="24"/>
        </w:rPr>
      </w:pPr>
      <w:r>
        <w:rPr>
          <w:rFonts w:hint="eastAsia" w:ascii="宋体" w:hAnsi="宋体" w:eastAsia="宋体"/>
          <w:b/>
          <w:sz w:val="24"/>
          <w:szCs w:val="24"/>
        </w:rPr>
        <w:t>8.无效投标文件</w:t>
      </w:r>
    </w:p>
    <w:p>
      <w:pPr>
        <w:spacing w:line="360" w:lineRule="auto"/>
        <w:ind w:firstLine="420"/>
        <w:rPr>
          <w:rFonts w:ascii="宋体" w:hAnsi="宋体" w:eastAsia="宋体"/>
          <w:sz w:val="24"/>
          <w:szCs w:val="24"/>
        </w:rPr>
      </w:pPr>
      <w:r>
        <w:rPr>
          <w:rFonts w:hint="eastAsia" w:ascii="宋体" w:hAnsi="宋体" w:eastAsia="宋体"/>
          <w:sz w:val="24"/>
          <w:szCs w:val="24"/>
        </w:rPr>
        <w:t>8.1实质上没有响应招标文件要求的投标文件将被拒绝。投标人不得通过修正或撤销不合要求的偏离从而使其投标文件成为实质上响应的文件。如发现下列情况之一的，其投标文件将被拒绝：</w:t>
      </w:r>
    </w:p>
    <w:p>
      <w:pPr>
        <w:spacing w:line="360" w:lineRule="auto"/>
        <w:ind w:firstLine="900" w:firstLineChars="375"/>
        <w:rPr>
          <w:rFonts w:ascii="宋体" w:hAnsi="宋体" w:eastAsia="宋体"/>
          <w:sz w:val="24"/>
          <w:szCs w:val="24"/>
        </w:rPr>
      </w:pPr>
      <w:r>
        <w:rPr>
          <w:rFonts w:hint="eastAsia" w:ascii="宋体" w:hAnsi="宋体" w:eastAsia="宋体"/>
          <w:sz w:val="24"/>
          <w:szCs w:val="24"/>
        </w:rPr>
        <w:t>8.1.1未按招标文件要求密封、签署、盖章；</w:t>
      </w:r>
    </w:p>
    <w:p>
      <w:pPr>
        <w:spacing w:line="360" w:lineRule="auto"/>
        <w:ind w:left="420" w:leftChars="200" w:firstLine="480" w:firstLineChars="200"/>
        <w:rPr>
          <w:rFonts w:ascii="宋体" w:hAnsi="宋体" w:eastAsia="宋体"/>
          <w:sz w:val="24"/>
          <w:szCs w:val="24"/>
        </w:rPr>
      </w:pPr>
      <w:r>
        <w:rPr>
          <w:rFonts w:hint="eastAsia" w:ascii="宋体" w:hAnsi="宋体" w:eastAsia="宋体"/>
          <w:sz w:val="24"/>
          <w:szCs w:val="24"/>
        </w:rPr>
        <w:t>8.1.2不具备招标文件中规定的资格要求；</w:t>
      </w:r>
    </w:p>
    <w:p>
      <w:pPr>
        <w:spacing w:line="360" w:lineRule="auto"/>
        <w:ind w:left="420" w:leftChars="200" w:firstLine="480" w:firstLineChars="200"/>
        <w:rPr>
          <w:rFonts w:ascii="宋体" w:hAnsi="宋体" w:eastAsia="宋体"/>
          <w:sz w:val="24"/>
          <w:szCs w:val="24"/>
        </w:rPr>
      </w:pPr>
      <w:r>
        <w:rPr>
          <w:rFonts w:hint="eastAsia" w:ascii="宋体" w:hAnsi="宋体" w:eastAsia="宋体"/>
          <w:sz w:val="24"/>
          <w:szCs w:val="24"/>
        </w:rPr>
        <w:t>8.1.3不具备法律、法规的招标文件中规定的其他实质性要求；</w:t>
      </w:r>
    </w:p>
    <w:p>
      <w:pPr>
        <w:spacing w:line="360" w:lineRule="auto"/>
        <w:ind w:left="420" w:leftChars="200" w:firstLine="480" w:firstLineChars="200"/>
        <w:rPr>
          <w:rFonts w:ascii="宋体" w:hAnsi="宋体" w:eastAsia="宋体"/>
          <w:sz w:val="24"/>
          <w:szCs w:val="24"/>
        </w:rPr>
      </w:pPr>
      <w:r>
        <w:rPr>
          <w:rFonts w:hint="eastAsia" w:ascii="宋体" w:hAnsi="宋体" w:eastAsia="宋体"/>
          <w:sz w:val="24"/>
          <w:szCs w:val="24"/>
        </w:rPr>
        <w:t>8.1.4字迹模糊、辩认不清；</w:t>
      </w:r>
    </w:p>
    <w:p>
      <w:pPr>
        <w:spacing w:line="360" w:lineRule="auto"/>
        <w:ind w:left="420" w:leftChars="200" w:firstLine="480" w:firstLineChars="200"/>
        <w:rPr>
          <w:rFonts w:hint="eastAsia" w:ascii="宋体" w:hAnsi="宋体" w:eastAsia="宋体"/>
          <w:sz w:val="24"/>
          <w:szCs w:val="24"/>
        </w:rPr>
      </w:pPr>
      <w:r>
        <w:rPr>
          <w:rFonts w:hint="eastAsia" w:ascii="宋体" w:hAnsi="宋体" w:eastAsia="宋体"/>
          <w:sz w:val="24"/>
          <w:szCs w:val="24"/>
        </w:rPr>
        <w:t>8.1.5逾期送达或未送达指定地点。</w:t>
      </w:r>
    </w:p>
    <w:p>
      <w:pPr>
        <w:spacing w:line="360" w:lineRule="auto"/>
        <w:ind w:left="420" w:leftChars="200" w:firstLine="480" w:firstLineChars="200"/>
        <w:rPr>
          <w:rFonts w:hint="eastAsia" w:ascii="宋体" w:hAnsi="宋体" w:eastAsia="宋体"/>
          <w:sz w:val="24"/>
          <w:szCs w:val="24"/>
        </w:rPr>
      </w:pPr>
    </w:p>
    <w:p>
      <w:pPr>
        <w:spacing w:line="400" w:lineRule="exact"/>
        <w:rPr>
          <w:rFonts w:ascii="宋体" w:hAnsi="宋体" w:cs="宋体"/>
          <w:b/>
          <w:bCs/>
          <w:color w:val="FF0000"/>
          <w:kern w:val="0"/>
          <w:sz w:val="24"/>
        </w:rPr>
      </w:pPr>
      <w:r>
        <w:rPr>
          <w:rFonts w:hint="eastAsia" w:ascii="宋体" w:hAnsi="宋体" w:cs="宋体"/>
          <w:b/>
          <w:bCs/>
          <w:color w:val="FF0000"/>
          <w:kern w:val="0"/>
          <w:sz w:val="24"/>
          <w:lang w:val="en-US" w:eastAsia="zh-CN"/>
        </w:rPr>
        <w:t>9.</w:t>
      </w:r>
      <w:r>
        <w:rPr>
          <w:rFonts w:hint="eastAsia" w:ascii="宋体" w:hAnsi="宋体" w:cs="宋体"/>
          <w:b/>
          <w:bCs/>
          <w:color w:val="FF0000"/>
          <w:kern w:val="0"/>
          <w:sz w:val="24"/>
        </w:rPr>
        <w:t>参加开标会议的要求：</w:t>
      </w:r>
    </w:p>
    <w:p>
      <w:pPr>
        <w:widowControl/>
        <w:spacing w:line="360" w:lineRule="auto"/>
        <w:jc w:val="left"/>
        <w:rPr>
          <w:rFonts w:ascii="宋体" w:hAnsi="宋体" w:eastAsia="宋体"/>
          <w:sz w:val="24"/>
          <w:szCs w:val="24"/>
        </w:rPr>
      </w:pPr>
      <w:r>
        <w:rPr>
          <w:rFonts w:hint="eastAsia" w:ascii="宋体" w:hAnsi="宋体" w:cs="宋体"/>
          <w:b/>
          <w:bCs/>
          <w:color w:val="FF0000"/>
          <w:kern w:val="0"/>
          <w:sz w:val="24"/>
          <w:lang w:val="en-US" w:eastAsia="zh-CN"/>
        </w:rPr>
        <w:t xml:space="preserve">   </w:t>
      </w:r>
      <w:r>
        <w:rPr>
          <w:rFonts w:hint="eastAsia" w:ascii="宋体" w:hAnsi="宋体" w:cs="宋体"/>
          <w:b/>
          <w:bCs/>
          <w:color w:val="FF0000"/>
          <w:kern w:val="0"/>
          <w:sz w:val="24"/>
        </w:rPr>
        <w:t>邀请所有投标人的法定代表人或其授权代理人准时参加。投标人法定代表人需携带身份证原件、授权代理人需携带身份证原件及授权委托书、投标担保确认单、保险公司法人许可证或经营保险业务许可证加盖投标人公章的复印件现场核验，如若现场核验不合格，招标人不予受理其投标。</w:t>
      </w:r>
      <w:bookmarkStart w:id="40" w:name="_GoBack"/>
      <w:bookmarkEnd w:id="40"/>
      <w:r>
        <w:rPr>
          <w:rFonts w:ascii="宋体" w:hAnsi="宋体" w:eastAsia="宋体"/>
          <w:sz w:val="24"/>
          <w:szCs w:val="24"/>
        </w:rPr>
        <w:br w:type="page"/>
      </w:r>
    </w:p>
    <w:p>
      <w:pPr>
        <w:jc w:val="center"/>
        <w:rPr>
          <w:rFonts w:ascii="宋体" w:hAnsi="宋体" w:eastAsia="宋体" w:cs="Times New Roman"/>
          <w:b/>
          <w:sz w:val="36"/>
          <w:szCs w:val="36"/>
        </w:rPr>
      </w:pPr>
      <w:r>
        <w:rPr>
          <w:rFonts w:hint="eastAsia" w:asciiTheme="minorEastAsia" w:hAnsiTheme="minorEastAsia"/>
          <w:b/>
          <w:sz w:val="36"/>
          <w:szCs w:val="36"/>
        </w:rPr>
        <w:t xml:space="preserve">第三章  </w:t>
      </w:r>
      <w:r>
        <w:rPr>
          <w:rFonts w:hint="eastAsia" w:ascii="宋体" w:hAnsi="宋体" w:eastAsia="宋体" w:cs="Times New Roman"/>
          <w:b/>
          <w:sz w:val="36"/>
          <w:szCs w:val="36"/>
        </w:rPr>
        <w:t>投标文件的编制</w:t>
      </w:r>
    </w:p>
    <w:p>
      <w:pPr>
        <w:spacing w:line="360" w:lineRule="auto"/>
        <w:ind w:firstLine="422" w:firstLineChars="200"/>
        <w:rPr>
          <w:rFonts w:ascii="宋体" w:hAnsi="宋体"/>
          <w:b/>
        </w:rPr>
      </w:pPr>
    </w:p>
    <w:p>
      <w:pPr>
        <w:spacing w:line="360" w:lineRule="auto"/>
        <w:rPr>
          <w:rFonts w:ascii="宋体" w:hAnsi="宋体" w:eastAsia="宋体" w:cs="Times New Roman"/>
          <w:b/>
          <w:sz w:val="24"/>
          <w:szCs w:val="24"/>
        </w:rPr>
      </w:pPr>
      <w:r>
        <w:rPr>
          <w:rFonts w:hint="eastAsia" w:ascii="宋体" w:hAnsi="宋体"/>
          <w:b/>
          <w:sz w:val="24"/>
          <w:szCs w:val="24"/>
        </w:rPr>
        <w:t xml:space="preserve">1. </w:t>
      </w:r>
      <w:r>
        <w:rPr>
          <w:rFonts w:hint="eastAsia" w:ascii="宋体" w:hAnsi="宋体" w:eastAsia="宋体" w:cs="Times New Roman"/>
          <w:b/>
          <w:sz w:val="24"/>
          <w:szCs w:val="24"/>
        </w:rPr>
        <w:t>投标文件的组成</w:t>
      </w:r>
    </w:p>
    <w:p>
      <w:pPr>
        <w:spacing w:line="360" w:lineRule="auto"/>
        <w:ind w:firstLine="360" w:firstLineChars="150"/>
        <w:rPr>
          <w:rFonts w:ascii="宋体" w:hAnsi="宋体" w:eastAsia="宋体" w:cs="Times New Roman"/>
          <w:sz w:val="24"/>
          <w:szCs w:val="24"/>
        </w:rPr>
      </w:pPr>
      <w:r>
        <w:rPr>
          <w:rFonts w:hint="eastAsia" w:ascii="宋体" w:hAnsi="宋体"/>
          <w:sz w:val="24"/>
          <w:szCs w:val="24"/>
        </w:rPr>
        <w:t xml:space="preserve">1.1 </w:t>
      </w:r>
      <w:r>
        <w:rPr>
          <w:rFonts w:hint="eastAsia" w:ascii="宋体" w:hAnsi="宋体" w:eastAsia="宋体" w:cs="Times New Roman"/>
          <w:sz w:val="24"/>
          <w:szCs w:val="24"/>
        </w:rPr>
        <w:t>投标文件由商务文件、技术文件、报价文件三部分组成。</w:t>
      </w:r>
    </w:p>
    <w:p>
      <w:pPr>
        <w:spacing w:line="360" w:lineRule="auto"/>
        <w:rPr>
          <w:rFonts w:ascii="宋体" w:hAnsi="宋体" w:eastAsia="宋体" w:cs="Times New Roman"/>
          <w:sz w:val="24"/>
          <w:szCs w:val="24"/>
        </w:rPr>
      </w:pPr>
    </w:p>
    <w:p>
      <w:pPr>
        <w:spacing w:line="360" w:lineRule="auto"/>
        <w:rPr>
          <w:rFonts w:ascii="宋体" w:hAnsi="宋体" w:eastAsia="宋体" w:cs="Times New Roman"/>
          <w:sz w:val="24"/>
          <w:szCs w:val="24"/>
        </w:rPr>
      </w:pPr>
      <w:r>
        <w:rPr>
          <w:rFonts w:hint="eastAsia" w:ascii="宋体" w:hAnsi="宋体"/>
          <w:b/>
          <w:sz w:val="24"/>
          <w:szCs w:val="24"/>
        </w:rPr>
        <w:t xml:space="preserve">2. </w:t>
      </w:r>
      <w:r>
        <w:rPr>
          <w:rFonts w:hint="eastAsia" w:ascii="宋体" w:hAnsi="宋体" w:eastAsia="宋体" w:cs="Times New Roman"/>
          <w:b/>
          <w:sz w:val="24"/>
          <w:szCs w:val="24"/>
        </w:rPr>
        <w:t>商务文件</w:t>
      </w:r>
    </w:p>
    <w:p>
      <w:pPr>
        <w:spacing w:line="360" w:lineRule="auto"/>
        <w:ind w:firstLine="360" w:firstLineChars="150"/>
        <w:rPr>
          <w:rFonts w:ascii="宋体" w:hAnsi="宋体"/>
          <w:sz w:val="24"/>
          <w:szCs w:val="24"/>
        </w:rPr>
      </w:pPr>
      <w:r>
        <w:rPr>
          <w:rFonts w:hint="eastAsia" w:ascii="宋体" w:hAnsi="宋体"/>
          <w:sz w:val="24"/>
          <w:szCs w:val="24"/>
        </w:rPr>
        <w:t>2.1投标函（见第五章 附件1）</w:t>
      </w:r>
    </w:p>
    <w:p>
      <w:pPr>
        <w:pStyle w:val="14"/>
        <w:snapToGrid w:val="0"/>
        <w:spacing w:line="500" w:lineRule="exact"/>
        <w:ind w:left="120" w:leftChars="57" w:firstLine="240" w:firstLineChars="100"/>
        <w:rPr>
          <w:rFonts w:ascii="宋体" w:hAnsi="宋体"/>
          <w:sz w:val="24"/>
          <w:szCs w:val="24"/>
        </w:rPr>
      </w:pPr>
      <w:r>
        <w:rPr>
          <w:rFonts w:hint="eastAsia" w:ascii="宋体" w:hAnsi="宋体"/>
          <w:sz w:val="24"/>
          <w:szCs w:val="24"/>
        </w:rPr>
        <w:t>2.2 法定代表人授权委托书（见第五章 附件2）。分公司参与投标的，须提供总公司法定代表人的授权委托书和总公司授权分公司用印授权委托书</w:t>
      </w:r>
      <w:r>
        <w:rPr>
          <w:rFonts w:hint="eastAsia" w:ascii="宋体" w:hAnsi="宋体"/>
          <w:b/>
          <w:sz w:val="24"/>
          <w:szCs w:val="24"/>
        </w:rPr>
        <w:t>（原件装订入投标文件正本）</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2.3 投标人资质材料</w:t>
      </w:r>
    </w:p>
    <w:p>
      <w:pPr>
        <w:spacing w:line="360" w:lineRule="auto"/>
        <w:ind w:firstLine="480" w:firstLineChars="200"/>
        <w:rPr>
          <w:rFonts w:ascii="宋体" w:hAnsi="宋体"/>
          <w:sz w:val="24"/>
          <w:szCs w:val="24"/>
        </w:rPr>
      </w:pPr>
      <w:r>
        <w:rPr>
          <w:rFonts w:hint="eastAsia" w:ascii="宋体" w:hAnsi="宋体"/>
          <w:sz w:val="24"/>
          <w:szCs w:val="24"/>
        </w:rPr>
        <w:t>2.3.1 投标人有效的营业执照（加盖公司印章）。</w:t>
      </w:r>
    </w:p>
    <w:p>
      <w:pPr>
        <w:spacing w:line="360" w:lineRule="auto"/>
        <w:ind w:firstLine="480" w:firstLineChars="200"/>
        <w:rPr>
          <w:rFonts w:ascii="宋体" w:hAnsi="宋体"/>
          <w:sz w:val="24"/>
          <w:szCs w:val="24"/>
        </w:rPr>
      </w:pPr>
      <w:r>
        <w:rPr>
          <w:rFonts w:hint="eastAsia" w:ascii="宋体" w:hAnsi="宋体"/>
          <w:sz w:val="24"/>
          <w:szCs w:val="24"/>
        </w:rPr>
        <w:t>2.3.2 企业年金管理资格证书、企业相关管理资格证书、业务许可证复印件（加盖公司印章）。</w:t>
      </w:r>
    </w:p>
    <w:p>
      <w:pPr>
        <w:spacing w:line="360" w:lineRule="auto"/>
        <w:ind w:firstLine="480" w:firstLineChars="200"/>
        <w:rPr>
          <w:rFonts w:ascii="宋体" w:hAnsi="宋体"/>
          <w:sz w:val="24"/>
          <w:szCs w:val="24"/>
        </w:rPr>
      </w:pPr>
      <w:r>
        <w:rPr>
          <w:rFonts w:hint="eastAsia" w:ascii="宋体" w:hAnsi="宋体"/>
          <w:sz w:val="24"/>
          <w:szCs w:val="24"/>
        </w:rPr>
        <w:t>2.3.3  2013--2015年公司经审计的财务报表（加盖公司印章）。</w:t>
      </w:r>
    </w:p>
    <w:p>
      <w:pPr>
        <w:spacing w:line="360" w:lineRule="auto"/>
        <w:ind w:firstLine="480" w:firstLineChars="200"/>
        <w:rPr>
          <w:rFonts w:ascii="宋体" w:hAnsi="宋体"/>
          <w:sz w:val="24"/>
          <w:szCs w:val="24"/>
        </w:rPr>
      </w:pPr>
      <w:r>
        <w:rPr>
          <w:rFonts w:hint="eastAsia" w:ascii="宋体" w:hAnsi="宋体"/>
          <w:sz w:val="24"/>
          <w:szCs w:val="24"/>
        </w:rPr>
        <w:t>2.3.4  投标人认为必要的其他相关证明材料。</w:t>
      </w:r>
    </w:p>
    <w:p>
      <w:pPr>
        <w:snapToGrid w:val="0"/>
        <w:spacing w:line="360" w:lineRule="auto"/>
        <w:rPr>
          <w:rFonts w:ascii="宋体" w:hAnsi="宋体"/>
          <w:b/>
          <w:sz w:val="24"/>
          <w:szCs w:val="24"/>
        </w:rPr>
      </w:pPr>
    </w:p>
    <w:p>
      <w:pPr>
        <w:snapToGrid w:val="0"/>
        <w:spacing w:line="360" w:lineRule="auto"/>
        <w:rPr>
          <w:rFonts w:ascii="宋体" w:hAnsi="宋体"/>
          <w:b/>
          <w:sz w:val="24"/>
          <w:szCs w:val="24"/>
        </w:rPr>
      </w:pPr>
      <w:r>
        <w:rPr>
          <w:rFonts w:hint="eastAsia" w:ascii="宋体" w:hAnsi="宋体"/>
          <w:b/>
          <w:sz w:val="24"/>
          <w:szCs w:val="24"/>
        </w:rPr>
        <w:t>3. 技术文件</w:t>
      </w:r>
    </w:p>
    <w:p>
      <w:pPr>
        <w:spacing w:line="360" w:lineRule="auto"/>
        <w:ind w:firstLine="360" w:firstLineChars="150"/>
        <w:rPr>
          <w:rFonts w:asciiTheme="minorEastAsia" w:hAnsiTheme="minorEastAsia"/>
          <w:b/>
          <w:sz w:val="28"/>
          <w:szCs w:val="28"/>
        </w:rPr>
      </w:pPr>
      <w:r>
        <w:rPr>
          <w:rFonts w:hint="eastAsia" w:ascii="宋体" w:hAnsi="宋体"/>
          <w:sz w:val="24"/>
          <w:szCs w:val="24"/>
        </w:rPr>
        <w:t>3.1 根据第五章附件5《企业年金法人受托机构招标评分表》中的各项评分因子编写技术文件。</w:t>
      </w:r>
    </w:p>
    <w:p>
      <w:pPr>
        <w:spacing w:line="360" w:lineRule="auto"/>
        <w:ind w:firstLine="360" w:firstLineChars="150"/>
        <w:rPr>
          <w:rFonts w:ascii="宋体" w:hAnsi="宋体"/>
          <w:sz w:val="24"/>
          <w:szCs w:val="24"/>
        </w:rPr>
      </w:pPr>
      <w:r>
        <w:rPr>
          <w:rFonts w:hint="eastAsia" w:ascii="宋体" w:hAnsi="宋体"/>
          <w:sz w:val="24"/>
          <w:szCs w:val="24"/>
        </w:rPr>
        <w:t>3.2 投标人需要说明的其他问题。</w:t>
      </w:r>
    </w:p>
    <w:p>
      <w:pPr>
        <w:spacing w:line="360" w:lineRule="auto"/>
        <w:rPr>
          <w:rFonts w:ascii="宋体" w:hAnsi="宋体"/>
          <w:b/>
          <w:sz w:val="24"/>
          <w:szCs w:val="24"/>
        </w:rPr>
      </w:pPr>
    </w:p>
    <w:p>
      <w:pPr>
        <w:spacing w:line="360" w:lineRule="auto"/>
        <w:rPr>
          <w:rFonts w:ascii="宋体" w:hAnsi="宋体"/>
          <w:b/>
          <w:sz w:val="24"/>
          <w:szCs w:val="24"/>
        </w:rPr>
      </w:pPr>
      <w:r>
        <w:rPr>
          <w:rFonts w:hint="eastAsia" w:ascii="宋体" w:hAnsi="宋体"/>
          <w:b/>
          <w:sz w:val="24"/>
          <w:szCs w:val="24"/>
        </w:rPr>
        <w:t>4. 报价文件</w:t>
      </w:r>
    </w:p>
    <w:p>
      <w:pPr>
        <w:spacing w:line="360" w:lineRule="auto"/>
        <w:rPr>
          <w:rFonts w:ascii="宋体" w:hAnsi="宋体"/>
          <w:sz w:val="24"/>
          <w:szCs w:val="24"/>
        </w:rPr>
      </w:pPr>
      <w:r>
        <w:rPr>
          <w:rFonts w:hint="eastAsia" w:ascii="宋体" w:hAnsi="宋体"/>
          <w:sz w:val="24"/>
          <w:szCs w:val="24"/>
        </w:rPr>
        <w:t xml:space="preserve"> 4.1投标人推荐的集合计划运作管理模式简要说明及相应产品报价书（见第五章附件3、附件4）</w:t>
      </w:r>
    </w:p>
    <w:p>
      <w:pPr>
        <w:spacing w:line="360" w:lineRule="auto"/>
        <w:rPr>
          <w:rFonts w:ascii="宋体" w:hAnsi="宋体"/>
          <w:sz w:val="24"/>
          <w:szCs w:val="24"/>
        </w:rPr>
      </w:pPr>
    </w:p>
    <w:p>
      <w:pPr>
        <w:spacing w:line="360" w:lineRule="auto"/>
        <w:rPr>
          <w:rFonts w:ascii="宋体" w:hAnsi="宋体"/>
          <w:sz w:val="24"/>
          <w:szCs w:val="24"/>
        </w:rPr>
      </w:pPr>
      <w:r>
        <w:rPr>
          <w:rFonts w:hint="eastAsia" w:ascii="宋体" w:hAnsi="宋体"/>
          <w:b/>
          <w:sz w:val="24"/>
          <w:szCs w:val="24"/>
        </w:rPr>
        <w:t>5. 投标文件的要求</w:t>
      </w:r>
    </w:p>
    <w:p>
      <w:pPr>
        <w:spacing w:line="360" w:lineRule="auto"/>
        <w:ind w:firstLine="360" w:firstLineChars="150"/>
        <w:rPr>
          <w:rFonts w:ascii="宋体" w:hAnsi="宋体"/>
          <w:sz w:val="24"/>
          <w:szCs w:val="24"/>
        </w:rPr>
      </w:pPr>
      <w:r>
        <w:rPr>
          <w:rFonts w:hint="eastAsia" w:ascii="宋体" w:hAnsi="宋体"/>
          <w:sz w:val="24"/>
          <w:szCs w:val="24"/>
        </w:rPr>
        <w:t>5.1  投标文件需要法定代表人或其授权代表签字并加盖公章和骑缝章。</w:t>
      </w:r>
    </w:p>
    <w:p>
      <w:pPr>
        <w:spacing w:line="360" w:lineRule="auto"/>
        <w:ind w:firstLine="360" w:firstLineChars="150"/>
        <w:rPr>
          <w:rFonts w:ascii="宋体" w:hAnsi="宋体"/>
          <w:sz w:val="24"/>
          <w:szCs w:val="24"/>
        </w:rPr>
      </w:pPr>
      <w:r>
        <w:rPr>
          <w:rFonts w:hint="eastAsia" w:ascii="宋体" w:hAnsi="宋体"/>
          <w:sz w:val="24"/>
          <w:szCs w:val="24"/>
        </w:rPr>
        <w:t>5.2  投标人要确保提供的信息真实可靠。</w:t>
      </w:r>
    </w:p>
    <w:p>
      <w:pPr>
        <w:spacing w:line="360" w:lineRule="auto"/>
        <w:rPr>
          <w:rFonts w:ascii="宋体" w:hAnsi="宋体"/>
          <w:b/>
          <w:sz w:val="24"/>
          <w:szCs w:val="24"/>
        </w:rPr>
      </w:pPr>
      <w:r>
        <w:rPr>
          <w:rFonts w:hint="eastAsia" w:ascii="宋体" w:hAnsi="宋体"/>
          <w:b/>
          <w:sz w:val="24"/>
          <w:szCs w:val="24"/>
        </w:rPr>
        <w:t>6. 投标文件的递交</w:t>
      </w:r>
    </w:p>
    <w:p>
      <w:pPr>
        <w:spacing w:line="360" w:lineRule="auto"/>
        <w:ind w:firstLine="360" w:firstLineChars="150"/>
        <w:rPr>
          <w:rFonts w:asciiTheme="minorEastAsia" w:hAnsiTheme="minorEastAsia"/>
          <w:sz w:val="24"/>
          <w:szCs w:val="24"/>
        </w:rPr>
      </w:pPr>
      <w:r>
        <w:rPr>
          <w:rFonts w:hint="eastAsia" w:ascii="宋体" w:hAnsi="宋体"/>
          <w:sz w:val="24"/>
          <w:szCs w:val="24"/>
        </w:rPr>
        <w:t xml:space="preserve">6.1 </w:t>
      </w:r>
      <w:r>
        <w:rPr>
          <w:rFonts w:hint="eastAsia" w:asciiTheme="minorEastAsia" w:hAnsiTheme="minorEastAsia"/>
          <w:sz w:val="24"/>
          <w:szCs w:val="24"/>
        </w:rPr>
        <w:t>投标文件提供份数：投标文件包括</w:t>
      </w:r>
      <w:r>
        <w:rPr>
          <w:rFonts w:hint="eastAsia" w:ascii="宋体" w:hAnsi="宋体" w:eastAsia="宋体" w:cs="Times New Roman"/>
          <w:sz w:val="24"/>
          <w:szCs w:val="24"/>
        </w:rPr>
        <w:t>报价</w:t>
      </w:r>
      <w:r>
        <w:rPr>
          <w:rFonts w:hint="eastAsia" w:asciiTheme="minorEastAsia" w:hAnsiTheme="minorEastAsia"/>
          <w:sz w:val="24"/>
          <w:szCs w:val="24"/>
        </w:rPr>
        <w:t>文件一份；</w:t>
      </w:r>
      <w:r>
        <w:rPr>
          <w:rFonts w:hint="eastAsia" w:ascii="宋体" w:hAnsi="宋体" w:eastAsia="宋体" w:cs="Times New Roman"/>
          <w:sz w:val="24"/>
          <w:szCs w:val="24"/>
        </w:rPr>
        <w:t>商务</w:t>
      </w:r>
      <w:r>
        <w:rPr>
          <w:rFonts w:hint="eastAsia" w:asciiTheme="minorEastAsia" w:hAnsiTheme="minorEastAsia"/>
          <w:sz w:val="24"/>
          <w:szCs w:val="24"/>
        </w:rPr>
        <w:t>文件</w:t>
      </w:r>
      <w:r>
        <w:rPr>
          <w:rFonts w:hint="eastAsia" w:ascii="宋体" w:hAnsi="宋体" w:eastAsia="宋体" w:cs="Times New Roman"/>
          <w:sz w:val="24"/>
          <w:szCs w:val="24"/>
        </w:rPr>
        <w:t>、技术</w:t>
      </w:r>
      <w:r>
        <w:rPr>
          <w:rFonts w:hint="eastAsia" w:asciiTheme="minorEastAsia" w:hAnsiTheme="minorEastAsia"/>
          <w:sz w:val="24"/>
          <w:szCs w:val="24"/>
        </w:rPr>
        <w:t>文件</w:t>
      </w:r>
      <w:r>
        <w:rPr>
          <w:rFonts w:hint="eastAsia" w:ascii="宋体" w:hAnsi="宋体" w:eastAsia="宋体" w:cs="Times New Roman"/>
          <w:sz w:val="24"/>
          <w:szCs w:val="24"/>
        </w:rPr>
        <w:t>正本</w:t>
      </w:r>
      <w:r>
        <w:rPr>
          <w:rFonts w:hint="eastAsia" w:asciiTheme="minorEastAsia" w:hAnsiTheme="minorEastAsia"/>
          <w:sz w:val="24"/>
          <w:szCs w:val="24"/>
        </w:rPr>
        <w:t>一</w:t>
      </w:r>
      <w:r>
        <w:rPr>
          <w:rFonts w:hint="eastAsia" w:ascii="宋体" w:hAnsi="宋体" w:eastAsia="宋体" w:cs="Times New Roman"/>
          <w:sz w:val="24"/>
          <w:szCs w:val="24"/>
        </w:rPr>
        <w:t>份，副本</w:t>
      </w:r>
      <w:r>
        <w:rPr>
          <w:rFonts w:hint="eastAsia" w:asciiTheme="minorEastAsia" w:hAnsiTheme="minorEastAsia"/>
          <w:sz w:val="24"/>
          <w:szCs w:val="24"/>
        </w:rPr>
        <w:t>五</w:t>
      </w:r>
      <w:r>
        <w:rPr>
          <w:rFonts w:hint="eastAsia" w:ascii="宋体" w:hAnsi="宋体" w:eastAsia="宋体" w:cs="Times New Roman"/>
          <w:sz w:val="24"/>
          <w:szCs w:val="24"/>
        </w:rPr>
        <w:t>份</w:t>
      </w:r>
      <w:r>
        <w:rPr>
          <w:rFonts w:hint="eastAsia" w:asciiTheme="minorEastAsia" w:hAnsiTheme="minorEastAsia"/>
          <w:sz w:val="24"/>
          <w:szCs w:val="24"/>
        </w:rPr>
        <w:t>，当正本、副本内容不符时，均以正本为准；另加电子文档一份。</w:t>
      </w:r>
    </w:p>
    <w:p>
      <w:pPr>
        <w:spacing w:line="360" w:lineRule="auto"/>
        <w:ind w:firstLine="480" w:firstLineChars="200"/>
        <w:rPr>
          <w:rFonts w:asciiTheme="minorEastAsia" w:hAnsiTheme="minorEastAsia"/>
          <w:sz w:val="24"/>
          <w:szCs w:val="24"/>
        </w:rPr>
      </w:pPr>
      <w:r>
        <w:rPr>
          <w:rFonts w:hint="eastAsia" w:ascii="宋体" w:hAnsi="宋体"/>
          <w:sz w:val="24"/>
          <w:szCs w:val="24"/>
        </w:rPr>
        <w:t>6.2 装订及密封要求</w:t>
      </w:r>
    </w:p>
    <w:p>
      <w:pPr>
        <w:spacing w:line="360" w:lineRule="auto"/>
        <w:ind w:firstLine="480" w:firstLineChars="200"/>
        <w:rPr>
          <w:rFonts w:ascii="宋体" w:hAnsi="宋体"/>
          <w:sz w:val="24"/>
          <w:szCs w:val="24"/>
        </w:rPr>
      </w:pPr>
      <w:r>
        <w:rPr>
          <w:rFonts w:hint="eastAsia" w:ascii="宋体" w:hAnsi="宋体"/>
          <w:sz w:val="24"/>
          <w:szCs w:val="24"/>
        </w:rPr>
        <w:t>6.2.1纸张：采用A4规格纸张；</w:t>
      </w:r>
    </w:p>
    <w:p>
      <w:pPr>
        <w:spacing w:line="360" w:lineRule="auto"/>
        <w:ind w:firstLine="480" w:firstLineChars="200"/>
        <w:rPr>
          <w:rFonts w:ascii="宋体" w:hAnsi="宋体"/>
          <w:sz w:val="24"/>
          <w:szCs w:val="24"/>
        </w:rPr>
      </w:pPr>
      <w:r>
        <w:rPr>
          <w:rFonts w:hint="eastAsia" w:ascii="宋体" w:hAnsi="宋体"/>
          <w:sz w:val="24"/>
          <w:szCs w:val="24"/>
        </w:rPr>
        <w:t>6.2.2投标书按招标文件要求提供所有资料，严格按照编制要求的顺序编制投标书并装订成册；</w:t>
      </w:r>
    </w:p>
    <w:p>
      <w:pPr>
        <w:spacing w:line="360" w:lineRule="auto"/>
        <w:ind w:firstLine="480" w:firstLineChars="200"/>
        <w:rPr>
          <w:rFonts w:ascii="宋体" w:hAnsi="宋体"/>
          <w:sz w:val="24"/>
          <w:szCs w:val="24"/>
        </w:rPr>
      </w:pPr>
      <w:r>
        <w:rPr>
          <w:rFonts w:hint="eastAsia" w:ascii="宋体" w:hAnsi="宋体"/>
          <w:sz w:val="24"/>
          <w:szCs w:val="24"/>
        </w:rPr>
        <w:t>6.2.3</w:t>
      </w:r>
      <w:r>
        <w:rPr>
          <w:rFonts w:hint="eastAsia" w:ascii="宋体" w:hAnsi="宋体" w:eastAsia="宋体" w:cs="Times New Roman"/>
          <w:sz w:val="24"/>
          <w:szCs w:val="24"/>
        </w:rPr>
        <w:t>商务、技术、报价</w:t>
      </w:r>
      <w:r>
        <w:rPr>
          <w:rFonts w:hint="eastAsia" w:ascii="宋体" w:hAnsi="宋体"/>
          <w:sz w:val="24"/>
          <w:szCs w:val="24"/>
        </w:rPr>
        <w:t>投标文件的正本、副本均应分别密封包装，封套上应注明项目名称、“正本”或“副本”，写明投标人名称和地址并在密封处加盖投标人公章；</w:t>
      </w:r>
    </w:p>
    <w:p>
      <w:pPr>
        <w:spacing w:line="360" w:lineRule="auto"/>
        <w:ind w:firstLine="480" w:firstLineChars="200"/>
        <w:rPr>
          <w:rFonts w:ascii="宋体" w:hAnsi="宋体"/>
          <w:sz w:val="24"/>
          <w:szCs w:val="24"/>
        </w:rPr>
      </w:pPr>
      <w:r>
        <w:rPr>
          <w:rFonts w:hint="eastAsia" w:ascii="宋体" w:hAnsi="宋体"/>
          <w:sz w:val="24"/>
          <w:szCs w:val="24"/>
        </w:rPr>
        <w:t>6.2.4档案袋封面应有：</w:t>
      </w:r>
    </w:p>
    <w:p>
      <w:pPr>
        <w:spacing w:line="360" w:lineRule="auto"/>
        <w:ind w:firstLine="480" w:firstLineChars="200"/>
        <w:rPr>
          <w:rFonts w:ascii="宋体" w:hAnsi="宋体"/>
          <w:sz w:val="24"/>
          <w:szCs w:val="24"/>
        </w:rPr>
      </w:pPr>
      <w:r>
        <w:rPr>
          <w:rFonts w:hint="eastAsia" w:ascii="宋体" w:hAnsi="宋体"/>
          <w:sz w:val="24"/>
          <w:szCs w:val="24"/>
        </w:rPr>
        <w:t>(1)写上：致台州市交通投资集团有限公司</w:t>
      </w:r>
    </w:p>
    <w:p>
      <w:pPr>
        <w:spacing w:line="360" w:lineRule="auto"/>
        <w:rPr>
          <w:rFonts w:ascii="宋体" w:hAnsi="宋体"/>
          <w:sz w:val="24"/>
          <w:szCs w:val="24"/>
        </w:rPr>
      </w:pPr>
      <w:r>
        <w:rPr>
          <w:rFonts w:hint="eastAsia" w:ascii="宋体" w:hAnsi="宋体"/>
          <w:sz w:val="24"/>
          <w:szCs w:val="24"/>
        </w:rPr>
        <w:t>(2)写上“台州市交通投资集团有限公司企业年金基金受托管理项目”和项目编号)，以及“在（开标日期）以前不得打开信封”字样。</w:t>
      </w:r>
    </w:p>
    <w:p>
      <w:pPr>
        <w:spacing w:line="360" w:lineRule="auto"/>
        <w:ind w:firstLine="480" w:firstLineChars="200"/>
        <w:rPr>
          <w:rFonts w:ascii="宋体" w:hAnsi="宋体"/>
          <w:sz w:val="24"/>
          <w:szCs w:val="24"/>
        </w:rPr>
      </w:pPr>
      <w:r>
        <w:rPr>
          <w:rFonts w:hint="eastAsia" w:ascii="宋体" w:hAnsi="宋体"/>
          <w:sz w:val="24"/>
          <w:szCs w:val="24"/>
        </w:rPr>
        <w:t>（3）密封条应该写明投标人的名称和地址。</w:t>
      </w:r>
    </w:p>
    <w:p>
      <w:pPr>
        <w:spacing w:line="360" w:lineRule="auto"/>
        <w:ind w:firstLine="480" w:firstLineChars="200"/>
        <w:rPr>
          <w:rFonts w:ascii="宋体" w:hAnsi="宋体"/>
          <w:sz w:val="24"/>
          <w:szCs w:val="24"/>
        </w:rPr>
      </w:pPr>
      <w:r>
        <w:rPr>
          <w:rFonts w:hint="eastAsia" w:ascii="宋体" w:hAnsi="宋体"/>
          <w:sz w:val="24"/>
          <w:szCs w:val="24"/>
        </w:rPr>
        <w:t>6.3 投标文件原则上不允许修改，若有修改须法定代表人、负责人或其授权代表签字并加盖公章，否则视为无效投标文件。</w:t>
      </w:r>
    </w:p>
    <w:p>
      <w:pPr>
        <w:spacing w:line="360" w:lineRule="auto"/>
        <w:ind w:firstLine="480" w:firstLineChars="200"/>
        <w:rPr>
          <w:rFonts w:ascii="宋体" w:hAnsi="宋体"/>
          <w:sz w:val="24"/>
          <w:szCs w:val="24"/>
        </w:rPr>
      </w:pPr>
      <w:r>
        <w:rPr>
          <w:rFonts w:hint="eastAsia" w:ascii="宋体" w:hAnsi="宋体"/>
          <w:sz w:val="24"/>
          <w:szCs w:val="24"/>
        </w:rPr>
        <w:t>6.4 投标文件应由投标人在密封后按照规定时间派人送达指定地点：除非另有要求，招标人概不接受电传、电报、传真、电子邮件等不密封提交的投标文件。任何在投标文件递交截止日期之后收到的投标文件将被原封退回。</w:t>
      </w:r>
    </w:p>
    <w:p>
      <w:pPr>
        <w:spacing w:line="360" w:lineRule="auto"/>
        <w:ind w:firstLine="480" w:firstLineChars="200"/>
        <w:rPr>
          <w:rFonts w:ascii="宋体" w:hAnsi="宋体"/>
          <w:sz w:val="24"/>
          <w:szCs w:val="24"/>
        </w:rPr>
      </w:pPr>
      <w:r>
        <w:rPr>
          <w:rFonts w:hint="eastAsia" w:ascii="宋体" w:hAnsi="宋体"/>
          <w:sz w:val="24"/>
          <w:szCs w:val="24"/>
        </w:rPr>
        <w:t>6.5 投标文件的修改</w:t>
      </w:r>
    </w:p>
    <w:p>
      <w:pPr>
        <w:spacing w:line="360" w:lineRule="auto"/>
        <w:ind w:firstLine="480" w:firstLineChars="200"/>
        <w:rPr>
          <w:rFonts w:ascii="宋体" w:hAnsi="宋体"/>
          <w:sz w:val="24"/>
          <w:szCs w:val="24"/>
        </w:rPr>
      </w:pPr>
      <w:r>
        <w:rPr>
          <w:rFonts w:hint="eastAsia" w:ascii="宋体" w:hAnsi="宋体"/>
          <w:sz w:val="24"/>
          <w:szCs w:val="24"/>
        </w:rPr>
        <w:t>6.5.1 投标人在递交投标文件后，可以修改其投标文件，但投标人必须在规定的递交投标文件截止日期之前将修改书面通知递交给指定人员。</w:t>
      </w:r>
    </w:p>
    <w:p>
      <w:pPr>
        <w:spacing w:line="360" w:lineRule="auto"/>
        <w:ind w:firstLine="480" w:firstLineChars="200"/>
        <w:rPr>
          <w:rFonts w:ascii="宋体" w:hAnsi="宋体"/>
          <w:sz w:val="24"/>
          <w:szCs w:val="24"/>
        </w:rPr>
      </w:pPr>
      <w:r>
        <w:rPr>
          <w:rFonts w:hint="eastAsia" w:ascii="宋体" w:hAnsi="宋体"/>
          <w:sz w:val="24"/>
          <w:szCs w:val="24"/>
        </w:rPr>
        <w:t>6.5.2在递交投标文件截止日期后，投标人不得对其投标文件做任何修改。</w:t>
      </w:r>
    </w:p>
    <w:p>
      <w:pPr>
        <w:spacing w:line="360" w:lineRule="auto"/>
        <w:ind w:firstLine="480" w:firstLineChars="200"/>
        <w:rPr>
          <w:rFonts w:ascii="宋体" w:hAnsi="宋体"/>
          <w:sz w:val="24"/>
          <w:szCs w:val="24"/>
        </w:rPr>
      </w:pPr>
      <w:r>
        <w:rPr>
          <w:rFonts w:hint="eastAsia" w:ascii="宋体" w:hAnsi="宋体"/>
          <w:sz w:val="24"/>
          <w:szCs w:val="24"/>
        </w:rPr>
        <w:t>6.5.3从递交投标文件截止日期至投标人在招标文件中确定的投标有效期期满这段时间内，投标人不得撤回其投标文件。</w:t>
      </w:r>
    </w:p>
    <w:p>
      <w:pPr>
        <w:spacing w:line="360" w:lineRule="auto"/>
        <w:ind w:firstLine="480" w:firstLineChars="200"/>
        <w:rPr>
          <w:rFonts w:ascii="宋体" w:hAnsi="宋体"/>
          <w:sz w:val="24"/>
          <w:szCs w:val="24"/>
        </w:rPr>
      </w:pPr>
      <w:r>
        <w:rPr>
          <w:rFonts w:hint="eastAsia" w:ascii="宋体" w:hAnsi="宋体"/>
          <w:sz w:val="24"/>
          <w:szCs w:val="24"/>
        </w:rPr>
        <w:t>6.6 投标文件一经正式接受，将不予退还。</w:t>
      </w:r>
    </w:p>
    <w:p>
      <w:pPr>
        <w:widowControl/>
        <w:ind w:firstLine="200"/>
        <w:jc w:val="left"/>
        <w:rPr>
          <w:rFonts w:ascii="宋体" w:hAnsi="宋体"/>
          <w:sz w:val="24"/>
          <w:szCs w:val="24"/>
        </w:rPr>
      </w:pPr>
      <w:r>
        <w:rPr>
          <w:rFonts w:ascii="宋体" w:hAnsi="宋体"/>
          <w:sz w:val="24"/>
          <w:szCs w:val="24"/>
        </w:rPr>
        <w:br w:type="page"/>
      </w:r>
    </w:p>
    <w:p>
      <w:pPr>
        <w:spacing w:line="360" w:lineRule="auto"/>
        <w:ind w:firstLine="200"/>
        <w:jc w:val="center"/>
        <w:rPr>
          <w:rFonts w:asciiTheme="minorEastAsia" w:hAnsiTheme="minorEastAsia"/>
          <w:b/>
          <w:sz w:val="36"/>
          <w:szCs w:val="36"/>
        </w:rPr>
      </w:pPr>
      <w:r>
        <w:rPr>
          <w:rFonts w:hint="eastAsia" w:asciiTheme="minorEastAsia" w:hAnsiTheme="minorEastAsia"/>
          <w:b/>
          <w:sz w:val="36"/>
          <w:szCs w:val="36"/>
        </w:rPr>
        <w:t>第四章 开标、评标及合同签订</w:t>
      </w:r>
    </w:p>
    <w:p>
      <w:pPr>
        <w:spacing w:line="360" w:lineRule="auto"/>
        <w:ind w:firstLine="200"/>
        <w:rPr>
          <w:rFonts w:asciiTheme="minorEastAsia" w:hAnsiTheme="minorEastAsia"/>
          <w:b/>
          <w:sz w:val="24"/>
          <w:szCs w:val="24"/>
        </w:rPr>
      </w:pPr>
    </w:p>
    <w:p>
      <w:pPr>
        <w:numPr>
          <w:ilvl w:val="0"/>
          <w:numId w:val="2"/>
        </w:numPr>
        <w:spacing w:line="360" w:lineRule="auto"/>
        <w:rPr>
          <w:rFonts w:ascii="宋体" w:hAnsi="宋体" w:cs="Arial"/>
          <w:b/>
          <w:sz w:val="28"/>
          <w:szCs w:val="28"/>
        </w:rPr>
      </w:pPr>
      <w:bookmarkStart w:id="0" w:name="_Toc17216814"/>
      <w:r>
        <w:rPr>
          <w:rFonts w:hint="eastAsia" w:ascii="宋体" w:hAnsi="宋体" w:cs="Arial"/>
          <w:b/>
          <w:sz w:val="28"/>
          <w:szCs w:val="28"/>
        </w:rPr>
        <w:t>开标</w:t>
      </w:r>
      <w:bookmarkEnd w:id="0"/>
    </w:p>
    <w:p>
      <w:pPr>
        <w:pStyle w:val="19"/>
        <w:tabs>
          <w:tab w:val="left" w:pos="616"/>
        </w:tabs>
        <w:spacing w:line="360" w:lineRule="auto"/>
        <w:ind w:firstLine="359" w:firstLineChars="149"/>
        <w:rPr>
          <w:rFonts w:hAnsi="宋体" w:cs="Arial"/>
          <w:b/>
          <w:szCs w:val="24"/>
        </w:rPr>
      </w:pPr>
      <w:r>
        <w:rPr>
          <w:rFonts w:hint="eastAsia" w:hAnsi="宋体" w:cs="Arial"/>
          <w:b/>
          <w:szCs w:val="24"/>
        </w:rPr>
        <w:t>1、招标人按规定的时间和地点进行公开开标。</w:t>
      </w:r>
    </w:p>
    <w:p>
      <w:pPr>
        <w:pStyle w:val="19"/>
        <w:tabs>
          <w:tab w:val="left" w:pos="616"/>
        </w:tabs>
        <w:spacing w:line="360" w:lineRule="auto"/>
        <w:ind w:firstLine="600" w:firstLineChars="250"/>
        <w:rPr>
          <w:rFonts w:hAnsi="宋体" w:cs="Arial"/>
          <w:szCs w:val="24"/>
        </w:rPr>
      </w:pPr>
      <w:r>
        <w:rPr>
          <w:rFonts w:hint="eastAsia" w:hAnsi="宋体" w:cs="Arial"/>
          <w:szCs w:val="24"/>
        </w:rPr>
        <w:t>各投标人均应派法定代表人(或委托代理人) 按招标方通知的时间和地点准时参加，并在开标记录上签名。 若投标人未派法定代表人(或委托代理人)准时出席开标会议，则招标人将宣布该投标人放弃投标。</w:t>
      </w:r>
    </w:p>
    <w:p>
      <w:pPr>
        <w:pStyle w:val="19"/>
        <w:spacing w:line="360" w:lineRule="auto"/>
        <w:ind w:firstLine="241" w:firstLineChars="100"/>
        <w:rPr>
          <w:rFonts w:hAnsi="宋体" w:cs="Arial"/>
          <w:b/>
          <w:szCs w:val="24"/>
        </w:rPr>
      </w:pPr>
      <w:r>
        <w:rPr>
          <w:rFonts w:hint="eastAsia" w:hAnsi="宋体" w:cs="Arial"/>
          <w:b/>
          <w:szCs w:val="24"/>
        </w:rPr>
        <w:t xml:space="preserve"> 2、开标程序：</w:t>
      </w:r>
    </w:p>
    <w:p>
      <w:pPr>
        <w:snapToGrid w:val="0"/>
        <w:spacing w:line="360" w:lineRule="auto"/>
        <w:ind w:firstLine="480" w:firstLineChars="200"/>
        <w:rPr>
          <w:rFonts w:ascii="宋体" w:hAnsi="宋体"/>
          <w:sz w:val="24"/>
        </w:rPr>
      </w:pPr>
      <w:r>
        <w:rPr>
          <w:rFonts w:hint="eastAsia" w:ascii="宋体" w:hAnsi="宋体"/>
          <w:sz w:val="24"/>
        </w:rPr>
        <w:t>1）出席开标会的全体人员签到：包括招标人代表、投标人代表 、监督人、工作人员；</w:t>
      </w:r>
    </w:p>
    <w:p>
      <w:pPr>
        <w:snapToGrid w:val="0"/>
        <w:spacing w:line="360" w:lineRule="auto"/>
        <w:ind w:firstLine="480" w:firstLineChars="200"/>
        <w:rPr>
          <w:rFonts w:ascii="宋体" w:hAnsi="宋体"/>
          <w:sz w:val="24"/>
        </w:rPr>
      </w:pPr>
      <w:r>
        <w:rPr>
          <w:rFonts w:hint="eastAsia" w:ascii="宋体" w:hAnsi="宋体"/>
          <w:sz w:val="24"/>
        </w:rPr>
        <w:t>2）工作人员核实出席开标会议的人员，主持人宣布开标会开始；</w:t>
      </w:r>
    </w:p>
    <w:p>
      <w:pPr>
        <w:snapToGrid w:val="0"/>
        <w:spacing w:line="360" w:lineRule="auto"/>
        <w:ind w:firstLine="480" w:firstLineChars="200"/>
        <w:rPr>
          <w:rFonts w:ascii="宋体" w:hAnsi="宋体"/>
          <w:sz w:val="24"/>
        </w:rPr>
      </w:pPr>
      <w:r>
        <w:rPr>
          <w:rFonts w:hint="eastAsia" w:ascii="宋体" w:hAnsi="宋体"/>
          <w:sz w:val="24"/>
        </w:rPr>
        <w:t>3）主持人介绍主要与会人员：包括招标人代表、投标人代表、监督人、记录人等人员；</w:t>
      </w:r>
    </w:p>
    <w:p>
      <w:pPr>
        <w:snapToGrid w:val="0"/>
        <w:spacing w:line="360" w:lineRule="auto"/>
        <w:ind w:firstLine="480" w:firstLineChars="200"/>
        <w:rPr>
          <w:rFonts w:ascii="宋体" w:hAnsi="宋体"/>
          <w:sz w:val="24"/>
        </w:rPr>
      </w:pPr>
      <w:r>
        <w:rPr>
          <w:rFonts w:hint="eastAsia" w:ascii="宋体" w:hAnsi="宋体"/>
          <w:sz w:val="24"/>
        </w:rPr>
        <w:t>4）监督人宣布开标会纪律和注意事项；</w:t>
      </w:r>
    </w:p>
    <w:p>
      <w:pPr>
        <w:snapToGrid w:val="0"/>
        <w:spacing w:line="360" w:lineRule="auto"/>
        <w:ind w:firstLine="480" w:firstLineChars="200"/>
        <w:rPr>
          <w:rFonts w:ascii="宋体" w:hAnsi="宋体"/>
          <w:sz w:val="24"/>
        </w:rPr>
      </w:pPr>
      <w:r>
        <w:rPr>
          <w:rFonts w:hint="eastAsia" w:ascii="宋体" w:hAnsi="宋体"/>
          <w:sz w:val="24"/>
        </w:rPr>
        <w:t>5）监督人核实投标人的法定代表人或者其委托的代理人的身份证件、授权委托书；</w:t>
      </w:r>
    </w:p>
    <w:p>
      <w:pPr>
        <w:snapToGrid w:val="0"/>
        <w:spacing w:line="360" w:lineRule="auto"/>
        <w:ind w:firstLine="480" w:firstLineChars="200"/>
        <w:rPr>
          <w:rFonts w:ascii="宋体" w:hAnsi="宋体"/>
          <w:sz w:val="24"/>
        </w:rPr>
      </w:pPr>
      <w:r>
        <w:rPr>
          <w:rFonts w:hint="eastAsia" w:ascii="宋体" w:hAnsi="宋体"/>
          <w:sz w:val="24"/>
        </w:rPr>
        <w:t>6）主持人宣布投标截止时间前收到的有效投标文件数量；</w:t>
      </w:r>
    </w:p>
    <w:p>
      <w:pPr>
        <w:snapToGrid w:val="0"/>
        <w:spacing w:line="360" w:lineRule="auto"/>
        <w:ind w:firstLine="480" w:firstLineChars="200"/>
        <w:rPr>
          <w:rFonts w:ascii="宋体" w:hAnsi="宋体"/>
          <w:sz w:val="24"/>
        </w:rPr>
      </w:pPr>
      <w:r>
        <w:rPr>
          <w:rFonts w:hint="eastAsia" w:ascii="宋体" w:hAnsi="宋体"/>
          <w:sz w:val="24"/>
        </w:rPr>
        <w:t>7）招标人、投标人和监督人共同检查各投标人投标书的密封情况；</w:t>
      </w:r>
    </w:p>
    <w:p>
      <w:pPr>
        <w:snapToGrid w:val="0"/>
        <w:spacing w:line="360" w:lineRule="auto"/>
        <w:ind w:firstLine="480" w:firstLineChars="200"/>
        <w:rPr>
          <w:rFonts w:ascii="宋体" w:hAnsi="宋体"/>
          <w:sz w:val="24"/>
        </w:rPr>
      </w:pPr>
      <w:r>
        <w:rPr>
          <w:rFonts w:hint="eastAsia" w:ascii="宋体" w:hAnsi="宋体"/>
          <w:sz w:val="24"/>
        </w:rPr>
        <w:t>8）主持人宣布开标和唱标次序，</w:t>
      </w:r>
      <w:r>
        <w:rPr>
          <w:rFonts w:hint="eastAsia" w:ascii="宋体" w:hAnsi="宋体" w:cs="Arial"/>
          <w:sz w:val="24"/>
        </w:rPr>
        <w:t>如需公布标底的，</w:t>
      </w:r>
      <w:r>
        <w:rPr>
          <w:rFonts w:hint="eastAsia" w:ascii="宋体" w:hAnsi="宋体"/>
          <w:sz w:val="24"/>
        </w:rPr>
        <w:t>主持人公布标底；</w:t>
      </w:r>
    </w:p>
    <w:p>
      <w:pPr>
        <w:snapToGrid w:val="0"/>
        <w:spacing w:line="360" w:lineRule="auto"/>
        <w:ind w:firstLine="480" w:firstLineChars="200"/>
        <w:rPr>
          <w:rFonts w:ascii="宋体" w:hAnsi="宋体"/>
          <w:sz w:val="24"/>
          <w:u w:val="single"/>
        </w:rPr>
      </w:pPr>
      <w:r>
        <w:rPr>
          <w:rFonts w:hint="eastAsia" w:ascii="宋体" w:hAnsi="宋体"/>
          <w:sz w:val="24"/>
          <w:u w:val="single"/>
        </w:rPr>
        <w:t>9）按顺序依次唱标：评标委员会对各投标人进行除报价外的商务及技术进行综合评分并汇总，再宣布各投标人的商务及技术的得分后，唱开报价文件；</w:t>
      </w:r>
    </w:p>
    <w:p>
      <w:pPr>
        <w:snapToGrid w:val="0"/>
        <w:spacing w:line="360" w:lineRule="auto"/>
        <w:ind w:firstLine="354" w:firstLineChars="147"/>
        <w:rPr>
          <w:rFonts w:ascii="宋体" w:hAnsi="宋体"/>
          <w:b/>
          <w:sz w:val="24"/>
        </w:rPr>
      </w:pPr>
      <w:r>
        <w:rPr>
          <w:rFonts w:hint="eastAsia" w:ascii="宋体" w:hAnsi="宋体"/>
          <w:b/>
          <w:sz w:val="24"/>
        </w:rPr>
        <w:t>3、招标人对开标过程进行记录，并存档备查。</w:t>
      </w:r>
    </w:p>
    <w:p>
      <w:pPr>
        <w:pStyle w:val="19"/>
        <w:tabs>
          <w:tab w:val="left" w:pos="616"/>
        </w:tabs>
        <w:spacing w:line="360" w:lineRule="auto"/>
        <w:ind w:firstLine="354" w:firstLineChars="147"/>
        <w:rPr>
          <w:rFonts w:hAnsi="宋体" w:cs="Arial"/>
          <w:szCs w:val="24"/>
        </w:rPr>
      </w:pPr>
      <w:r>
        <w:rPr>
          <w:rFonts w:hint="eastAsia" w:hAnsi="宋体" w:cs="Arial"/>
          <w:b/>
          <w:szCs w:val="24"/>
        </w:rPr>
        <w:t>4、开标时，报价以投标一览表或报价一览表的内容为准。</w:t>
      </w:r>
    </w:p>
    <w:p>
      <w:pPr>
        <w:pStyle w:val="19"/>
        <w:tabs>
          <w:tab w:val="left" w:pos="616"/>
        </w:tabs>
        <w:spacing w:line="360" w:lineRule="auto"/>
        <w:rPr>
          <w:rFonts w:hAnsi="宋体" w:cs="Arial"/>
          <w:szCs w:val="24"/>
        </w:rPr>
      </w:pPr>
      <w:r>
        <w:rPr>
          <w:rFonts w:hint="eastAsia" w:hAnsi="宋体" w:cs="Arial"/>
          <w:szCs w:val="24"/>
        </w:rPr>
        <w:t>报价的大写金额和小写金额不一致的，以大写金额为准；投标人名称与印鉴不一致的，以印鉴为准。</w:t>
      </w:r>
    </w:p>
    <w:p>
      <w:pPr>
        <w:pStyle w:val="18"/>
        <w:ind w:firstLine="337" w:firstLineChars="120"/>
        <w:rPr>
          <w:sz w:val="28"/>
          <w:szCs w:val="28"/>
        </w:rPr>
      </w:pPr>
      <w:bookmarkStart w:id="1" w:name="_Toc304897042"/>
      <w:bookmarkStart w:id="2" w:name="_Toc415501020"/>
      <w:bookmarkStart w:id="3" w:name="_Toc237241782"/>
      <w:bookmarkStart w:id="4" w:name="_Toc414984504"/>
      <w:bookmarkStart w:id="5" w:name="_Toc419971876"/>
      <w:bookmarkStart w:id="6" w:name="_Toc233359813"/>
      <w:r>
        <w:rPr>
          <w:rFonts w:hint="eastAsia"/>
          <w:sz w:val="28"/>
          <w:szCs w:val="28"/>
        </w:rPr>
        <w:t>二、评标</w:t>
      </w:r>
      <w:bookmarkEnd w:id="1"/>
      <w:bookmarkEnd w:id="2"/>
      <w:bookmarkEnd w:id="3"/>
      <w:bookmarkEnd w:id="4"/>
      <w:bookmarkEnd w:id="5"/>
      <w:bookmarkEnd w:id="6"/>
    </w:p>
    <w:p>
      <w:pPr>
        <w:snapToGrid w:val="0"/>
        <w:spacing w:line="360" w:lineRule="auto"/>
        <w:ind w:firstLine="118" w:firstLineChars="49"/>
        <w:rPr>
          <w:rFonts w:ascii="宋体" w:hAnsi="宋体"/>
          <w:b/>
          <w:sz w:val="24"/>
        </w:rPr>
      </w:pPr>
      <w:r>
        <w:rPr>
          <w:rFonts w:hint="eastAsia" w:ascii="宋体" w:hAnsi="宋体"/>
          <w:b/>
          <w:sz w:val="24"/>
        </w:rPr>
        <w:t>1、评标依据及原则</w:t>
      </w:r>
    </w:p>
    <w:p>
      <w:pPr>
        <w:snapToGrid w:val="0"/>
        <w:spacing w:line="360" w:lineRule="auto"/>
        <w:ind w:firstLine="360" w:firstLineChars="150"/>
        <w:rPr>
          <w:rFonts w:ascii="宋体" w:hAnsi="宋体"/>
          <w:sz w:val="24"/>
        </w:rPr>
      </w:pPr>
      <w:r>
        <w:rPr>
          <w:rFonts w:hint="eastAsia" w:ascii="宋体" w:hAnsi="宋体"/>
          <w:sz w:val="24"/>
        </w:rPr>
        <w:t>1）评标依据：依据《中华人民共和国招标投标法》等法律法规，结合本《招标文件》制订的评标办法进行评标。</w:t>
      </w:r>
    </w:p>
    <w:p>
      <w:pPr>
        <w:snapToGrid w:val="0"/>
        <w:spacing w:line="360" w:lineRule="auto"/>
        <w:ind w:firstLine="360" w:firstLineChars="150"/>
        <w:rPr>
          <w:rFonts w:ascii="宋体" w:hAnsi="宋体"/>
          <w:sz w:val="24"/>
        </w:rPr>
      </w:pPr>
      <w:r>
        <w:rPr>
          <w:rFonts w:hint="eastAsia" w:ascii="宋体" w:hAnsi="宋体"/>
          <w:sz w:val="24"/>
        </w:rPr>
        <w:t xml:space="preserve">2）评标原则：评标工作遵循公平、公正、科学和择优的原则。评标委员会成员应客观、公正地履行职责，遵守职业道德，认真对投标文件进行审查、评价和比较，并对所提出的评审意见承担个人责任。 </w:t>
      </w:r>
    </w:p>
    <w:p>
      <w:pPr>
        <w:snapToGrid w:val="0"/>
        <w:spacing w:line="360" w:lineRule="auto"/>
        <w:ind w:firstLine="120" w:firstLineChars="50"/>
        <w:rPr>
          <w:rFonts w:ascii="宋体" w:hAnsi="宋体"/>
          <w:sz w:val="24"/>
        </w:rPr>
      </w:pPr>
      <w:r>
        <w:rPr>
          <w:rFonts w:hint="eastAsia" w:ascii="宋体" w:hAnsi="宋体"/>
          <w:b/>
          <w:sz w:val="24"/>
        </w:rPr>
        <w:t>2、评标组织</w:t>
      </w:r>
    </w:p>
    <w:p>
      <w:pPr>
        <w:snapToGrid w:val="0"/>
        <w:spacing w:line="360" w:lineRule="auto"/>
        <w:ind w:firstLine="353" w:firstLineChars="147"/>
        <w:rPr>
          <w:rFonts w:ascii="宋体" w:hAnsi="宋体"/>
          <w:sz w:val="24"/>
        </w:rPr>
      </w:pPr>
      <w:r>
        <w:rPr>
          <w:rFonts w:hint="eastAsia" w:ascii="宋体" w:hAnsi="宋体"/>
          <w:sz w:val="24"/>
        </w:rPr>
        <w:t>评标工作由招标人依法组建的评标委员会负责，评标委员会成员数量为5人；评标专家的确定：从台州市综合性评标专家库中随机抽取，评标委员会主任在库选专家中推荐或随机抽取。评标委员会成员有下列情形之一的应当回避：</w:t>
      </w:r>
    </w:p>
    <w:p>
      <w:pPr>
        <w:snapToGrid w:val="0"/>
        <w:spacing w:line="360" w:lineRule="auto"/>
        <w:ind w:firstLine="360" w:firstLineChars="150"/>
        <w:rPr>
          <w:rFonts w:ascii="宋体" w:hAnsi="宋体"/>
          <w:sz w:val="24"/>
        </w:rPr>
      </w:pPr>
      <w:r>
        <w:rPr>
          <w:rFonts w:ascii="宋体" w:hAnsi="宋体"/>
          <w:sz w:val="24"/>
        </w:rPr>
        <w:t>1</w:t>
      </w:r>
      <w:r>
        <w:rPr>
          <w:rFonts w:hint="eastAsia" w:ascii="宋体" w:hAnsi="宋体"/>
          <w:sz w:val="24"/>
        </w:rPr>
        <w:t>）招标人或投标人的主要负责人的近亲属；</w:t>
      </w:r>
    </w:p>
    <w:p>
      <w:pPr>
        <w:snapToGrid w:val="0"/>
        <w:spacing w:line="360" w:lineRule="auto"/>
        <w:ind w:firstLine="360" w:firstLineChars="150"/>
        <w:rPr>
          <w:rFonts w:ascii="宋体" w:hAnsi="宋体" w:cs="仿宋_GB2312"/>
          <w:kern w:val="0"/>
          <w:sz w:val="24"/>
        </w:rPr>
      </w:pPr>
      <w:r>
        <w:rPr>
          <w:rFonts w:ascii="宋体" w:hAnsi="宋体"/>
          <w:sz w:val="24"/>
        </w:rPr>
        <w:t>2</w:t>
      </w:r>
      <w:r>
        <w:rPr>
          <w:rFonts w:hint="eastAsia" w:ascii="宋体" w:hAnsi="宋体"/>
          <w:sz w:val="24"/>
        </w:rPr>
        <w:t>）项目主管部门或者台州市交通投资集团有限公司招标监督部门</w:t>
      </w:r>
      <w:r>
        <w:rPr>
          <w:rFonts w:hint="eastAsia" w:ascii="宋体" w:hAnsi="宋体" w:cs="仿宋_GB2312"/>
          <w:kern w:val="0"/>
          <w:sz w:val="24"/>
        </w:rPr>
        <w:t>的人员；</w:t>
      </w:r>
    </w:p>
    <w:p>
      <w:pPr>
        <w:autoSpaceDE w:val="0"/>
        <w:autoSpaceDN w:val="0"/>
        <w:adjustRightInd w:val="0"/>
        <w:spacing w:line="360" w:lineRule="auto"/>
        <w:ind w:firstLine="360" w:firstLineChars="150"/>
        <w:jc w:val="left"/>
        <w:rPr>
          <w:rFonts w:ascii="宋体" w:hAnsi="宋体" w:cs="仿宋_GB2312"/>
          <w:kern w:val="0"/>
          <w:sz w:val="24"/>
        </w:rPr>
      </w:pPr>
      <w:r>
        <w:rPr>
          <w:rFonts w:ascii="宋体" w:hAnsi="宋体" w:cs="TimesNewRomanPSMT"/>
          <w:kern w:val="0"/>
          <w:sz w:val="24"/>
        </w:rPr>
        <w:t>3</w:t>
      </w:r>
      <w:r>
        <w:rPr>
          <w:rFonts w:hint="eastAsia" w:ascii="宋体" w:hAnsi="宋体" w:cs="仿宋_GB2312"/>
          <w:kern w:val="0"/>
          <w:sz w:val="24"/>
        </w:rPr>
        <w:t>）与投标人有经济利益关系，可能影响对投标公正评审的；</w:t>
      </w:r>
    </w:p>
    <w:p>
      <w:pPr>
        <w:autoSpaceDE w:val="0"/>
        <w:autoSpaceDN w:val="0"/>
        <w:adjustRightInd w:val="0"/>
        <w:spacing w:line="360" w:lineRule="auto"/>
        <w:ind w:firstLine="360" w:firstLineChars="150"/>
        <w:jc w:val="left"/>
        <w:rPr>
          <w:rFonts w:ascii="宋体" w:hAnsi="宋体" w:cs="仿宋_GB2312"/>
          <w:kern w:val="0"/>
          <w:sz w:val="24"/>
        </w:rPr>
      </w:pPr>
      <w:r>
        <w:rPr>
          <w:rFonts w:ascii="宋体" w:hAnsi="宋体" w:cs="TimesNewRomanPSMT"/>
          <w:kern w:val="0"/>
          <w:sz w:val="24"/>
        </w:rPr>
        <w:t>4</w:t>
      </w:r>
      <w:r>
        <w:rPr>
          <w:rFonts w:hint="eastAsia" w:ascii="宋体" w:hAnsi="宋体" w:cs="仿宋_GB2312"/>
          <w:kern w:val="0"/>
          <w:sz w:val="24"/>
        </w:rPr>
        <w:t>）曾因在招标、评标以及其他与招标投标有关活动中从事违法行为而受过行政处罚或刑事处罚的。</w:t>
      </w:r>
    </w:p>
    <w:p>
      <w:pPr>
        <w:autoSpaceDE w:val="0"/>
        <w:autoSpaceDN w:val="0"/>
        <w:adjustRightInd w:val="0"/>
        <w:spacing w:line="360" w:lineRule="auto"/>
        <w:ind w:firstLine="482" w:firstLineChars="200"/>
        <w:jc w:val="left"/>
        <w:rPr>
          <w:rFonts w:ascii="宋体" w:hAnsi="宋体" w:cs="仿宋_GB2312"/>
          <w:kern w:val="0"/>
          <w:sz w:val="24"/>
        </w:rPr>
      </w:pPr>
      <w:r>
        <w:rPr>
          <w:rFonts w:hint="eastAsia" w:ascii="宋体"/>
          <w:b/>
          <w:sz w:val="24"/>
        </w:rPr>
        <w:t>3、投标及投标文件的有效性审查</w:t>
      </w:r>
    </w:p>
    <w:p>
      <w:pPr>
        <w:pStyle w:val="19"/>
        <w:tabs>
          <w:tab w:val="left" w:pos="616"/>
        </w:tabs>
        <w:spacing w:line="360" w:lineRule="auto"/>
        <w:ind w:firstLine="360" w:firstLineChars="150"/>
        <w:rPr>
          <w:rFonts w:hAnsi="宋体" w:cs="Arial"/>
          <w:szCs w:val="24"/>
        </w:rPr>
      </w:pPr>
      <w:r>
        <w:rPr>
          <w:rFonts w:hint="eastAsia" w:hAnsi="宋体" w:cs="Arial"/>
          <w:szCs w:val="24"/>
        </w:rPr>
        <w:t>1）资格审查：评标委员会按招标文件要求对投标人资格进行审查，符合招标文件规定的投标人为合格投标人。招标人不接受不合格投标人的投标，评标委员会不对不合格投标人的投标文件进行下一步评审。</w:t>
      </w:r>
    </w:p>
    <w:p>
      <w:pPr>
        <w:pStyle w:val="19"/>
        <w:tabs>
          <w:tab w:val="left" w:pos="616"/>
        </w:tabs>
        <w:spacing w:line="360" w:lineRule="auto"/>
        <w:ind w:firstLine="360" w:firstLineChars="150"/>
        <w:rPr>
          <w:szCs w:val="24"/>
        </w:rPr>
      </w:pPr>
      <w:r>
        <w:rPr>
          <w:rFonts w:hint="eastAsia" w:hAnsi="宋体" w:cs="Arial"/>
          <w:szCs w:val="24"/>
        </w:rPr>
        <w:t>2）符合性检查：评标时，投标文件出现下列情形之一的，被视为对《招标文件》的重大偏离：</w:t>
      </w:r>
    </w:p>
    <w:p>
      <w:pPr>
        <w:spacing w:line="360" w:lineRule="auto"/>
        <w:ind w:firstLine="360" w:firstLineChars="150"/>
        <w:rPr>
          <w:rFonts w:ascii="宋体" w:hAnsi="宋体" w:cs="Arial"/>
          <w:sz w:val="24"/>
        </w:rPr>
      </w:pPr>
      <w:r>
        <w:rPr>
          <w:rFonts w:ascii="宋体" w:hAnsi="宋体" w:cs="Arial"/>
          <w:sz w:val="24"/>
        </w:rPr>
        <w:t>A</w:t>
      </w:r>
      <w:r>
        <w:rPr>
          <w:rFonts w:hint="eastAsia" w:ascii="宋体" w:hAnsi="宋体" w:cs="Arial"/>
          <w:sz w:val="24"/>
        </w:rPr>
        <w:t>、</w:t>
      </w:r>
      <w:r>
        <w:rPr>
          <w:rFonts w:hint="eastAsia" w:hAnsi="宋体" w:cs="Arial"/>
          <w:spacing w:val="4"/>
          <w:sz w:val="24"/>
        </w:rPr>
        <w:t>投标文件不完整、总体编排无序；</w:t>
      </w:r>
    </w:p>
    <w:p>
      <w:pPr>
        <w:spacing w:line="360" w:lineRule="auto"/>
        <w:ind w:firstLine="360" w:firstLineChars="150"/>
        <w:rPr>
          <w:rFonts w:ascii="宋体" w:hAnsi="宋体" w:cs="Arial"/>
          <w:sz w:val="24"/>
        </w:rPr>
      </w:pPr>
      <w:r>
        <w:rPr>
          <w:rFonts w:hint="eastAsia" w:ascii="宋体" w:hAnsi="宋体" w:cs="Arial"/>
          <w:sz w:val="24"/>
        </w:rPr>
        <w:t>B、投标文件未按照《招标文件》要求编制密封，或未经法定代表人或者授权代理人签字并加盖投标人公章，或未按招标文件要求提供投标书正、副本；</w:t>
      </w:r>
    </w:p>
    <w:p>
      <w:pPr>
        <w:pStyle w:val="14"/>
        <w:numPr>
          <w:ilvl w:val="0"/>
          <w:numId w:val="3"/>
        </w:numPr>
        <w:spacing w:line="360" w:lineRule="auto"/>
        <w:ind w:firstLineChars="0"/>
        <w:rPr>
          <w:rFonts w:ascii="宋体" w:hAnsi="宋体" w:cs="Arial"/>
          <w:sz w:val="24"/>
        </w:rPr>
      </w:pPr>
      <w:r>
        <w:rPr>
          <w:rFonts w:hint="eastAsia" w:ascii="宋体" w:hAnsi="宋体" w:cs="Arial"/>
          <w:sz w:val="24"/>
        </w:rPr>
        <w:t>未签署招标文件规定的保密协议；</w:t>
      </w:r>
    </w:p>
    <w:p>
      <w:pPr>
        <w:spacing w:line="360" w:lineRule="auto"/>
        <w:ind w:left="360"/>
        <w:rPr>
          <w:rFonts w:ascii="宋体" w:hAnsi="宋体" w:cs="Arial"/>
          <w:sz w:val="24"/>
        </w:rPr>
      </w:pPr>
      <w:r>
        <w:rPr>
          <w:rFonts w:hint="eastAsia" w:ascii="宋体" w:hAnsi="宋体" w:cs="Arial"/>
          <w:sz w:val="24"/>
        </w:rPr>
        <w:t>D、投标人超出经营范围投标、资质证明文件不全、业绩不满足招标文件要求；</w:t>
      </w:r>
    </w:p>
    <w:p>
      <w:pPr>
        <w:spacing w:line="360" w:lineRule="auto"/>
        <w:ind w:firstLine="360" w:firstLineChars="150"/>
        <w:rPr>
          <w:rFonts w:hAnsi="宋体" w:cs="Arial"/>
          <w:sz w:val="24"/>
        </w:rPr>
      </w:pPr>
      <w:r>
        <w:rPr>
          <w:rFonts w:hint="eastAsia" w:ascii="宋体" w:hAnsi="宋体" w:cs="Arial"/>
          <w:sz w:val="24"/>
        </w:rPr>
        <w:t>E、对招标文件所附合同中的法律适用、争议解决、知识产权等关键条件提出任何偏离、保留或反对，或提出合同赔偿限额等招标人无法接受的其他额外合同条件</w:t>
      </w:r>
      <w:bookmarkStart w:id="7" w:name="_Toc385992354"/>
      <w:bookmarkStart w:id="8" w:name="_Toc389620193"/>
      <w:r>
        <w:rPr>
          <w:rFonts w:hint="eastAsia" w:ascii="宋体" w:hAnsi="宋体" w:cs="Arial"/>
          <w:sz w:val="24"/>
        </w:rPr>
        <w:t>；</w:t>
      </w:r>
      <w:r>
        <w:rPr>
          <w:rFonts w:hint="eastAsia" w:hAnsi="宋体" w:cs="Arial"/>
          <w:sz w:val="24"/>
        </w:rPr>
        <w:t>通过资格复审并且无重大偏差的投标文件为有效投标，可以进入下一阶段评标；否则为无效投标，作废标处理。</w:t>
      </w:r>
    </w:p>
    <w:p>
      <w:pPr>
        <w:spacing w:line="360" w:lineRule="auto"/>
        <w:ind w:firstLine="361" w:firstLineChars="150"/>
        <w:rPr>
          <w:rFonts w:hAnsi="宋体" w:cs="Arial"/>
          <w:b/>
          <w:sz w:val="24"/>
        </w:rPr>
      </w:pPr>
      <w:r>
        <w:rPr>
          <w:rFonts w:hint="eastAsia" w:hAnsi="宋体" w:cs="Arial"/>
          <w:b/>
          <w:sz w:val="24"/>
        </w:rPr>
        <w:t xml:space="preserve"> 4、定标：</w:t>
      </w:r>
    </w:p>
    <w:p>
      <w:pPr>
        <w:spacing w:line="360" w:lineRule="auto"/>
        <w:ind w:firstLine="360" w:firstLineChars="150"/>
        <w:rPr>
          <w:rFonts w:hAnsi="宋体" w:cs="Arial"/>
          <w:sz w:val="24"/>
        </w:rPr>
      </w:pPr>
      <w:r>
        <w:rPr>
          <w:rFonts w:hint="eastAsia" w:hAnsi="宋体" w:cs="Arial"/>
          <w:sz w:val="24"/>
        </w:rPr>
        <w:t>如有效标不足3家，多数评标专家认为充分具备竞争性的，评标委员会领导小组可以继续评标。</w:t>
      </w:r>
    </w:p>
    <w:bookmarkEnd w:id="7"/>
    <w:bookmarkEnd w:id="8"/>
    <w:p>
      <w:pPr>
        <w:spacing w:line="360" w:lineRule="auto"/>
        <w:ind w:firstLine="354" w:firstLineChars="147"/>
        <w:rPr>
          <w:rFonts w:ascii="宋体" w:hAnsi="宋体" w:cs="Arial"/>
          <w:b/>
          <w:sz w:val="24"/>
        </w:rPr>
      </w:pPr>
      <w:r>
        <w:rPr>
          <w:rFonts w:hint="eastAsia" w:ascii="宋体" w:hAnsi="宋体" w:cs="Arial"/>
          <w:b/>
          <w:sz w:val="24"/>
        </w:rPr>
        <w:t>5、投标文件的澄清</w:t>
      </w:r>
    </w:p>
    <w:p>
      <w:pPr>
        <w:pStyle w:val="19"/>
        <w:tabs>
          <w:tab w:val="left" w:pos="616"/>
        </w:tabs>
        <w:spacing w:line="360" w:lineRule="auto"/>
        <w:ind w:firstLine="240" w:firstLineChars="100"/>
        <w:rPr>
          <w:rFonts w:hAnsi="宋体" w:cs="Arial"/>
          <w:szCs w:val="24"/>
        </w:rPr>
      </w:pPr>
      <w:bookmarkStart w:id="9" w:name="_Toc389620196"/>
      <w:bookmarkStart w:id="10" w:name="_Toc385992357"/>
      <w:r>
        <w:rPr>
          <w:rFonts w:hint="eastAsia" w:hAnsi="宋体" w:cs="Arial"/>
          <w:szCs w:val="24"/>
        </w:rPr>
        <w:t>在评标期间，评标委员会可要求投标人对其投标文件中含义不明确的内容做必要的澄清或说明，但澄清或说明不得超出投标文件的范围或改变投标文件实质性内容。投标人应对澄清要求中的问题逐一进行书面解答，并由法定代表人或其委托代理人签字，按照评标委员会要求的时间提交。澄清的内容为投标文件的组成部分。如投标人不提交对澄清问题的书面解答或其书面解答不为评标委员会接受，则其投标将被拒绝。</w:t>
      </w:r>
    </w:p>
    <w:bookmarkEnd w:id="9"/>
    <w:bookmarkEnd w:id="10"/>
    <w:p>
      <w:pPr>
        <w:spacing w:line="360" w:lineRule="auto"/>
        <w:ind w:firstLine="354" w:firstLineChars="147"/>
        <w:rPr>
          <w:rFonts w:ascii="宋体" w:hAnsi="宋体" w:cs="Arial"/>
          <w:b/>
          <w:sz w:val="24"/>
        </w:rPr>
      </w:pPr>
      <w:r>
        <w:rPr>
          <w:rFonts w:hint="eastAsia" w:ascii="宋体" w:hAnsi="宋体" w:cs="Arial"/>
          <w:b/>
          <w:sz w:val="24"/>
        </w:rPr>
        <w:t>6、投标文件的评估和比较</w:t>
      </w:r>
    </w:p>
    <w:p>
      <w:pPr>
        <w:pStyle w:val="19"/>
        <w:tabs>
          <w:tab w:val="left" w:pos="616"/>
        </w:tabs>
        <w:spacing w:line="360" w:lineRule="auto"/>
        <w:ind w:firstLine="360" w:firstLineChars="150"/>
        <w:rPr>
          <w:rFonts w:hAnsi="宋体" w:cs="Arial"/>
          <w:szCs w:val="24"/>
        </w:rPr>
      </w:pPr>
      <w:r>
        <w:rPr>
          <w:rFonts w:hint="eastAsia" w:hAnsi="宋体" w:cs="Arial"/>
          <w:szCs w:val="24"/>
        </w:rPr>
        <w:t>1）评标委员会将对已按规定被定为实质性响应的投标文件进行评估。评标委员会将遵循公平、公正、科学和择优的原则，按综合评估法进行投标评审，确定投标人的排名。</w:t>
      </w:r>
    </w:p>
    <w:p>
      <w:pPr>
        <w:pStyle w:val="19"/>
        <w:tabs>
          <w:tab w:val="left" w:pos="616"/>
        </w:tabs>
        <w:spacing w:line="360" w:lineRule="auto"/>
        <w:ind w:firstLine="360" w:firstLineChars="150"/>
        <w:rPr>
          <w:rFonts w:hAnsi="宋体" w:cs="Arial"/>
          <w:szCs w:val="24"/>
        </w:rPr>
      </w:pPr>
      <w:bookmarkStart w:id="11" w:name="_Toc385992359"/>
      <w:bookmarkStart w:id="12" w:name="_Toc389620198"/>
      <w:r>
        <w:rPr>
          <w:rFonts w:hint="eastAsia" w:hAnsi="宋体" w:cs="Arial"/>
          <w:szCs w:val="24"/>
        </w:rPr>
        <w:t>2）评标委员会对投标文件进行评审和比较，向招标人提交书面评标报告，并向招标人推荐合格投标人为中标候选人。</w:t>
      </w:r>
    </w:p>
    <w:p>
      <w:pPr>
        <w:pStyle w:val="19"/>
        <w:numPr>
          <w:ilvl w:val="0"/>
          <w:numId w:val="4"/>
        </w:numPr>
        <w:tabs>
          <w:tab w:val="left" w:pos="616"/>
        </w:tabs>
        <w:spacing w:line="360" w:lineRule="auto"/>
        <w:ind w:firstLineChars="0"/>
        <w:rPr>
          <w:rFonts w:hAnsi="宋体" w:cs="Arial"/>
          <w:szCs w:val="24"/>
        </w:rPr>
      </w:pPr>
      <w:r>
        <w:rPr>
          <w:rFonts w:hint="eastAsia" w:hAnsi="宋体" w:cs="Arial"/>
          <w:szCs w:val="24"/>
        </w:rPr>
        <w:t>评标委员会经评审，认为所有投标都不符合《招标文件》要求的，可以否决所有投标。</w:t>
      </w:r>
    </w:p>
    <w:bookmarkEnd w:id="11"/>
    <w:bookmarkEnd w:id="12"/>
    <w:p>
      <w:pPr>
        <w:tabs>
          <w:tab w:val="left" w:pos="840"/>
        </w:tabs>
        <w:spacing w:line="360" w:lineRule="auto"/>
        <w:ind w:firstLine="472" w:firstLineChars="196"/>
        <w:rPr>
          <w:rFonts w:ascii="宋体" w:hAnsi="宋体" w:cs="Arial"/>
          <w:b/>
          <w:sz w:val="24"/>
        </w:rPr>
      </w:pPr>
      <w:r>
        <w:rPr>
          <w:rFonts w:hint="eastAsia" w:ascii="宋体" w:hAnsi="宋体" w:cs="Arial"/>
          <w:b/>
          <w:sz w:val="24"/>
        </w:rPr>
        <w:t>7、评标过程的保密</w:t>
      </w:r>
    </w:p>
    <w:p>
      <w:pPr>
        <w:pStyle w:val="19"/>
        <w:tabs>
          <w:tab w:val="left" w:pos="616"/>
          <w:tab w:val="left" w:pos="945"/>
        </w:tabs>
        <w:spacing w:line="360" w:lineRule="auto"/>
        <w:ind w:firstLine="360" w:firstLineChars="150"/>
        <w:rPr>
          <w:rFonts w:hAnsi="宋体" w:cs="Arial"/>
          <w:szCs w:val="24"/>
        </w:rPr>
      </w:pPr>
      <w:r>
        <w:rPr>
          <w:rFonts w:hint="eastAsia" w:hAnsi="宋体" w:cs="Arial"/>
          <w:szCs w:val="24"/>
        </w:rPr>
        <w:t>1）开标日起到授予中标人合同时止，评标委员会成员和与评标工作有关的工作人员不得透露对投标文件的评审和比较、中标候选人的推荐情况以及与评标有关的其他情况。</w:t>
      </w:r>
    </w:p>
    <w:p>
      <w:pPr>
        <w:pStyle w:val="19"/>
        <w:tabs>
          <w:tab w:val="left" w:pos="616"/>
        </w:tabs>
        <w:spacing w:line="360" w:lineRule="auto"/>
        <w:ind w:firstLine="360" w:firstLineChars="150"/>
        <w:rPr>
          <w:rFonts w:hAnsi="宋体" w:cs="Arial"/>
          <w:szCs w:val="24"/>
        </w:rPr>
      </w:pPr>
      <w:r>
        <w:rPr>
          <w:rFonts w:hint="eastAsia" w:hAnsi="宋体" w:cs="Arial"/>
          <w:szCs w:val="24"/>
        </w:rPr>
        <w:t>2）在投标文件的评审和比较、中标候选人推荐以及授予合同的过程中，投标人试图影响招标人在评标、授予合同方面的任何尝试，都将会导致其投标被拒绝。</w:t>
      </w:r>
    </w:p>
    <w:p>
      <w:pPr>
        <w:pStyle w:val="19"/>
        <w:tabs>
          <w:tab w:val="left" w:pos="616"/>
          <w:tab w:val="left" w:pos="1260"/>
        </w:tabs>
        <w:spacing w:line="360" w:lineRule="auto"/>
        <w:ind w:firstLine="360" w:firstLineChars="150"/>
        <w:rPr>
          <w:rFonts w:hAnsi="宋体" w:cs="Arial"/>
          <w:szCs w:val="24"/>
        </w:rPr>
      </w:pPr>
      <w:r>
        <w:rPr>
          <w:rFonts w:hint="eastAsia" w:hAnsi="宋体" w:cs="Arial"/>
          <w:szCs w:val="24"/>
        </w:rPr>
        <w:t>3）中标人确定后，招标人不对未中标人就评标过程以及未能中标原因做出任何解释。未中标人不得向评标委员会组成人员或其他有关人员索问评标过程的情况和材料。</w:t>
      </w:r>
    </w:p>
    <w:p>
      <w:pPr>
        <w:spacing w:line="360" w:lineRule="auto"/>
        <w:ind w:firstLine="472" w:firstLineChars="196"/>
        <w:rPr>
          <w:rFonts w:ascii="宋体" w:hAnsi="宋体" w:cs="Arial"/>
          <w:b/>
          <w:sz w:val="24"/>
        </w:rPr>
      </w:pPr>
      <w:r>
        <w:rPr>
          <w:rFonts w:hint="eastAsia" w:ascii="宋体" w:hAnsi="宋体" w:cs="Arial"/>
          <w:b/>
          <w:sz w:val="24"/>
        </w:rPr>
        <w:t>8、评标委员会完成评标后，向招标人提出书面评标报告。</w:t>
      </w:r>
    </w:p>
    <w:p>
      <w:pPr>
        <w:spacing w:line="360" w:lineRule="auto"/>
        <w:rPr>
          <w:rFonts w:asciiTheme="minorEastAsia" w:hAnsiTheme="minorEastAsia"/>
          <w:b/>
          <w:sz w:val="24"/>
          <w:szCs w:val="24"/>
        </w:rPr>
      </w:pP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三、评审办法</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3.1  本次招标采用综合评估法。主要考察投标人受托管理的综合实力、服务能力，以及所提供的集合计划其他管理机构情况、收益情况和报价情况。 </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3.2  评标委员会将根据投标人的产品概况、报价、资质、受托能力、风险控制、服务承诺、服务质量、工作效率、服务便捷性等因素，综合评定中标人，不保证最低投标价格中标。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3.3  在评审过程中，投标人不得以任何理由、任何形式干扰招标人的评标工作，否则，其标书被判为废标。</w:t>
      </w:r>
    </w:p>
    <w:p>
      <w:pPr>
        <w:spacing w:line="360" w:lineRule="auto"/>
        <w:rPr>
          <w:rFonts w:ascii="宋体" w:hAnsi="宋体"/>
          <w:b/>
          <w:sz w:val="24"/>
          <w:szCs w:val="24"/>
        </w:rPr>
      </w:pPr>
      <w:r>
        <w:rPr>
          <w:rFonts w:hint="eastAsia" w:ascii="宋体" w:hAnsi="宋体"/>
          <w:b/>
          <w:sz w:val="24"/>
          <w:szCs w:val="24"/>
        </w:rPr>
        <w:t xml:space="preserve"> 四.评标机构</w:t>
      </w:r>
    </w:p>
    <w:p>
      <w:pPr>
        <w:spacing w:line="360" w:lineRule="auto"/>
        <w:ind w:firstLine="235" w:firstLineChars="98"/>
        <w:rPr>
          <w:rFonts w:ascii="宋体" w:hAnsi="宋体"/>
          <w:bCs/>
          <w:sz w:val="24"/>
          <w:szCs w:val="24"/>
        </w:rPr>
      </w:pPr>
      <w:r>
        <w:rPr>
          <w:rFonts w:hint="eastAsia" w:ascii="宋体" w:hAnsi="宋体"/>
          <w:bCs/>
          <w:sz w:val="24"/>
          <w:szCs w:val="24"/>
        </w:rPr>
        <w:t>评标委员会构成：5人；评标专家确定方式：从台州市综合性评标专家库中随机抽取，评标委员会主任在库选专家中推荐或随机抽取。</w:t>
      </w:r>
    </w:p>
    <w:p>
      <w:pPr>
        <w:spacing w:line="360" w:lineRule="auto"/>
        <w:rPr>
          <w:rFonts w:ascii="宋体" w:hAnsi="宋体"/>
          <w:sz w:val="24"/>
          <w:szCs w:val="24"/>
        </w:rPr>
      </w:pPr>
      <w:r>
        <w:rPr>
          <w:rFonts w:hint="eastAsia" w:ascii="宋体" w:hAnsi="宋体"/>
          <w:sz w:val="24"/>
          <w:szCs w:val="24"/>
        </w:rPr>
        <w:t xml:space="preserve">   评标委员会的职责主要是：</w:t>
      </w:r>
    </w:p>
    <w:p>
      <w:pPr>
        <w:numPr>
          <w:ilvl w:val="0"/>
          <w:numId w:val="5"/>
        </w:numPr>
        <w:tabs>
          <w:tab w:val="left" w:pos="851"/>
          <w:tab w:val="clear" w:pos="1065"/>
        </w:tabs>
        <w:spacing w:line="360" w:lineRule="auto"/>
        <w:ind w:left="1200" w:hanging="774"/>
        <w:rPr>
          <w:rFonts w:ascii="宋体" w:hAnsi="宋体"/>
          <w:sz w:val="24"/>
          <w:szCs w:val="24"/>
        </w:rPr>
      </w:pPr>
      <w:r>
        <w:rPr>
          <w:rFonts w:hint="eastAsia" w:ascii="宋体" w:hAnsi="宋体"/>
          <w:sz w:val="24"/>
          <w:szCs w:val="24"/>
        </w:rPr>
        <w:t>根据评标办法，对标书进行综合评审，完成评审报告；</w:t>
      </w:r>
    </w:p>
    <w:p>
      <w:pPr>
        <w:numPr>
          <w:ilvl w:val="0"/>
          <w:numId w:val="5"/>
        </w:numPr>
        <w:tabs>
          <w:tab w:val="left" w:pos="851"/>
          <w:tab w:val="clear" w:pos="1065"/>
        </w:tabs>
        <w:spacing w:line="360" w:lineRule="auto"/>
        <w:ind w:left="1200" w:hanging="774"/>
        <w:rPr>
          <w:rFonts w:asciiTheme="minorEastAsia" w:hAnsiTheme="minorEastAsia"/>
          <w:sz w:val="24"/>
          <w:szCs w:val="24"/>
        </w:rPr>
      </w:pPr>
      <w:r>
        <w:rPr>
          <w:rFonts w:hint="eastAsia" w:ascii="宋体" w:hAnsi="宋体"/>
          <w:sz w:val="24"/>
          <w:szCs w:val="24"/>
        </w:rPr>
        <w:t>向招标人报告评审意见，推荐合格的中标候选人。</w:t>
      </w:r>
    </w:p>
    <w:p>
      <w:pPr>
        <w:tabs>
          <w:tab w:val="left" w:pos="851"/>
        </w:tabs>
        <w:spacing w:line="360" w:lineRule="auto"/>
        <w:ind w:left="426"/>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五.中标通知</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3.1 中标候选人公示媒介：同招标文件发布网。</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3.2 中标通知书生效后，如果已中标的投标人不能按投标文件中承诺的条件履行签约行为，招标人可以确定排名第二的中标候选人为中标人作为新的合同授予人，或重新招标。</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3.3 中标通知书将成为合同的一个组成部分。</w:t>
      </w:r>
    </w:p>
    <w:p>
      <w:pPr>
        <w:spacing w:line="360" w:lineRule="auto"/>
        <w:rPr>
          <w:rFonts w:asciiTheme="minorEastAsia" w:hAnsiTheme="minorEastAsia"/>
          <w:sz w:val="24"/>
          <w:szCs w:val="24"/>
        </w:rPr>
      </w:pPr>
    </w:p>
    <w:p>
      <w:pPr>
        <w:spacing w:line="360" w:lineRule="auto"/>
        <w:rPr>
          <w:rFonts w:asciiTheme="minorEastAsia" w:hAnsiTheme="minorEastAsia"/>
          <w:b/>
          <w:sz w:val="24"/>
          <w:szCs w:val="24"/>
        </w:rPr>
      </w:pPr>
      <w:r>
        <w:rPr>
          <w:rFonts w:hint="eastAsia" w:asciiTheme="minorEastAsia" w:hAnsiTheme="minorEastAsia"/>
          <w:b/>
          <w:sz w:val="24"/>
          <w:szCs w:val="24"/>
        </w:rPr>
        <w:t>六. 签订合同</w:t>
      </w:r>
    </w:p>
    <w:p>
      <w:pPr>
        <w:spacing w:line="360" w:lineRule="auto"/>
        <w:ind w:firstLine="360" w:firstLineChars="150"/>
        <w:rPr>
          <w:rFonts w:asciiTheme="minorEastAsia" w:hAnsiTheme="minorEastAsia"/>
          <w:sz w:val="24"/>
          <w:szCs w:val="24"/>
        </w:rPr>
      </w:pPr>
      <w:bookmarkStart w:id="13" w:name="_Toc300066643"/>
      <w:bookmarkStart w:id="14" w:name="_Toc335666573"/>
      <w:bookmarkStart w:id="15" w:name="_Toc335666509"/>
      <w:r>
        <w:rPr>
          <w:rFonts w:hint="eastAsia" w:asciiTheme="minorEastAsia" w:hAnsiTheme="minorEastAsia"/>
          <w:sz w:val="24"/>
          <w:szCs w:val="24"/>
        </w:rPr>
        <w:t>4.1  中标人应按照招标人通知的时间、地点、与招标人商谈《台州市交通投资集团有限公司企业年金受托管理合同》；</w:t>
      </w:r>
    </w:p>
    <w:p>
      <w:pPr>
        <w:spacing w:line="360" w:lineRule="auto"/>
        <w:ind w:firstLine="360" w:firstLineChars="150"/>
        <w:rPr>
          <w:rFonts w:asciiTheme="minorEastAsia" w:hAnsiTheme="minorEastAsia"/>
          <w:sz w:val="24"/>
          <w:szCs w:val="24"/>
        </w:rPr>
      </w:pPr>
      <w:r>
        <w:rPr>
          <w:rFonts w:hint="eastAsia" w:asciiTheme="minorEastAsia" w:hAnsiTheme="minorEastAsia"/>
          <w:sz w:val="24"/>
          <w:szCs w:val="24"/>
        </w:rPr>
        <w:t>4.2  招标文件、中标人的投标文件及其补充文件和澄清，均为合同内容的依据。</w:t>
      </w:r>
    </w:p>
    <w:p>
      <w:pPr>
        <w:widowControl/>
        <w:ind w:firstLine="2715" w:firstLineChars="1127"/>
        <w:jc w:val="left"/>
        <w:rPr>
          <w:rFonts w:asciiTheme="minorEastAsia" w:hAnsiTheme="minorEastAsia"/>
          <w:b/>
          <w:sz w:val="24"/>
          <w:szCs w:val="24"/>
        </w:rPr>
      </w:pPr>
      <w:r>
        <w:rPr>
          <w:rFonts w:asciiTheme="minorEastAsia" w:hAnsiTheme="minorEastAsia"/>
          <w:b/>
          <w:sz w:val="24"/>
          <w:szCs w:val="24"/>
        </w:rPr>
        <w:br w:type="page"/>
      </w:r>
      <w:r>
        <w:rPr>
          <w:rFonts w:hint="eastAsia" w:asciiTheme="minorEastAsia" w:hAnsiTheme="minorEastAsia"/>
          <w:b/>
          <w:sz w:val="36"/>
          <w:szCs w:val="36"/>
        </w:rPr>
        <w:t xml:space="preserve">第五章  </w:t>
      </w:r>
      <w:bookmarkStart w:id="16" w:name="_Toc290988714"/>
      <w:bookmarkEnd w:id="13"/>
      <w:bookmarkEnd w:id="14"/>
      <w:bookmarkEnd w:id="15"/>
      <w:r>
        <w:rPr>
          <w:rFonts w:hint="eastAsia" w:asciiTheme="minorEastAsia" w:hAnsiTheme="minorEastAsia"/>
          <w:b/>
          <w:sz w:val="36"/>
          <w:szCs w:val="36"/>
        </w:rPr>
        <w:t>附件</w:t>
      </w:r>
    </w:p>
    <w:p>
      <w:pPr>
        <w:rPr>
          <w:rFonts w:asciiTheme="minorEastAsia" w:hAnsiTheme="minorEastAsia"/>
          <w:b/>
          <w:sz w:val="28"/>
          <w:szCs w:val="28"/>
        </w:rPr>
      </w:pPr>
      <w:r>
        <w:rPr>
          <w:rFonts w:hint="eastAsia" w:asciiTheme="minorEastAsia" w:hAnsiTheme="minorEastAsia"/>
          <w:b/>
          <w:sz w:val="28"/>
          <w:szCs w:val="28"/>
        </w:rPr>
        <w:t>附件</w:t>
      </w:r>
      <w:bookmarkEnd w:id="16"/>
      <w:r>
        <w:rPr>
          <w:rFonts w:hint="eastAsia" w:asciiTheme="minorEastAsia" w:hAnsiTheme="minorEastAsia"/>
          <w:b/>
          <w:sz w:val="28"/>
          <w:szCs w:val="28"/>
        </w:rPr>
        <w:t>1： 投标函</w:t>
      </w:r>
    </w:p>
    <w:p>
      <w:pPr>
        <w:rPr>
          <w:rFonts w:asciiTheme="minorEastAsia" w:hAnsiTheme="minorEastAsia"/>
          <w:sz w:val="24"/>
          <w:szCs w:val="24"/>
        </w:rPr>
      </w:pPr>
      <w:r>
        <w:rPr>
          <w:rFonts w:asciiTheme="minorEastAsia" w:hAnsiTheme="minorEastAsia"/>
          <w:sz w:val="24"/>
          <w:szCs w:val="24"/>
        </w:rPr>
        <w:pict>
          <v:rect id="_x0000_s1026" o:spid="_x0000_s1026" o:spt="1" style="position:absolute;left:0pt;margin-left:9.75pt;margin-top:7.8pt;height:608.4pt;width:423pt;z-index:251660288;mso-width-relative:page;mso-height-relative:page;" filled="f" coordsize="21600,21600" o:gfxdata="UEsDBAoAAAAAAIdO4kAAAAAAAAAAAAAAAAAEAAAAZHJzL1BLAwQUAAAACACHTuJAg67TItcAAAAK&#10;AQAADwAAAGRycy9kb3ducmV2LnhtbE2PwU7DMBBE70j8g7VI3KjTlEZRGqcqiF4rUZCgNzde7Kjx&#10;Oordpvw9ywmO+2Y0O1Ovr74XFxxjF0jBfJaBQGqD6cgqeH/bPpQgYtJkdB8IFXxjhHVze1PryoSJ&#10;XvGyT1ZwCMVKK3ApDZWUsXXodZyFAYm1rzB6nfgcrTSjnjjc9zLPskJ63RF/cHrAZ4ftaX/2Cl6G&#10;w26ztFFuPpL7PIWnaet2Vqn7u3m2ApHwmv7M8Fufq0PDnY7hTCaKXsGi4CmJ+bIAwXpZ5gyODPJF&#10;/giyqeX/Cc0PUEsDBBQAAAAIAIdO4kCTbtHj5AEAALMDAAAOAAAAZHJzL2Uyb0RvYy54bWytU82O&#10;0zAQviPxDpbvNG1Q2yVqugfKckGw0sIDTG0nseQ/ebxN+jRI3HgIHgfxGozd0gX2skLk4Iw942/m&#10;+2a8uZ6sYQcVUXvX8sVszplywkvt+pZ/+njz4oozTOAkGO9Uy48K+fX2+bPNGBpV+8EbqSIjEIfN&#10;GFo+pBSaqkIxKAs480E5cnY+Wki0jX0lI4yEbk1Vz+eravRRhuiFQqTT3cnJtwW/65RIH7oOVWKm&#10;5VRbKmss6z6v1XYDTR8hDFqcy4B/qMKCdpT0ArWDBOw+6kdQVovo0XdpJrytfNdpoQoHYrOY/8Xm&#10;boCgChcSB8NFJvx/sOL94TYyLal3nDmw1KIfn79+//aF1VmbMWBDIXfhNp53SGYmOnXR5j9RYFPR&#10;83jRU02JCTpcvlzXiznJLsi3Xter1VVRvHq4HiKmt8pblo2WR2pY0REO7zBRSgr9FZKzOX+jjSlN&#10;M46NLX+1rJeEDzQ6nYFEpg1EBl1fYNAbLfOVfBljv39tIjtAHobyZY6U4o+wnG8HOJziius0JlYn&#10;lWWAZlAg3zjJ0jGQYI4mm+dirJKcGUUPIVslMoE2T4mkIoyjWrLgJ4mzlab9RDDZ3Ht5pE7dh6j7&#10;gZRalNKzhyajkDhPcR693/cF9OGtbX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67TItcAAAAK&#10;AQAADwAAAAAAAAABACAAAAAiAAAAZHJzL2Rvd25yZXYueG1sUEsBAhQAFAAAAAgAh07iQJNu0ePk&#10;AQAAswMAAA4AAAAAAAAAAQAgAAAAJgEAAGRycy9lMm9Eb2MueG1sUEsFBgAAAAAGAAYAWQEAAHwF&#10;AAAAAA==&#10;">
            <v:path/>
            <v:fill on="f" focussize="0,0"/>
            <v:stroke/>
            <v:imagedata o:title=""/>
            <o:lock v:ext="edit"/>
            <v:textbox>
              <w:txbxContent>
                <w:p>
                  <w:pPr>
                    <w:spacing w:line="360" w:lineRule="auto"/>
                    <w:rPr>
                      <w:rFonts w:asciiTheme="minorEastAsia" w:hAnsiTheme="minorEastAsia"/>
                      <w:bCs/>
                      <w:sz w:val="28"/>
                      <w:szCs w:val="28"/>
                    </w:rPr>
                  </w:pPr>
                  <w:r>
                    <w:rPr>
                      <w:rFonts w:hint="eastAsia" w:asciiTheme="minorEastAsia" w:hAnsiTheme="minorEastAsia"/>
                      <w:bCs/>
                      <w:sz w:val="28"/>
                      <w:szCs w:val="28"/>
                    </w:rPr>
                    <w:t>致：(招标人名称)</w:t>
                  </w:r>
                </w:p>
                <w:p>
                  <w:pPr>
                    <w:numPr>
                      <w:ilvl w:val="0"/>
                      <w:numId w:val="6"/>
                    </w:numPr>
                    <w:tabs>
                      <w:tab w:val="left" w:pos="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我方已阅读并完全理解贵方招标文件，愿意参加贵方企业年金基金受托管理人招标项目的管理资格竞标，并提出相应的投标方案。</w:t>
                  </w:r>
                </w:p>
                <w:p>
                  <w:pPr>
                    <w:numPr>
                      <w:ilvl w:val="0"/>
                      <w:numId w:val="6"/>
                    </w:numPr>
                    <w:tabs>
                      <w:tab w:val="left" w:pos="0"/>
                      <w:tab w:val="left" w:pos="36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我方遵照贵方要求提出正式投标文件，包括投标书、营业执照（复印件）和经营许可证（复印件）等相关证明。</w:t>
                  </w:r>
                </w:p>
                <w:p>
                  <w:pPr>
                    <w:numPr>
                      <w:ilvl w:val="0"/>
                      <w:numId w:val="6"/>
                    </w:numPr>
                    <w:tabs>
                      <w:tab w:val="left" w:pos="0"/>
                      <w:tab w:val="left" w:pos="36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我方一旦中标，在签订正式合同文本之前，本投标文件、应贵方要求的补充应答（或澄清说明）连同贵方的招标文件应成为约束双方的文件。</w:t>
                  </w:r>
                </w:p>
                <w:p>
                  <w:pPr>
                    <w:numPr>
                      <w:ilvl w:val="0"/>
                      <w:numId w:val="6"/>
                    </w:numPr>
                    <w:tabs>
                      <w:tab w:val="left" w:pos="0"/>
                      <w:tab w:val="left" w:pos="36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我方在投标过程中所了解的与</w:t>
                  </w:r>
                  <w:r>
                    <w:rPr>
                      <w:rFonts w:hint="eastAsia" w:asciiTheme="minorEastAsia" w:hAnsiTheme="minorEastAsia"/>
                      <w:sz w:val="24"/>
                      <w:szCs w:val="24"/>
                    </w:rPr>
                    <w:t>台州市交通投资集团有限公司</w:t>
                  </w:r>
                  <w:r>
                    <w:rPr>
                      <w:rFonts w:hint="eastAsia" w:asciiTheme="minorEastAsia" w:hAnsiTheme="minorEastAsia"/>
                      <w:bCs/>
                      <w:sz w:val="24"/>
                      <w:szCs w:val="24"/>
                    </w:rPr>
                    <w:t>企业年金计划相关的任何信息资料，不论是何种载体或以何种方式传递的信息，仅限于本次投标所用，我方承诺不会将此类信息用于任何与本次投标无关的用途。</w:t>
                  </w:r>
                </w:p>
                <w:p>
                  <w:pPr>
                    <w:numPr>
                      <w:ilvl w:val="0"/>
                      <w:numId w:val="6"/>
                    </w:numPr>
                    <w:tabs>
                      <w:tab w:val="left" w:pos="0"/>
                      <w:tab w:val="left" w:pos="36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我方承诺本次投标所提供的信息全部真实、准确。</w:t>
                  </w:r>
                </w:p>
                <w:p>
                  <w:pPr>
                    <w:numPr>
                      <w:ilvl w:val="0"/>
                      <w:numId w:val="6"/>
                    </w:numPr>
                    <w:tabs>
                      <w:tab w:val="left" w:pos="0"/>
                      <w:tab w:val="left" w:pos="360"/>
                    </w:tabs>
                    <w:spacing w:line="500" w:lineRule="exact"/>
                    <w:ind w:left="0" w:firstLine="540" w:firstLineChars="225"/>
                    <w:rPr>
                      <w:rFonts w:asciiTheme="minorEastAsia" w:hAnsiTheme="minorEastAsia"/>
                      <w:bCs/>
                      <w:sz w:val="24"/>
                      <w:szCs w:val="24"/>
                    </w:rPr>
                  </w:pPr>
                  <w:r>
                    <w:rPr>
                      <w:rFonts w:hint="eastAsia" w:asciiTheme="minorEastAsia" w:hAnsiTheme="minorEastAsia"/>
                      <w:bCs/>
                      <w:sz w:val="24"/>
                      <w:szCs w:val="24"/>
                    </w:rPr>
                    <w:t>我方也完全理解，贵方有权选择任何贵方可能收到的投标方案。</w:t>
                  </w:r>
                </w:p>
                <w:p>
                  <w:pPr>
                    <w:spacing w:line="500" w:lineRule="exact"/>
                    <w:ind w:firstLine="480" w:firstLineChars="200"/>
                    <w:rPr>
                      <w:rFonts w:ascii="宋体" w:hAnsi="宋体"/>
                      <w:sz w:val="24"/>
                      <w:szCs w:val="24"/>
                    </w:rPr>
                  </w:pPr>
                  <w:r>
                    <w:rPr>
                      <w:rFonts w:hint="eastAsia" w:asciiTheme="minorEastAsia" w:hAnsiTheme="minorEastAsia"/>
                      <w:bCs/>
                      <w:sz w:val="24"/>
                      <w:szCs w:val="24"/>
                    </w:rPr>
                    <w:t>七、</w:t>
                  </w:r>
                  <w:r>
                    <w:rPr>
                      <w:rFonts w:hint="eastAsia" w:ascii="宋体" w:hAnsi="宋体"/>
                      <w:sz w:val="24"/>
                      <w:szCs w:val="24"/>
                    </w:rPr>
                    <w:t xml:space="preserve">   与本投标有关的一切正式往来信函请寄：</w:t>
                  </w:r>
                </w:p>
                <w:p>
                  <w:pPr>
                    <w:spacing w:line="500" w:lineRule="exact"/>
                    <w:ind w:firstLine="480" w:firstLineChars="200"/>
                    <w:rPr>
                      <w:rFonts w:ascii="宋体" w:hAnsi="宋体"/>
                      <w:color w:val="FF0000"/>
                      <w:sz w:val="24"/>
                      <w:szCs w:val="24"/>
                      <w:u w:val="single"/>
                    </w:rPr>
                  </w:pPr>
                  <w:r>
                    <w:rPr>
                      <w:rFonts w:hint="eastAsia" w:ascii="宋体" w:hAnsi="宋体"/>
                      <w:sz w:val="24"/>
                      <w:szCs w:val="24"/>
                    </w:rPr>
                    <w:t>地址：邮编：电话：</w:t>
                  </w:r>
                </w:p>
                <w:p>
                  <w:pPr>
                    <w:spacing w:line="500" w:lineRule="exact"/>
                    <w:ind w:firstLine="480" w:firstLineChars="200"/>
                    <w:rPr>
                      <w:rFonts w:ascii="宋体" w:hAnsi="宋体"/>
                      <w:color w:val="FF0000"/>
                      <w:sz w:val="24"/>
                      <w:szCs w:val="24"/>
                    </w:rPr>
                  </w:pPr>
                </w:p>
                <w:p>
                  <w:pPr>
                    <w:spacing w:line="360" w:lineRule="auto"/>
                    <w:rPr>
                      <w:rFonts w:asciiTheme="minorEastAsia" w:hAnsiTheme="minorEastAsia"/>
                      <w:bCs/>
                      <w:color w:val="FF0000"/>
                      <w:sz w:val="24"/>
                    </w:rPr>
                  </w:pPr>
                </w:p>
                <w:p>
                  <w:pPr>
                    <w:spacing w:line="360" w:lineRule="auto"/>
                    <w:ind w:firstLine="3720" w:firstLineChars="1550"/>
                    <w:rPr>
                      <w:rFonts w:asciiTheme="minorEastAsia" w:hAnsiTheme="minorEastAsia"/>
                      <w:bCs/>
                      <w:sz w:val="24"/>
                      <w:u w:val="single"/>
                    </w:rPr>
                  </w:pPr>
                  <w:r>
                    <w:rPr>
                      <w:rFonts w:hint="eastAsia" w:asciiTheme="minorEastAsia" w:hAnsiTheme="minorEastAsia"/>
                      <w:bCs/>
                      <w:sz w:val="24"/>
                    </w:rPr>
                    <w:t>投标单位（公章）：</w:t>
                  </w:r>
                </w:p>
                <w:p>
                  <w:pPr>
                    <w:spacing w:line="360" w:lineRule="auto"/>
                    <w:ind w:firstLine="3720" w:firstLineChars="1550"/>
                    <w:rPr>
                      <w:rFonts w:asciiTheme="minorEastAsia" w:hAnsiTheme="minorEastAsia"/>
                      <w:bCs/>
                      <w:sz w:val="24"/>
                    </w:rPr>
                  </w:pPr>
                  <w:r>
                    <w:rPr>
                      <w:rFonts w:hint="eastAsia" w:asciiTheme="minorEastAsia" w:hAnsiTheme="minorEastAsia"/>
                      <w:bCs/>
                      <w:sz w:val="24"/>
                    </w:rPr>
                    <w:t>投标代表签字：</w:t>
                  </w:r>
                </w:p>
                <w:p>
                  <w:pPr>
                    <w:spacing w:line="360" w:lineRule="auto"/>
                    <w:ind w:firstLine="3720" w:firstLineChars="1550"/>
                    <w:rPr>
                      <w:rFonts w:asciiTheme="minorEastAsia" w:hAnsiTheme="minorEastAsia"/>
                      <w:bCs/>
                      <w:sz w:val="24"/>
                    </w:rPr>
                  </w:pPr>
                  <w:r>
                    <w:rPr>
                      <w:rFonts w:hint="eastAsia" w:asciiTheme="minorEastAsia" w:hAnsiTheme="minorEastAsia"/>
                      <w:bCs/>
                      <w:sz w:val="24"/>
                    </w:rPr>
                    <w:t>日        期：</w:t>
                  </w:r>
                  <w:r>
                    <w:rPr>
                      <w:rFonts w:hint="eastAsia" w:cs="宋体-18030" w:asciiTheme="minorEastAsia" w:hAnsiTheme="minorEastAsia"/>
                      <w:sz w:val="24"/>
                      <w:u w:val="single"/>
                    </w:rPr>
                    <w:t>　    　</w:t>
                  </w:r>
                  <w:r>
                    <w:rPr>
                      <w:rFonts w:hint="eastAsia" w:cs="宋体-18030" w:asciiTheme="minorEastAsia" w:hAnsiTheme="minorEastAsia"/>
                      <w:sz w:val="24"/>
                    </w:rPr>
                    <w:t>年</w:t>
                  </w:r>
                  <w:r>
                    <w:rPr>
                      <w:rFonts w:hint="eastAsia" w:cs="宋体-18030" w:asciiTheme="minorEastAsia" w:hAnsiTheme="minorEastAsia"/>
                      <w:sz w:val="24"/>
                      <w:u w:val="single"/>
                    </w:rPr>
                    <w:t>　　</w:t>
                  </w:r>
                  <w:r>
                    <w:rPr>
                      <w:rFonts w:hint="eastAsia" w:cs="宋体-18030" w:asciiTheme="minorEastAsia" w:hAnsiTheme="minorEastAsia"/>
                      <w:sz w:val="24"/>
                    </w:rPr>
                    <w:t>月</w:t>
                  </w:r>
                  <w:r>
                    <w:rPr>
                      <w:rFonts w:hint="eastAsia" w:cs="宋体-18030" w:asciiTheme="minorEastAsia" w:hAnsiTheme="minorEastAsia"/>
                      <w:sz w:val="24"/>
                      <w:u w:val="single"/>
                    </w:rPr>
                    <w:t>　　</w:t>
                  </w:r>
                  <w:r>
                    <w:rPr>
                      <w:rFonts w:hint="eastAsia" w:cs="宋体-18030" w:asciiTheme="minorEastAsia" w:hAnsiTheme="minorEastAsia"/>
                      <w:sz w:val="24"/>
                    </w:rPr>
                    <w:t>日</w:t>
                  </w:r>
                </w:p>
                <w:p>
                  <w:pPr>
                    <w:spacing w:line="360" w:lineRule="auto"/>
                    <w:ind w:firstLine="3720" w:firstLineChars="1550"/>
                    <w:rPr>
                      <w:rFonts w:asciiTheme="minorEastAsia" w:hAnsiTheme="minorEastAsia"/>
                      <w:bCs/>
                      <w:sz w:val="24"/>
                      <w:u w:val="single"/>
                    </w:rPr>
                  </w:pPr>
                  <w:r>
                    <w:rPr>
                      <w:rFonts w:hint="eastAsia" w:asciiTheme="minorEastAsia" w:hAnsiTheme="minorEastAsia"/>
                      <w:bCs/>
                      <w:sz w:val="24"/>
                    </w:rPr>
                    <w:t>地址：</w:t>
                  </w:r>
                </w:p>
                <w:p>
                  <w:pPr>
                    <w:spacing w:line="360" w:lineRule="auto"/>
                    <w:ind w:firstLine="3720" w:firstLineChars="1550"/>
                    <w:rPr>
                      <w:rFonts w:asciiTheme="minorEastAsia" w:hAnsiTheme="minorEastAsia"/>
                      <w:bCs/>
                      <w:sz w:val="24"/>
                    </w:rPr>
                  </w:pPr>
                  <w:r>
                    <w:rPr>
                      <w:rFonts w:hint="eastAsia" w:asciiTheme="minorEastAsia" w:hAnsiTheme="minorEastAsia"/>
                      <w:bCs/>
                      <w:sz w:val="24"/>
                    </w:rPr>
                    <w:t>电话：</w:t>
                  </w:r>
                </w:p>
              </w:txbxContent>
            </v:textbox>
          </v:rect>
        </w:pict>
      </w:r>
    </w:p>
    <w:p>
      <w:pPr>
        <w:rPr>
          <w:rFonts w:asciiTheme="minorEastAsia" w:hAnsiTheme="minorEastAsia"/>
          <w:sz w:val="24"/>
          <w:szCs w:val="24"/>
        </w:rPr>
      </w:pPr>
    </w:p>
    <w:p>
      <w:pPr>
        <w:pStyle w:val="2"/>
        <w:ind w:firstLine="643"/>
        <w:rPr>
          <w:rFonts w:ascii="宋体" w:hAnsi="宋体" w:eastAsia="宋体"/>
          <w:b/>
          <w:bCs w:val="0"/>
          <w:kern w:val="2"/>
          <w:sz w:val="36"/>
          <w:szCs w:val="36"/>
        </w:rPr>
      </w:pPr>
      <w:r>
        <w:rPr>
          <w:rFonts w:asciiTheme="minorEastAsia" w:hAnsiTheme="minorEastAsia"/>
          <w:sz w:val="24"/>
          <w:szCs w:val="24"/>
        </w:rPr>
        <w:br w:type="page"/>
      </w:r>
      <w:bookmarkStart w:id="17" w:name="_Toc335666576"/>
      <w:bookmarkStart w:id="18" w:name="_Toc300066646"/>
      <w:bookmarkStart w:id="19" w:name="_Toc298747632"/>
      <w:bookmarkStart w:id="20" w:name="_Toc335666512"/>
      <w:r>
        <w:rPr>
          <w:rFonts w:hint="eastAsia" w:ascii="宋体" w:hAnsi="宋体" w:eastAsia="宋体"/>
          <w:b/>
          <w:bCs w:val="0"/>
          <w:kern w:val="2"/>
          <w:sz w:val="36"/>
          <w:szCs w:val="36"/>
        </w:rPr>
        <w:t>附件2：总公司授权证明及授权委托书</w:t>
      </w:r>
    </w:p>
    <w:p>
      <w:pPr>
        <w:spacing w:line="400" w:lineRule="exact"/>
        <w:ind w:firstLine="420"/>
        <w:jc w:val="center"/>
        <w:rPr>
          <w:rFonts w:cs="宋体"/>
          <w:szCs w:val="21"/>
        </w:rPr>
      </w:pPr>
    </w:p>
    <w:p>
      <w:pPr>
        <w:pStyle w:val="3"/>
        <w:ind w:firstLine="562"/>
        <w:rPr>
          <w:rFonts w:ascii="宋体" w:hAnsi="宋体" w:eastAsia="宋体" w:cs="Times New Roman"/>
          <w:b/>
          <w:bCs w:val="0"/>
          <w:sz w:val="36"/>
          <w:szCs w:val="36"/>
        </w:rPr>
      </w:pPr>
      <w:bookmarkStart w:id="21" w:name="_Toc420943866"/>
      <w:bookmarkStart w:id="22" w:name="_Toc18008"/>
      <w:bookmarkStart w:id="23" w:name="_Toc27026"/>
      <w:bookmarkStart w:id="24" w:name="_Toc15484"/>
      <w:bookmarkStart w:id="25" w:name="_Toc19974"/>
      <w:r>
        <w:rPr>
          <w:rFonts w:hint="eastAsia" w:ascii="宋体" w:hAnsi="宋体" w:eastAsia="宋体" w:cs="Times New Roman"/>
          <w:b/>
          <w:bCs w:val="0"/>
          <w:sz w:val="36"/>
          <w:szCs w:val="36"/>
        </w:rPr>
        <w:t>（一）授权证明</w:t>
      </w:r>
      <w:bookmarkEnd w:id="21"/>
      <w:bookmarkEnd w:id="22"/>
      <w:bookmarkEnd w:id="23"/>
      <w:bookmarkEnd w:id="24"/>
      <w:bookmarkEnd w:id="25"/>
    </w:p>
    <w:p>
      <w:pPr>
        <w:spacing w:line="400" w:lineRule="exact"/>
        <w:ind w:firstLine="420"/>
        <w:rPr>
          <w:rFonts w:cs="宋体"/>
          <w:szCs w:val="21"/>
        </w:rPr>
      </w:pPr>
    </w:p>
    <w:p>
      <w:pPr>
        <w:spacing w:line="360" w:lineRule="auto"/>
        <w:ind w:firstLine="420"/>
        <w:rPr>
          <w:rFonts w:ascii="宋体" w:hAnsi="宋体"/>
          <w:sz w:val="24"/>
        </w:rPr>
      </w:pPr>
      <w:r>
        <w:rPr>
          <w:rFonts w:hint="eastAsia" w:ascii="宋体" w:hAnsi="宋体"/>
          <w:sz w:val="24"/>
        </w:rPr>
        <w:t>兹授权（分支机构名称）作为我公司（保险公司总公司名称）的代表，参与（项目名称）项目的保险招标，其法律后果由我方承担。</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授权人：___________________(盖单位章)</w:t>
      </w:r>
    </w:p>
    <w:p>
      <w:pPr>
        <w:spacing w:line="360" w:lineRule="auto"/>
        <w:ind w:firstLine="420"/>
        <w:rPr>
          <w:rFonts w:ascii="宋体" w:hAnsi="宋体"/>
          <w:sz w:val="24"/>
        </w:rPr>
      </w:pPr>
      <w:r>
        <w:rPr>
          <w:rFonts w:hint="eastAsia" w:ascii="宋体" w:hAnsi="宋体"/>
          <w:sz w:val="24"/>
        </w:rPr>
        <w:t>法定代表人：_______________</w:t>
      </w:r>
    </w:p>
    <w:p>
      <w:pPr>
        <w:spacing w:line="360" w:lineRule="auto"/>
        <w:ind w:firstLine="420"/>
        <w:rPr>
          <w:rFonts w:ascii="宋体" w:hAnsi="宋体"/>
          <w:sz w:val="24"/>
        </w:rPr>
      </w:pPr>
      <w:r>
        <w:rPr>
          <w:rFonts w:hint="eastAsia" w:ascii="宋体" w:hAnsi="宋体"/>
          <w:sz w:val="24"/>
        </w:rPr>
        <w:t>日期：______年____月____日</w:t>
      </w:r>
    </w:p>
    <w:p>
      <w:pPr>
        <w:spacing w:line="360" w:lineRule="auto"/>
        <w:ind w:firstLine="420"/>
        <w:rPr>
          <w:rFonts w:ascii="宋体" w:hAnsi="宋体"/>
          <w:sz w:val="24"/>
        </w:rPr>
      </w:pP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注：省级分公司参加投标需提供总公司授权书（同一总公司只允许授权一家省级分公司参加投标，否则均按否决投标处理）。</w:t>
      </w:r>
    </w:p>
    <w:p>
      <w:pPr>
        <w:spacing w:line="360" w:lineRule="auto"/>
        <w:ind w:firstLine="420"/>
        <w:rPr>
          <w:rFonts w:cs="宋体"/>
          <w:szCs w:val="21"/>
        </w:rPr>
      </w:pPr>
    </w:p>
    <w:p>
      <w:pPr>
        <w:spacing w:line="360" w:lineRule="auto"/>
        <w:ind w:firstLine="420"/>
        <w:rPr>
          <w:rFonts w:cs="宋体"/>
          <w:szCs w:val="21"/>
        </w:rPr>
      </w:pPr>
      <w:r>
        <w:rPr>
          <w:rFonts w:hint="eastAsia" w:cs="宋体"/>
          <w:szCs w:val="21"/>
        </w:rPr>
        <w:br w:type="page"/>
      </w:r>
    </w:p>
    <w:p>
      <w:pPr>
        <w:pStyle w:val="3"/>
        <w:ind w:firstLine="562"/>
        <w:rPr>
          <w:rFonts w:ascii="宋体" w:hAnsi="宋体" w:eastAsia="宋体" w:cs="Times New Roman"/>
          <w:b/>
          <w:bCs w:val="0"/>
          <w:sz w:val="36"/>
          <w:szCs w:val="36"/>
        </w:rPr>
      </w:pPr>
      <w:bookmarkStart w:id="26" w:name="_Toc338772174"/>
      <w:bookmarkStart w:id="27" w:name="_Toc144974861"/>
      <w:bookmarkStart w:id="28" w:name="_Toc179632812"/>
      <w:bookmarkStart w:id="29" w:name="_Toc152045792"/>
      <w:bookmarkStart w:id="30" w:name="_Toc419377888"/>
      <w:bookmarkStart w:id="31" w:name="_Toc152042581"/>
      <w:bookmarkStart w:id="32" w:name="_Toc6131"/>
      <w:bookmarkStart w:id="33" w:name="_Toc28151"/>
      <w:bookmarkStart w:id="34" w:name="_Toc420943867"/>
      <w:bookmarkStart w:id="35" w:name="_Toc25079"/>
      <w:bookmarkStart w:id="36" w:name="_Toc20707"/>
      <w:r>
        <w:rPr>
          <w:rFonts w:hint="eastAsia" w:ascii="宋体" w:hAnsi="宋体" w:eastAsia="宋体" w:cs="Times New Roman"/>
          <w:b/>
          <w:bCs w:val="0"/>
          <w:sz w:val="36"/>
          <w:szCs w:val="36"/>
        </w:rPr>
        <w:t>（二）授权委托书</w:t>
      </w:r>
      <w:bookmarkEnd w:id="26"/>
      <w:bookmarkEnd w:id="27"/>
      <w:bookmarkEnd w:id="28"/>
      <w:bookmarkEnd w:id="29"/>
      <w:bookmarkEnd w:id="30"/>
      <w:bookmarkEnd w:id="31"/>
      <w:r>
        <w:rPr>
          <w:rFonts w:hint="eastAsia" w:ascii="宋体" w:hAnsi="宋体" w:eastAsia="宋体" w:cs="Times New Roman"/>
          <w:b/>
          <w:bCs w:val="0"/>
          <w:sz w:val="36"/>
          <w:szCs w:val="36"/>
        </w:rPr>
        <w:t>格式</w:t>
      </w:r>
      <w:bookmarkEnd w:id="32"/>
      <w:bookmarkEnd w:id="33"/>
      <w:bookmarkEnd w:id="34"/>
      <w:bookmarkEnd w:id="35"/>
      <w:bookmarkEnd w:id="36"/>
    </w:p>
    <w:p>
      <w:pPr>
        <w:spacing w:line="400" w:lineRule="exact"/>
        <w:ind w:firstLine="420"/>
        <w:rPr>
          <w:rFonts w:cs="宋体"/>
          <w:szCs w:val="21"/>
        </w:rPr>
      </w:pPr>
    </w:p>
    <w:p>
      <w:pPr>
        <w:spacing w:line="360" w:lineRule="auto"/>
        <w:ind w:firstLine="420"/>
        <w:rPr>
          <w:rFonts w:ascii="宋体" w:hAnsi="宋体"/>
          <w:sz w:val="24"/>
        </w:rPr>
      </w:pPr>
      <w:r>
        <w:rPr>
          <w:rFonts w:hint="eastAsia" w:ascii="宋体" w:hAnsi="宋体"/>
          <w:sz w:val="24"/>
        </w:rPr>
        <w:t>本人       （姓名）系        （投标人名称）的法定代表人（或分支机构单位负责人），现委托        （姓名）为我方代理人。代理人根据授权，以我方名义签署、澄清、说明、补正、递交、撤回、修改           （项目名称）项目投标文件、签订合同和处理有关事宜，其法律后果由我方承担。</w:t>
      </w:r>
    </w:p>
    <w:p>
      <w:pPr>
        <w:spacing w:line="360" w:lineRule="auto"/>
        <w:ind w:firstLine="420"/>
        <w:rPr>
          <w:rFonts w:ascii="宋体" w:hAnsi="宋体"/>
          <w:sz w:val="24"/>
        </w:rPr>
      </w:pPr>
      <w:r>
        <w:rPr>
          <w:rFonts w:hint="eastAsia" w:ascii="宋体" w:hAnsi="宋体"/>
          <w:sz w:val="24"/>
        </w:rPr>
        <w:t xml:space="preserve">    委托期限：签发之日起至     年____月    日。</w:t>
      </w:r>
    </w:p>
    <w:p>
      <w:pPr>
        <w:spacing w:line="360" w:lineRule="auto"/>
        <w:ind w:firstLine="420"/>
        <w:rPr>
          <w:rFonts w:ascii="宋体" w:hAnsi="宋体"/>
          <w:sz w:val="24"/>
        </w:rPr>
      </w:pPr>
      <w:r>
        <w:rPr>
          <w:rFonts w:hint="eastAsia" w:ascii="宋体" w:hAnsi="宋体"/>
          <w:sz w:val="24"/>
        </w:rPr>
        <w:t>代理人无转委托权。</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 xml:space="preserve">投标人（盖章）：                                  </w:t>
      </w:r>
    </w:p>
    <w:p>
      <w:pPr>
        <w:spacing w:line="360" w:lineRule="auto"/>
        <w:ind w:firstLine="420"/>
        <w:rPr>
          <w:rFonts w:ascii="宋体" w:hAnsi="宋体"/>
          <w:sz w:val="24"/>
        </w:rPr>
      </w:pPr>
      <w:r>
        <w:rPr>
          <w:rFonts w:hint="eastAsia" w:ascii="宋体" w:hAnsi="宋体"/>
          <w:sz w:val="24"/>
        </w:rPr>
        <w:t xml:space="preserve">法定代表人（或分支机构单位负责人）（签字）：              </w:t>
      </w:r>
    </w:p>
    <w:p>
      <w:pPr>
        <w:spacing w:line="360" w:lineRule="auto"/>
        <w:ind w:firstLine="420"/>
        <w:rPr>
          <w:rFonts w:ascii="宋体" w:hAnsi="宋体"/>
          <w:sz w:val="24"/>
        </w:rPr>
      </w:pPr>
      <w:r>
        <w:rPr>
          <w:rFonts w:hint="eastAsia" w:ascii="宋体" w:hAnsi="宋体"/>
          <w:sz w:val="24"/>
        </w:rPr>
        <w:t xml:space="preserve">代理人（被授权人）（签字）：                      </w:t>
      </w:r>
    </w:p>
    <w:p>
      <w:pPr>
        <w:spacing w:line="360" w:lineRule="auto"/>
        <w:ind w:firstLine="420"/>
        <w:rPr>
          <w:rFonts w:ascii="宋体" w:hAnsi="宋体"/>
          <w:sz w:val="24"/>
        </w:rPr>
      </w:pPr>
      <w:r>
        <w:rPr>
          <w:rFonts w:hint="eastAsia" w:ascii="宋体" w:hAnsi="宋体"/>
          <w:sz w:val="24"/>
        </w:rPr>
        <w:t xml:space="preserve">职务：                                            </w:t>
      </w:r>
    </w:p>
    <w:p>
      <w:pPr>
        <w:spacing w:line="360" w:lineRule="auto"/>
        <w:ind w:firstLine="420"/>
        <w:rPr>
          <w:rFonts w:ascii="宋体" w:hAnsi="宋体"/>
          <w:sz w:val="24"/>
        </w:rPr>
      </w:pPr>
      <w:r>
        <w:rPr>
          <w:rFonts w:hint="eastAsia" w:ascii="宋体" w:hAnsi="宋体"/>
          <w:sz w:val="24"/>
        </w:rPr>
        <w:t>日期：       年       月       日</w:t>
      </w:r>
    </w:p>
    <w:p>
      <w:pPr>
        <w:spacing w:line="360" w:lineRule="auto"/>
        <w:ind w:firstLine="420"/>
        <w:rPr>
          <w:rFonts w:ascii="宋体" w:hAnsi="宋体"/>
          <w:sz w:val="24"/>
        </w:rPr>
      </w:pPr>
    </w:p>
    <w:p>
      <w:pPr>
        <w:spacing w:line="360" w:lineRule="auto"/>
        <w:ind w:firstLine="420"/>
        <w:rPr>
          <w:rFonts w:ascii="宋体" w:hAnsi="宋体"/>
          <w:sz w:val="24"/>
        </w:rPr>
      </w:pPr>
      <w:r>
        <w:rPr>
          <w:rFonts w:hint="eastAsia" w:ascii="宋体" w:hAnsi="宋体"/>
          <w:sz w:val="24"/>
        </w:rPr>
        <w:t>注：1、总公司参加投标人，应由法定代表人签署授权委托书，分支机构接受授权参加投标的，可由分支机构单位负责人签署授权委托书。</w:t>
      </w:r>
    </w:p>
    <w:p>
      <w:pPr>
        <w:spacing w:line="360" w:lineRule="auto"/>
        <w:ind w:firstLine="420"/>
        <w:rPr>
          <w:rFonts w:ascii="宋体" w:hAnsi="宋体"/>
          <w:sz w:val="24"/>
        </w:rPr>
      </w:pPr>
      <w:r>
        <w:rPr>
          <w:rFonts w:hint="eastAsia" w:ascii="宋体" w:hAnsi="宋体"/>
          <w:sz w:val="24"/>
        </w:rPr>
        <w:t xml:space="preserve">    2、法定代表人（或分支机构单位负责人）和委托代理人必须在授权委托书上亲笔签名，不得使用印章、签名章或其他电子制版签名。</w:t>
      </w:r>
    </w:p>
    <w:p>
      <w:pPr>
        <w:spacing w:line="360" w:lineRule="auto"/>
        <w:ind w:firstLine="420"/>
        <w:rPr>
          <w:rFonts w:ascii="宋体" w:hAnsi="宋体"/>
          <w:sz w:val="24"/>
        </w:rPr>
      </w:pPr>
      <w:r>
        <w:rPr>
          <w:rFonts w:hint="eastAsia" w:ascii="宋体" w:hAnsi="宋体"/>
          <w:sz w:val="24"/>
        </w:rPr>
        <w:t xml:space="preserve">    3、若由法定代表人（或分支机构单位负责人）签署投标文件，则不需要提供授权委托书。法定代表人（或分支机构单位负责人）以营业执照中载明为准。</w:t>
      </w:r>
    </w:p>
    <w:p>
      <w:pPr>
        <w:snapToGrid w:val="0"/>
        <w:spacing w:line="360" w:lineRule="auto"/>
        <w:rPr>
          <w:rFonts w:ascii="宋体" w:hAnsi="宋体"/>
          <w:sz w:val="24"/>
        </w:rPr>
      </w:pPr>
    </w:p>
    <w:p>
      <w:pPr>
        <w:snapToGrid w:val="0"/>
        <w:spacing w:line="360" w:lineRule="auto"/>
        <w:rPr>
          <w:rFonts w:ascii="宋体" w:hAnsi="宋体"/>
          <w:sz w:val="24"/>
        </w:rPr>
      </w:pPr>
    </w:p>
    <w:p>
      <w:pPr>
        <w:snapToGrid w:val="0"/>
        <w:spacing w:line="360" w:lineRule="auto"/>
        <w:ind w:firstLine="3360" w:firstLineChars="1400"/>
        <w:rPr>
          <w:rFonts w:ascii="宋体" w:hAnsi="宋体"/>
          <w:sz w:val="24"/>
        </w:rPr>
      </w:pPr>
    </w:p>
    <w:p>
      <w:pPr>
        <w:snapToGrid w:val="0"/>
        <w:spacing w:line="360" w:lineRule="auto"/>
        <w:ind w:firstLine="3360" w:firstLineChars="1400"/>
        <w:rPr>
          <w:rFonts w:ascii="宋体" w:hAnsi="宋体"/>
          <w:sz w:val="24"/>
        </w:rPr>
      </w:pPr>
    </w:p>
    <w:p>
      <w:pPr>
        <w:snapToGrid w:val="0"/>
        <w:spacing w:line="360" w:lineRule="auto"/>
        <w:ind w:firstLine="3360" w:firstLineChars="1400"/>
        <w:rPr>
          <w:rFonts w:ascii="宋体" w:hAnsi="宋体"/>
          <w:sz w:val="24"/>
        </w:rPr>
      </w:pPr>
    </w:p>
    <w:p>
      <w:pPr>
        <w:snapToGrid w:val="0"/>
        <w:spacing w:line="360" w:lineRule="auto"/>
        <w:ind w:firstLine="3360" w:firstLineChars="1400"/>
        <w:rPr>
          <w:rFonts w:ascii="宋体" w:hAnsi="宋体"/>
          <w:sz w:val="24"/>
        </w:rPr>
      </w:pPr>
    </w:p>
    <w:p>
      <w:pPr>
        <w:snapToGrid w:val="0"/>
        <w:spacing w:line="360" w:lineRule="auto"/>
        <w:ind w:firstLine="3360" w:firstLineChars="1400"/>
        <w:rPr>
          <w:rFonts w:ascii="宋体" w:hAnsi="宋体"/>
          <w:sz w:val="24"/>
        </w:rPr>
      </w:pPr>
    </w:p>
    <w:p>
      <w:pPr>
        <w:snapToGrid w:val="0"/>
        <w:spacing w:line="360" w:lineRule="auto"/>
        <w:ind w:firstLine="3360" w:firstLineChars="1400"/>
        <w:rPr>
          <w:rFonts w:ascii="宋体" w:hAnsi="宋体"/>
          <w:sz w:val="24"/>
        </w:rPr>
      </w:pPr>
    </w:p>
    <w:p>
      <w:pPr>
        <w:spacing w:line="360" w:lineRule="auto"/>
        <w:rPr>
          <w:rFonts w:asciiTheme="minorEastAsia" w:hAnsiTheme="minorEastAsia"/>
          <w:b/>
          <w:sz w:val="28"/>
          <w:szCs w:val="28"/>
        </w:rPr>
      </w:pPr>
      <w:r>
        <w:rPr>
          <w:rFonts w:hint="eastAsia" w:asciiTheme="minorEastAsia" w:hAnsiTheme="minorEastAsia"/>
          <w:b/>
          <w:sz w:val="28"/>
          <w:szCs w:val="28"/>
        </w:rPr>
        <w:t>附件3：集合计划简要说明</w:t>
      </w:r>
    </w:p>
    <w:p>
      <w:pPr>
        <w:rPr>
          <w:rFonts w:asciiTheme="minorEastAsia" w:hAnsiTheme="minorEastAsia"/>
          <w:sz w:val="24"/>
          <w:szCs w:val="24"/>
        </w:rPr>
      </w:pPr>
      <w:r>
        <w:rPr>
          <w:rFonts w:hint="eastAsia" w:asciiTheme="minorEastAsia" w:hAnsiTheme="minorEastAsia"/>
          <w:sz w:val="24"/>
          <w:szCs w:val="24"/>
        </w:rPr>
        <w:t>投标人推荐集合计划方案一（名称）：；</w:t>
      </w:r>
    </w:p>
    <w:p>
      <w:pPr>
        <w:rPr>
          <w:rFonts w:asciiTheme="minorEastAsia" w:hAnsiTheme="minorEastAsia"/>
          <w:sz w:val="24"/>
          <w:szCs w:val="24"/>
          <w:u w:val="single"/>
        </w:rPr>
      </w:pPr>
    </w:p>
    <w:tbl>
      <w:tblPr>
        <w:tblStyle w:val="1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3828"/>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5671" w:type="dxa"/>
            <w:gridSpan w:val="3"/>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项目</w:t>
            </w:r>
          </w:p>
        </w:tc>
        <w:tc>
          <w:tcPr>
            <w:tcW w:w="4110" w:type="dxa"/>
            <w:vAlign w:val="center"/>
          </w:tcPr>
          <w:p>
            <w:pPr>
              <w:adjustRightInd w:val="0"/>
              <w:snapToGrid w:val="0"/>
              <w:jc w:val="center"/>
              <w:rPr>
                <w:rFonts w:cs="Arial" w:asciiTheme="minorEastAsia" w:hAnsiTheme="minorEastAsia"/>
                <w:b/>
                <w:szCs w:val="21"/>
              </w:rPr>
            </w:pPr>
            <w:r>
              <w:rPr>
                <w:rFonts w:hint="eastAsia" w:cs="Arial" w:asciiTheme="minorEastAsia" w:hAnsiTheme="minorEastAsia"/>
                <w:b/>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5671" w:type="dxa"/>
            <w:gridSpan w:val="3"/>
            <w:vAlign w:val="center"/>
          </w:tcPr>
          <w:p>
            <w:pPr>
              <w:adjustRightInd w:val="0"/>
              <w:snapToGrid w:val="0"/>
              <w:jc w:val="center"/>
              <w:rPr>
                <w:rFonts w:cs="Arial" w:asciiTheme="minorEastAsia" w:hAnsiTheme="minorEastAsia"/>
                <w:sz w:val="24"/>
                <w:szCs w:val="24"/>
              </w:rPr>
            </w:pPr>
            <w:r>
              <w:rPr>
                <w:rFonts w:hint="eastAsia" w:asciiTheme="minorEastAsia" w:hAnsiTheme="minorEastAsia"/>
                <w:sz w:val="24"/>
                <w:szCs w:val="24"/>
              </w:rPr>
              <w:t>管理机构名称</w:t>
            </w:r>
          </w:p>
        </w:tc>
        <w:tc>
          <w:tcPr>
            <w:tcW w:w="4110" w:type="dxa"/>
            <w:vAlign w:val="center"/>
          </w:tcPr>
          <w:p>
            <w:pPr>
              <w:adjustRightInd w:val="0"/>
              <w:snapToGrid w:val="0"/>
              <w:jc w:val="center"/>
              <w:rPr>
                <w:rFonts w:asciiTheme="minorEastAsia" w:hAnsiTheme="minorEastAsia"/>
                <w:szCs w:val="21"/>
              </w:rPr>
            </w:pPr>
            <w:r>
              <w:rPr>
                <w:rFonts w:hint="eastAsia" w:asciiTheme="minorEastAsia" w:hAnsiTheme="minorEastAsia"/>
                <w:szCs w:val="21"/>
              </w:rPr>
              <w:t xml:space="preserve"> 受托人：； 投管人：；</w:t>
            </w:r>
          </w:p>
          <w:p>
            <w:pPr>
              <w:adjustRightInd w:val="0"/>
              <w:snapToGrid w:val="0"/>
              <w:jc w:val="center"/>
              <w:rPr>
                <w:rFonts w:asciiTheme="minorEastAsia" w:hAnsiTheme="minorEastAsia"/>
                <w:szCs w:val="21"/>
              </w:rPr>
            </w:pPr>
            <w:r>
              <w:rPr>
                <w:rFonts w:hint="eastAsia" w:asciiTheme="minorEastAsia" w:hAnsiTheme="minorEastAsia"/>
                <w:szCs w:val="21"/>
              </w:rPr>
              <w:t xml:space="preserve"> 账管人：； 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851" w:type="dxa"/>
            <w:vMerge w:val="restart"/>
            <w:vAlign w:val="center"/>
          </w:tcPr>
          <w:p>
            <w:pPr>
              <w:adjustRightInd w:val="0"/>
              <w:snapToGrid w:val="0"/>
              <w:rPr>
                <w:rFonts w:cs="Arial" w:asciiTheme="minorEastAsia" w:hAnsiTheme="minorEastAsia"/>
                <w:b/>
                <w:sz w:val="24"/>
                <w:szCs w:val="24"/>
              </w:rPr>
            </w:pPr>
            <w:r>
              <w:rPr>
                <w:rFonts w:hint="eastAsia" w:cs="Arial" w:asciiTheme="minorEastAsia" w:hAnsiTheme="minorEastAsia"/>
                <w:b/>
                <w:sz w:val="24"/>
                <w:szCs w:val="24"/>
              </w:rPr>
              <w:t>集合计划基本信息</w:t>
            </w:r>
          </w:p>
        </w:tc>
        <w:tc>
          <w:tcPr>
            <w:tcW w:w="4820" w:type="dxa"/>
            <w:gridSpan w:val="2"/>
            <w:vAlign w:val="center"/>
          </w:tcPr>
          <w:p>
            <w:pPr>
              <w:adjustRightInd w:val="0"/>
              <w:snapToGrid w:val="0"/>
              <w:rPr>
                <w:rFonts w:cs="Arial" w:asciiTheme="minorEastAsia" w:hAnsiTheme="minorEastAsia"/>
                <w:sz w:val="24"/>
                <w:szCs w:val="24"/>
              </w:rPr>
            </w:pPr>
            <w:r>
              <w:rPr>
                <w:rFonts w:cs="Arial" w:asciiTheme="minorEastAsia" w:hAnsiTheme="minorEastAsia"/>
                <w:sz w:val="24"/>
                <w:szCs w:val="24"/>
              </w:rPr>
              <w:t>受托</w:t>
            </w:r>
            <w:r>
              <w:rPr>
                <w:rFonts w:hint="eastAsia" w:cs="Arial" w:asciiTheme="minorEastAsia" w:hAnsiTheme="minorEastAsia"/>
                <w:sz w:val="24"/>
                <w:szCs w:val="24"/>
              </w:rPr>
              <w:t>管理人名称（简称受托人）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截止2015年12月31日该集合计划资金规模</w:t>
            </w:r>
          </w:p>
        </w:tc>
        <w:tc>
          <w:tcPr>
            <w:tcW w:w="4110"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已参加该计划的企业数（个）</w:t>
            </w:r>
          </w:p>
        </w:tc>
        <w:tc>
          <w:tcPr>
            <w:tcW w:w="4110"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2013--2015年度加权平均综合收益率</w:t>
            </w:r>
          </w:p>
        </w:tc>
        <w:tc>
          <w:tcPr>
            <w:tcW w:w="4110" w:type="dxa"/>
            <w:vAlign w:val="center"/>
          </w:tcPr>
          <w:p>
            <w:pPr>
              <w:adjustRightInd w:val="0"/>
              <w:snapToGrid w:val="0"/>
              <w:rPr>
                <w:rFonts w:cs="Arial" w:asciiTheme="minorEastAsia" w:hAnsiTheme="minorEastAsia"/>
                <w:szCs w:val="21"/>
              </w:rPr>
            </w:pPr>
            <w:r>
              <w:rPr>
                <w:rFonts w:hint="eastAsia" w:cs="Arial" w:asciiTheme="minorEastAsia" w:hAnsiTheme="minorEastAsia"/>
                <w:szCs w:val="21"/>
              </w:rPr>
              <w:t>2013年：； 2014年：；</w:t>
            </w:r>
          </w:p>
          <w:p>
            <w:pPr>
              <w:adjustRightInd w:val="0"/>
              <w:snapToGrid w:val="0"/>
              <w:rPr>
                <w:rFonts w:cs="Arial" w:asciiTheme="minorEastAsia" w:hAnsiTheme="minorEastAsia"/>
                <w:szCs w:val="21"/>
              </w:rPr>
            </w:pPr>
            <w:r>
              <w:rPr>
                <w:rFonts w:hint="eastAsia" w:cs="Arial" w:asciiTheme="minorEastAsia" w:hAnsiTheme="minorEastAsia"/>
                <w:szCs w:val="21"/>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2013-2015年累计加权平均综合收益率</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restart"/>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集合计划其他机构情况</w:t>
            </w: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投资管理人情况</w:t>
            </w: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投资管理人名称（简称投管人）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851" w:type="dxa"/>
            <w:vMerge w:val="continue"/>
            <w:vAlign w:val="center"/>
          </w:tcPr>
          <w:p>
            <w:pPr>
              <w:adjustRightInd w:val="0"/>
              <w:snapToGrid w:val="0"/>
              <w:jc w:val="center"/>
              <w:rPr>
                <w:rFonts w:cs="Arial" w:asciiTheme="minorEastAsia" w:hAnsiTheme="minorEastAsia"/>
                <w:b/>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截止2015年12月31日企业年金</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基金投资管理“组合资产金额”规模</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集合计划投资管理人2013</w:t>
            </w:r>
            <w:r>
              <w:rPr>
                <w:rFonts w:cs="Arial" w:asciiTheme="minorEastAsia" w:hAnsiTheme="minorEastAsia"/>
                <w:sz w:val="24"/>
                <w:szCs w:val="24"/>
              </w:rPr>
              <w:t>—</w:t>
            </w:r>
            <w:r>
              <w:rPr>
                <w:rFonts w:hint="eastAsia" w:cs="Arial" w:asciiTheme="minorEastAsia" w:hAnsiTheme="minorEastAsia"/>
                <w:sz w:val="24"/>
                <w:szCs w:val="24"/>
              </w:rPr>
              <w:t>2015</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年综合收益率及在二十家企业年金基金投资管理人排名</w:t>
            </w:r>
          </w:p>
        </w:tc>
        <w:tc>
          <w:tcPr>
            <w:tcW w:w="4110" w:type="dxa"/>
            <w:vAlign w:val="center"/>
          </w:tcPr>
          <w:p>
            <w:pPr>
              <w:adjustRightInd w:val="0"/>
              <w:snapToGrid w:val="0"/>
              <w:rPr>
                <w:rFonts w:cs="Arial" w:asciiTheme="minorEastAsia" w:hAnsiTheme="minorEastAsia"/>
                <w:szCs w:val="21"/>
              </w:rPr>
            </w:pPr>
            <w:r>
              <w:rPr>
                <w:rFonts w:hint="eastAsia" w:cs="Arial" w:asciiTheme="minorEastAsia" w:hAnsiTheme="minorEastAsia"/>
                <w:szCs w:val="21"/>
              </w:rPr>
              <w:t>2013年收益率：，排名：；</w:t>
            </w:r>
          </w:p>
          <w:p>
            <w:pPr>
              <w:adjustRightInd w:val="0"/>
              <w:snapToGrid w:val="0"/>
              <w:rPr>
                <w:rFonts w:cs="Arial" w:asciiTheme="minorEastAsia" w:hAnsiTheme="minorEastAsia"/>
                <w:szCs w:val="21"/>
              </w:rPr>
            </w:pPr>
            <w:r>
              <w:rPr>
                <w:rFonts w:hint="eastAsia" w:cs="Arial" w:asciiTheme="minorEastAsia" w:hAnsiTheme="minorEastAsia"/>
                <w:szCs w:val="21"/>
              </w:rPr>
              <w:t>2014年收益率：，排名：；</w:t>
            </w:r>
          </w:p>
          <w:p>
            <w:pPr>
              <w:adjustRightInd w:val="0"/>
              <w:snapToGrid w:val="0"/>
              <w:rPr>
                <w:rFonts w:cs="Arial" w:asciiTheme="minorEastAsia" w:hAnsiTheme="minorEastAsia"/>
                <w:szCs w:val="21"/>
              </w:rPr>
            </w:pPr>
            <w:r>
              <w:rPr>
                <w:rFonts w:hint="eastAsia" w:cs="Arial" w:asciiTheme="minorEastAsia" w:hAnsiTheme="minorEastAsia"/>
                <w:szCs w:val="21"/>
              </w:rPr>
              <w:t>2015年收益率：，排名：；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账户管理人情况</w:t>
            </w: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账户管理人名称（简称账管人）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截止2015年12月31日管理账户数</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托管人情况</w:t>
            </w:r>
          </w:p>
        </w:tc>
        <w:tc>
          <w:tcPr>
            <w:tcW w:w="3828" w:type="dxa"/>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托管人名称</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截止2015年12月31日托管资产规</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模</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restart"/>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集合计划服务</w:t>
            </w: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信息披露查询渠道</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是否提供投资组合免费转换</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是否提供台州市属地化服务</w:t>
            </w:r>
          </w:p>
        </w:tc>
        <w:tc>
          <w:tcPr>
            <w:tcW w:w="4110" w:type="dxa"/>
            <w:vAlign w:val="center"/>
          </w:tcPr>
          <w:p>
            <w:pPr>
              <w:adjustRightInd w:val="0"/>
              <w:snapToGrid w:val="0"/>
              <w:jc w:val="center"/>
              <w:rPr>
                <w:rFonts w:cs="Arial" w:asciiTheme="minorEastAsia" w:hAnsiTheme="minorEastAsia"/>
                <w:szCs w:val="21"/>
              </w:rPr>
            </w:pPr>
          </w:p>
        </w:tc>
      </w:tr>
    </w:tbl>
    <w:p>
      <w:pPr>
        <w:widowControl/>
        <w:spacing w:line="240" w:lineRule="exact"/>
        <w:jc w:val="left"/>
        <w:rPr>
          <w:rFonts w:ascii="楷体" w:hAnsi="楷体" w:eastAsia="楷体"/>
          <w:b/>
          <w:sz w:val="24"/>
          <w:szCs w:val="24"/>
        </w:rPr>
      </w:pPr>
    </w:p>
    <w:p>
      <w:pPr>
        <w:widowControl/>
        <w:spacing w:line="240" w:lineRule="exact"/>
        <w:jc w:val="left"/>
        <w:rPr>
          <w:rFonts w:ascii="楷体" w:hAnsi="楷体" w:eastAsia="楷体"/>
          <w:sz w:val="24"/>
          <w:szCs w:val="24"/>
        </w:rPr>
      </w:pPr>
      <w:r>
        <w:rPr>
          <w:rFonts w:hint="eastAsia" w:ascii="楷体" w:hAnsi="楷体" w:eastAsia="楷体"/>
          <w:b/>
          <w:sz w:val="24"/>
          <w:szCs w:val="24"/>
        </w:rPr>
        <w:t>注：</w:t>
      </w:r>
      <w:r>
        <w:rPr>
          <w:rFonts w:hint="eastAsia" w:ascii="楷体" w:hAnsi="楷体" w:eastAsia="楷体"/>
          <w:sz w:val="24"/>
          <w:szCs w:val="24"/>
        </w:rPr>
        <w:t>1，上表涉及投资收益等数据以人社部官网及投标人官网公布数据为准，如果人社部官网与投标人官网数据有不一致的以人社部官网数据为准。</w:t>
      </w:r>
    </w:p>
    <w:p>
      <w:pPr>
        <w:spacing w:before="100" w:after="100" w:line="240" w:lineRule="exact"/>
        <w:ind w:firstLine="720" w:firstLineChars="300"/>
        <w:rPr>
          <w:rFonts w:ascii="楷体" w:hAnsi="楷体" w:eastAsia="楷体"/>
          <w:sz w:val="24"/>
          <w:szCs w:val="24"/>
        </w:rPr>
      </w:pPr>
      <w:r>
        <w:rPr>
          <w:rFonts w:hint="eastAsia" w:ascii="楷体" w:hAnsi="楷体" w:eastAsia="楷体"/>
          <w:sz w:val="24"/>
          <w:szCs w:val="24"/>
        </w:rPr>
        <w:t>2，投标人须推荐不少于2个集合计划方案。集合计划方案一为首选方案，作为评标评分对象。</w:t>
      </w:r>
      <w:r>
        <w:rPr>
          <w:rFonts w:hint="eastAsia" w:ascii="楷体" w:hAnsi="楷体" w:eastAsia="楷体" w:cs="Arial"/>
          <w:sz w:val="24"/>
          <w:szCs w:val="24"/>
        </w:rPr>
        <w:t>其余方案为备选方案。</w:t>
      </w:r>
    </w:p>
    <w:p>
      <w:pPr>
        <w:spacing w:line="360" w:lineRule="auto"/>
        <w:ind w:firstLine="1320" w:firstLineChars="550"/>
        <w:rPr>
          <w:rFonts w:ascii="宋体" w:hAnsi="宋体"/>
          <w:sz w:val="24"/>
          <w:szCs w:val="24"/>
          <w:u w:val="single"/>
        </w:rPr>
      </w:pPr>
      <w:r>
        <w:rPr>
          <w:rFonts w:hint="eastAsia" w:ascii="宋体" w:hAnsi="宋体"/>
          <w:sz w:val="24"/>
          <w:szCs w:val="24"/>
        </w:rPr>
        <w:t>投标单位（盖章）：</w:t>
      </w:r>
    </w:p>
    <w:p>
      <w:pPr>
        <w:spacing w:line="360" w:lineRule="auto"/>
        <w:ind w:firstLine="1320" w:firstLineChars="550"/>
        <w:rPr>
          <w:rFonts w:ascii="宋体" w:hAnsi="宋体"/>
          <w:sz w:val="24"/>
          <w:szCs w:val="24"/>
          <w:u w:val="single"/>
        </w:rPr>
      </w:pPr>
      <w:r>
        <w:rPr>
          <w:rFonts w:hint="eastAsia" w:ascii="宋体" w:hAnsi="宋体"/>
          <w:sz w:val="24"/>
          <w:szCs w:val="24"/>
        </w:rPr>
        <w:t>投标代表人签字：</w:t>
      </w:r>
    </w:p>
    <w:p>
      <w:pPr>
        <w:spacing w:line="360" w:lineRule="auto"/>
        <w:ind w:firstLine="1320" w:firstLineChars="550"/>
        <w:rPr>
          <w:rFonts w:ascii="宋体" w:hAnsi="宋体"/>
          <w:b/>
          <w:sz w:val="24"/>
          <w:szCs w:val="24"/>
        </w:rPr>
      </w:pPr>
      <w:r>
        <w:rPr>
          <w:rFonts w:hint="eastAsia" w:ascii="宋体" w:hAnsi="宋体"/>
          <w:sz w:val="24"/>
          <w:szCs w:val="24"/>
        </w:rPr>
        <w:t>日          期：        年       月        日</w:t>
      </w:r>
    </w:p>
    <w:bookmarkEnd w:id="17"/>
    <w:bookmarkEnd w:id="18"/>
    <w:bookmarkEnd w:id="19"/>
    <w:bookmarkEnd w:id="20"/>
    <w:p>
      <w:pPr>
        <w:rPr>
          <w:rFonts w:asciiTheme="minorEastAsia" w:hAnsiTheme="minorEastAsia"/>
          <w:b/>
          <w:sz w:val="28"/>
          <w:szCs w:val="28"/>
        </w:rPr>
      </w:pPr>
      <w:bookmarkStart w:id="37" w:name="_Toc335666513"/>
      <w:bookmarkStart w:id="38" w:name="_Toc335666577"/>
      <w:bookmarkStart w:id="39" w:name="_Toc300066647"/>
      <w:r>
        <w:rPr>
          <w:rFonts w:hint="eastAsia" w:asciiTheme="minorEastAsia" w:hAnsiTheme="minorEastAsia"/>
          <w:b/>
          <w:sz w:val="28"/>
          <w:szCs w:val="28"/>
        </w:rPr>
        <w:t>附件3：集合计划简要说明</w:t>
      </w:r>
    </w:p>
    <w:p>
      <w:pPr>
        <w:rPr>
          <w:rFonts w:asciiTheme="minorEastAsia" w:hAnsiTheme="minorEastAsia"/>
          <w:sz w:val="24"/>
          <w:szCs w:val="24"/>
        </w:rPr>
      </w:pPr>
      <w:r>
        <w:rPr>
          <w:rFonts w:hint="eastAsia" w:asciiTheme="minorEastAsia" w:hAnsiTheme="minorEastAsia"/>
          <w:sz w:val="24"/>
          <w:szCs w:val="24"/>
        </w:rPr>
        <w:t>投标人推荐集合计划方案二（名称）：；</w:t>
      </w:r>
    </w:p>
    <w:p>
      <w:pPr>
        <w:rPr>
          <w:rFonts w:asciiTheme="minorEastAsia" w:hAnsiTheme="minorEastAsia"/>
          <w:sz w:val="24"/>
          <w:szCs w:val="24"/>
        </w:rPr>
      </w:pPr>
    </w:p>
    <w:tbl>
      <w:tblPr>
        <w:tblStyle w:val="12"/>
        <w:tblW w:w="9781"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3828"/>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trPr>
        <w:tc>
          <w:tcPr>
            <w:tcW w:w="5671" w:type="dxa"/>
            <w:gridSpan w:val="3"/>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项目</w:t>
            </w:r>
          </w:p>
        </w:tc>
        <w:tc>
          <w:tcPr>
            <w:tcW w:w="4110" w:type="dxa"/>
            <w:vAlign w:val="center"/>
          </w:tcPr>
          <w:p>
            <w:pPr>
              <w:adjustRightInd w:val="0"/>
              <w:snapToGrid w:val="0"/>
              <w:jc w:val="center"/>
              <w:rPr>
                <w:rFonts w:cs="Arial" w:asciiTheme="minorEastAsia" w:hAnsiTheme="minorEastAsia"/>
                <w:b/>
                <w:szCs w:val="21"/>
              </w:rPr>
            </w:pPr>
            <w:r>
              <w:rPr>
                <w:rFonts w:hint="eastAsia" w:cs="Arial" w:asciiTheme="minorEastAsia" w:hAnsiTheme="minorEastAsia"/>
                <w:b/>
                <w:szCs w:val="21"/>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5671" w:type="dxa"/>
            <w:gridSpan w:val="3"/>
            <w:vAlign w:val="center"/>
          </w:tcPr>
          <w:p>
            <w:pPr>
              <w:adjustRightInd w:val="0"/>
              <w:snapToGrid w:val="0"/>
              <w:jc w:val="center"/>
              <w:rPr>
                <w:rFonts w:cs="Arial" w:asciiTheme="minorEastAsia" w:hAnsiTheme="minorEastAsia"/>
                <w:sz w:val="24"/>
                <w:szCs w:val="24"/>
              </w:rPr>
            </w:pPr>
            <w:r>
              <w:rPr>
                <w:rFonts w:hint="eastAsia" w:asciiTheme="minorEastAsia" w:hAnsiTheme="minorEastAsia"/>
                <w:sz w:val="24"/>
                <w:szCs w:val="24"/>
              </w:rPr>
              <w:t>管理机构名称</w:t>
            </w:r>
          </w:p>
        </w:tc>
        <w:tc>
          <w:tcPr>
            <w:tcW w:w="4110" w:type="dxa"/>
            <w:vAlign w:val="center"/>
          </w:tcPr>
          <w:p>
            <w:pPr>
              <w:adjustRightInd w:val="0"/>
              <w:snapToGrid w:val="0"/>
              <w:jc w:val="center"/>
              <w:rPr>
                <w:rFonts w:asciiTheme="minorEastAsia" w:hAnsiTheme="minorEastAsia"/>
                <w:szCs w:val="21"/>
              </w:rPr>
            </w:pPr>
            <w:r>
              <w:rPr>
                <w:rFonts w:hint="eastAsia" w:asciiTheme="minorEastAsia" w:hAnsiTheme="minorEastAsia"/>
                <w:szCs w:val="21"/>
              </w:rPr>
              <w:t xml:space="preserve"> 受托人：； 投管人：；</w:t>
            </w:r>
          </w:p>
          <w:p>
            <w:pPr>
              <w:adjustRightInd w:val="0"/>
              <w:snapToGrid w:val="0"/>
              <w:jc w:val="center"/>
              <w:rPr>
                <w:rFonts w:asciiTheme="minorEastAsia" w:hAnsiTheme="minorEastAsia"/>
                <w:szCs w:val="21"/>
              </w:rPr>
            </w:pPr>
            <w:r>
              <w:rPr>
                <w:rFonts w:hint="eastAsia" w:asciiTheme="minorEastAsia" w:hAnsiTheme="minorEastAsia"/>
                <w:szCs w:val="21"/>
              </w:rPr>
              <w:t xml:space="preserve"> 账管人：； 托管人：；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trPr>
        <w:tc>
          <w:tcPr>
            <w:tcW w:w="851" w:type="dxa"/>
            <w:vMerge w:val="restart"/>
            <w:vAlign w:val="center"/>
          </w:tcPr>
          <w:p>
            <w:pPr>
              <w:adjustRightInd w:val="0"/>
              <w:snapToGrid w:val="0"/>
              <w:rPr>
                <w:rFonts w:cs="Arial" w:asciiTheme="minorEastAsia" w:hAnsiTheme="minorEastAsia"/>
                <w:b/>
                <w:sz w:val="24"/>
                <w:szCs w:val="24"/>
              </w:rPr>
            </w:pPr>
            <w:r>
              <w:rPr>
                <w:rFonts w:hint="eastAsia" w:cs="Arial" w:asciiTheme="minorEastAsia" w:hAnsiTheme="minorEastAsia"/>
                <w:b/>
                <w:sz w:val="24"/>
                <w:szCs w:val="24"/>
              </w:rPr>
              <w:t>集合计划基本信息</w:t>
            </w:r>
          </w:p>
        </w:tc>
        <w:tc>
          <w:tcPr>
            <w:tcW w:w="4820" w:type="dxa"/>
            <w:gridSpan w:val="2"/>
            <w:vAlign w:val="center"/>
          </w:tcPr>
          <w:p>
            <w:pPr>
              <w:adjustRightInd w:val="0"/>
              <w:snapToGrid w:val="0"/>
              <w:rPr>
                <w:rFonts w:cs="Arial" w:asciiTheme="minorEastAsia" w:hAnsiTheme="minorEastAsia"/>
                <w:sz w:val="24"/>
                <w:szCs w:val="24"/>
              </w:rPr>
            </w:pPr>
            <w:r>
              <w:rPr>
                <w:rFonts w:cs="Arial" w:asciiTheme="minorEastAsia" w:hAnsiTheme="minorEastAsia"/>
                <w:sz w:val="24"/>
                <w:szCs w:val="24"/>
              </w:rPr>
              <w:t>受托</w:t>
            </w:r>
            <w:r>
              <w:rPr>
                <w:rFonts w:hint="eastAsia" w:cs="Arial" w:asciiTheme="minorEastAsia" w:hAnsiTheme="minorEastAsia"/>
                <w:sz w:val="24"/>
                <w:szCs w:val="24"/>
              </w:rPr>
              <w:t>管理人名称（简称受托人）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截止2015年12月31日该集合计划资金规模</w:t>
            </w:r>
          </w:p>
        </w:tc>
        <w:tc>
          <w:tcPr>
            <w:tcW w:w="4110"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已参加该计划的企业数（个）</w:t>
            </w:r>
          </w:p>
        </w:tc>
        <w:tc>
          <w:tcPr>
            <w:tcW w:w="4110" w:type="dxa"/>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2013--2015年度加权平均综合收益率</w:t>
            </w:r>
          </w:p>
        </w:tc>
        <w:tc>
          <w:tcPr>
            <w:tcW w:w="4110" w:type="dxa"/>
            <w:vAlign w:val="center"/>
          </w:tcPr>
          <w:p>
            <w:pPr>
              <w:adjustRightInd w:val="0"/>
              <w:snapToGrid w:val="0"/>
              <w:rPr>
                <w:rFonts w:cs="Arial" w:asciiTheme="minorEastAsia" w:hAnsiTheme="minorEastAsia"/>
                <w:szCs w:val="21"/>
              </w:rPr>
            </w:pPr>
            <w:r>
              <w:rPr>
                <w:rFonts w:hint="eastAsia" w:cs="Arial" w:asciiTheme="minorEastAsia" w:hAnsiTheme="minorEastAsia"/>
                <w:szCs w:val="21"/>
              </w:rPr>
              <w:t>2013年：； 2014年：；</w:t>
            </w:r>
          </w:p>
          <w:p>
            <w:pPr>
              <w:adjustRightInd w:val="0"/>
              <w:snapToGrid w:val="0"/>
              <w:rPr>
                <w:rFonts w:cs="Arial" w:asciiTheme="minorEastAsia" w:hAnsiTheme="minorEastAsia"/>
                <w:szCs w:val="21"/>
              </w:rPr>
            </w:pPr>
            <w:r>
              <w:rPr>
                <w:rFonts w:hint="eastAsia" w:cs="Arial" w:asciiTheme="minorEastAsia" w:hAnsiTheme="minorEastAsia"/>
                <w:szCs w:val="21"/>
              </w:rPr>
              <w:t>2015年：；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2013-2015年累计加权平均综合收益率</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restart"/>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集合计划其他机构情况</w:t>
            </w: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投资管理人情况</w:t>
            </w: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投资管理人名称（简称投管人）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851" w:type="dxa"/>
            <w:vMerge w:val="continue"/>
            <w:vAlign w:val="center"/>
          </w:tcPr>
          <w:p>
            <w:pPr>
              <w:adjustRightInd w:val="0"/>
              <w:snapToGrid w:val="0"/>
              <w:jc w:val="center"/>
              <w:rPr>
                <w:rFonts w:cs="Arial" w:asciiTheme="minorEastAsia" w:hAnsiTheme="minorEastAsia"/>
                <w:b/>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截止2015年12月31日企业年金</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基金投资管理“组合资产金额”规模</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集合计划投资管理人2013</w:t>
            </w:r>
            <w:r>
              <w:rPr>
                <w:rFonts w:cs="Arial" w:asciiTheme="minorEastAsia" w:hAnsiTheme="minorEastAsia"/>
                <w:sz w:val="24"/>
                <w:szCs w:val="24"/>
              </w:rPr>
              <w:t>—</w:t>
            </w:r>
            <w:r>
              <w:rPr>
                <w:rFonts w:hint="eastAsia" w:cs="Arial" w:asciiTheme="minorEastAsia" w:hAnsiTheme="minorEastAsia"/>
                <w:sz w:val="24"/>
                <w:szCs w:val="24"/>
              </w:rPr>
              <w:t>2015</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年综合收益率及在二十家企业年金基金投资管理人排名</w:t>
            </w:r>
          </w:p>
        </w:tc>
        <w:tc>
          <w:tcPr>
            <w:tcW w:w="4110" w:type="dxa"/>
            <w:vAlign w:val="center"/>
          </w:tcPr>
          <w:p>
            <w:pPr>
              <w:adjustRightInd w:val="0"/>
              <w:snapToGrid w:val="0"/>
              <w:rPr>
                <w:rFonts w:cs="Arial" w:asciiTheme="minorEastAsia" w:hAnsiTheme="minorEastAsia"/>
                <w:szCs w:val="21"/>
              </w:rPr>
            </w:pPr>
            <w:r>
              <w:rPr>
                <w:rFonts w:hint="eastAsia" w:cs="Arial" w:asciiTheme="minorEastAsia" w:hAnsiTheme="minorEastAsia"/>
                <w:szCs w:val="21"/>
              </w:rPr>
              <w:t>2013年收益率：，排名：；</w:t>
            </w:r>
          </w:p>
          <w:p>
            <w:pPr>
              <w:adjustRightInd w:val="0"/>
              <w:snapToGrid w:val="0"/>
              <w:rPr>
                <w:rFonts w:cs="Arial" w:asciiTheme="minorEastAsia" w:hAnsiTheme="minorEastAsia"/>
                <w:szCs w:val="21"/>
              </w:rPr>
            </w:pPr>
            <w:r>
              <w:rPr>
                <w:rFonts w:hint="eastAsia" w:cs="Arial" w:asciiTheme="minorEastAsia" w:hAnsiTheme="minorEastAsia"/>
                <w:szCs w:val="21"/>
              </w:rPr>
              <w:t>2014年收益率：，排名：；</w:t>
            </w:r>
          </w:p>
          <w:p>
            <w:pPr>
              <w:adjustRightInd w:val="0"/>
              <w:snapToGrid w:val="0"/>
              <w:rPr>
                <w:rFonts w:cs="Arial" w:asciiTheme="minorEastAsia" w:hAnsiTheme="minorEastAsia"/>
                <w:szCs w:val="21"/>
              </w:rPr>
            </w:pPr>
            <w:r>
              <w:rPr>
                <w:rFonts w:hint="eastAsia" w:cs="Arial" w:asciiTheme="minorEastAsia" w:hAnsiTheme="minorEastAsia"/>
                <w:szCs w:val="21"/>
              </w:rPr>
              <w:t>2015年收益率：，排名：；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账户管理人情况</w:t>
            </w: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账户管理人名称（简称账管人）</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截止2015年12月31日管理账户数</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restart"/>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托管人情况</w:t>
            </w:r>
          </w:p>
        </w:tc>
        <w:tc>
          <w:tcPr>
            <w:tcW w:w="3828" w:type="dxa"/>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托管人名称</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8"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992" w:type="dxa"/>
            <w:vMerge w:val="continue"/>
            <w:vAlign w:val="center"/>
          </w:tcPr>
          <w:p>
            <w:pPr>
              <w:adjustRightInd w:val="0"/>
              <w:snapToGrid w:val="0"/>
              <w:jc w:val="center"/>
              <w:rPr>
                <w:rFonts w:cs="Arial" w:asciiTheme="minorEastAsia" w:hAnsiTheme="minorEastAsia"/>
                <w:sz w:val="24"/>
                <w:szCs w:val="24"/>
              </w:rPr>
            </w:pPr>
          </w:p>
        </w:tc>
        <w:tc>
          <w:tcPr>
            <w:tcW w:w="3828" w:type="dxa"/>
            <w:vAlign w:val="center"/>
          </w:tcPr>
          <w:p>
            <w:pPr>
              <w:adjustRightInd w:val="0"/>
              <w:snapToGrid w:val="0"/>
              <w:jc w:val="center"/>
              <w:rPr>
                <w:rFonts w:cs="Arial" w:asciiTheme="minorEastAsia" w:hAnsiTheme="minorEastAsia"/>
                <w:sz w:val="24"/>
                <w:szCs w:val="24"/>
              </w:rPr>
            </w:pPr>
            <w:r>
              <w:rPr>
                <w:rFonts w:hint="eastAsia" w:cs="Arial" w:asciiTheme="minorEastAsia" w:hAnsiTheme="minorEastAsia"/>
                <w:sz w:val="24"/>
                <w:szCs w:val="24"/>
              </w:rPr>
              <w:t>截止2015年12月31日托管资产规</w:t>
            </w:r>
          </w:p>
          <w:p>
            <w:pPr>
              <w:adjustRightInd w:val="0"/>
              <w:snapToGrid w:val="0"/>
              <w:rPr>
                <w:rFonts w:cs="Arial" w:asciiTheme="minorEastAsia" w:hAnsiTheme="minorEastAsia"/>
                <w:sz w:val="24"/>
                <w:szCs w:val="24"/>
              </w:rPr>
            </w:pPr>
            <w:r>
              <w:rPr>
                <w:rFonts w:hint="eastAsia" w:cs="Arial" w:asciiTheme="minorEastAsia" w:hAnsiTheme="minorEastAsia"/>
                <w:sz w:val="24"/>
                <w:szCs w:val="24"/>
              </w:rPr>
              <w:t>模</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restart"/>
            <w:vAlign w:val="center"/>
          </w:tcPr>
          <w:p>
            <w:pPr>
              <w:adjustRightInd w:val="0"/>
              <w:snapToGrid w:val="0"/>
              <w:jc w:val="center"/>
              <w:rPr>
                <w:rFonts w:cs="Arial" w:asciiTheme="minorEastAsia" w:hAnsiTheme="minorEastAsia"/>
                <w:b/>
                <w:sz w:val="24"/>
                <w:szCs w:val="24"/>
              </w:rPr>
            </w:pPr>
            <w:r>
              <w:rPr>
                <w:rFonts w:hint="eastAsia" w:cs="Arial" w:asciiTheme="minorEastAsia" w:hAnsiTheme="minorEastAsia"/>
                <w:b/>
                <w:sz w:val="24"/>
                <w:szCs w:val="24"/>
              </w:rPr>
              <w:t>集合计划服务</w:t>
            </w: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信息披露查询渠道</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是否提供投资组合免费转换</w:t>
            </w:r>
          </w:p>
        </w:tc>
        <w:tc>
          <w:tcPr>
            <w:tcW w:w="4110" w:type="dxa"/>
            <w:vAlign w:val="center"/>
          </w:tcPr>
          <w:p>
            <w:pPr>
              <w:adjustRightInd w:val="0"/>
              <w:snapToGrid w:val="0"/>
              <w:jc w:val="center"/>
              <w:rPr>
                <w:rFonts w:cs="Arial"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51" w:type="dxa"/>
            <w:vMerge w:val="continue"/>
            <w:vAlign w:val="center"/>
          </w:tcPr>
          <w:p>
            <w:pPr>
              <w:adjustRightInd w:val="0"/>
              <w:snapToGrid w:val="0"/>
              <w:jc w:val="center"/>
              <w:rPr>
                <w:rFonts w:cs="Arial" w:asciiTheme="minorEastAsia" w:hAnsiTheme="minorEastAsia"/>
                <w:sz w:val="24"/>
                <w:szCs w:val="24"/>
              </w:rPr>
            </w:pPr>
          </w:p>
        </w:tc>
        <w:tc>
          <w:tcPr>
            <w:tcW w:w="4820" w:type="dxa"/>
            <w:gridSpan w:val="2"/>
            <w:vAlign w:val="center"/>
          </w:tcPr>
          <w:p>
            <w:pPr>
              <w:adjustRightInd w:val="0"/>
              <w:snapToGrid w:val="0"/>
              <w:rPr>
                <w:rFonts w:cs="Arial" w:asciiTheme="minorEastAsia" w:hAnsiTheme="minorEastAsia"/>
                <w:sz w:val="24"/>
                <w:szCs w:val="24"/>
              </w:rPr>
            </w:pPr>
            <w:r>
              <w:rPr>
                <w:rFonts w:hint="eastAsia" w:cs="Arial" w:asciiTheme="minorEastAsia" w:hAnsiTheme="minorEastAsia"/>
                <w:sz w:val="24"/>
                <w:szCs w:val="24"/>
              </w:rPr>
              <w:t>是否提供台州市属地化服务</w:t>
            </w:r>
          </w:p>
        </w:tc>
        <w:tc>
          <w:tcPr>
            <w:tcW w:w="4110" w:type="dxa"/>
            <w:vAlign w:val="center"/>
          </w:tcPr>
          <w:p>
            <w:pPr>
              <w:adjustRightInd w:val="0"/>
              <w:snapToGrid w:val="0"/>
              <w:jc w:val="center"/>
              <w:rPr>
                <w:rFonts w:cs="Arial" w:asciiTheme="minorEastAsia" w:hAnsiTheme="minorEastAsia"/>
                <w:szCs w:val="21"/>
              </w:rPr>
            </w:pPr>
          </w:p>
        </w:tc>
      </w:tr>
    </w:tbl>
    <w:p>
      <w:pPr>
        <w:widowControl/>
        <w:spacing w:line="240" w:lineRule="exact"/>
        <w:jc w:val="left"/>
        <w:rPr>
          <w:rFonts w:ascii="楷体" w:hAnsi="楷体" w:eastAsia="楷体"/>
          <w:b/>
          <w:sz w:val="24"/>
          <w:szCs w:val="24"/>
        </w:rPr>
      </w:pPr>
    </w:p>
    <w:p>
      <w:pPr>
        <w:widowControl/>
        <w:spacing w:line="240" w:lineRule="exact"/>
        <w:jc w:val="left"/>
        <w:rPr>
          <w:rFonts w:ascii="楷体" w:hAnsi="楷体" w:eastAsia="楷体"/>
          <w:sz w:val="24"/>
          <w:szCs w:val="24"/>
        </w:rPr>
      </w:pPr>
      <w:r>
        <w:rPr>
          <w:rFonts w:hint="eastAsia" w:ascii="楷体" w:hAnsi="楷体" w:eastAsia="楷体"/>
          <w:b/>
          <w:sz w:val="24"/>
          <w:szCs w:val="24"/>
        </w:rPr>
        <w:t>注：</w:t>
      </w:r>
      <w:r>
        <w:rPr>
          <w:rFonts w:hint="eastAsia" w:ascii="楷体" w:hAnsi="楷体" w:eastAsia="楷体"/>
          <w:sz w:val="24"/>
          <w:szCs w:val="24"/>
        </w:rPr>
        <w:t>1，上表涉及投资收益等数据以人社部官网及投标人官网公布数据为准，如果人社部官网与投标人官网数据有不一致的以人社部官网数据为准。</w:t>
      </w:r>
    </w:p>
    <w:p>
      <w:pPr>
        <w:spacing w:before="100" w:after="100" w:line="240" w:lineRule="exact"/>
        <w:ind w:firstLine="720" w:firstLineChars="300"/>
        <w:rPr>
          <w:rFonts w:ascii="楷体" w:hAnsi="楷体" w:eastAsia="楷体"/>
          <w:sz w:val="24"/>
          <w:szCs w:val="24"/>
        </w:rPr>
      </w:pPr>
      <w:r>
        <w:rPr>
          <w:rFonts w:hint="eastAsia" w:ascii="楷体" w:hAnsi="楷体" w:eastAsia="楷体"/>
          <w:sz w:val="24"/>
          <w:szCs w:val="24"/>
        </w:rPr>
        <w:t>2，投标人须推荐不少于2个集合计划方案。集合计划方案一为首选方案，作为评标评分对象。</w:t>
      </w:r>
      <w:r>
        <w:rPr>
          <w:rFonts w:hint="eastAsia" w:ascii="楷体" w:hAnsi="楷体" w:eastAsia="楷体" w:cs="Arial"/>
          <w:sz w:val="24"/>
          <w:szCs w:val="24"/>
        </w:rPr>
        <w:t>其余方案为备选方案。</w:t>
      </w:r>
    </w:p>
    <w:p>
      <w:pPr>
        <w:spacing w:line="360" w:lineRule="auto"/>
        <w:ind w:firstLine="960" w:firstLineChars="400"/>
        <w:rPr>
          <w:rFonts w:ascii="宋体" w:hAnsi="宋体"/>
          <w:sz w:val="24"/>
          <w:szCs w:val="24"/>
        </w:rPr>
      </w:pPr>
    </w:p>
    <w:p>
      <w:pPr>
        <w:spacing w:line="360" w:lineRule="auto"/>
        <w:ind w:firstLine="1560" w:firstLineChars="650"/>
        <w:rPr>
          <w:rFonts w:ascii="宋体" w:hAnsi="宋体"/>
          <w:sz w:val="24"/>
          <w:szCs w:val="24"/>
          <w:u w:val="single"/>
        </w:rPr>
      </w:pPr>
      <w:r>
        <w:rPr>
          <w:rFonts w:hint="eastAsia" w:ascii="宋体" w:hAnsi="宋体"/>
          <w:sz w:val="24"/>
          <w:szCs w:val="24"/>
        </w:rPr>
        <w:t>投标单位（盖章）：</w:t>
      </w:r>
    </w:p>
    <w:p>
      <w:pPr>
        <w:spacing w:line="360" w:lineRule="auto"/>
        <w:ind w:firstLine="1560" w:firstLineChars="650"/>
        <w:rPr>
          <w:rFonts w:ascii="宋体" w:hAnsi="宋体"/>
          <w:sz w:val="24"/>
          <w:szCs w:val="24"/>
          <w:u w:val="single"/>
        </w:rPr>
      </w:pPr>
      <w:r>
        <w:rPr>
          <w:rFonts w:hint="eastAsia" w:ascii="宋体" w:hAnsi="宋体"/>
          <w:sz w:val="24"/>
          <w:szCs w:val="24"/>
        </w:rPr>
        <w:t>投标代表人签字：</w:t>
      </w:r>
    </w:p>
    <w:p>
      <w:pPr>
        <w:spacing w:line="360" w:lineRule="auto"/>
        <w:ind w:firstLine="1560" w:firstLineChars="650"/>
        <w:rPr>
          <w:rFonts w:ascii="宋体" w:hAnsi="宋体"/>
          <w:b/>
          <w:sz w:val="24"/>
          <w:szCs w:val="24"/>
        </w:rPr>
      </w:pPr>
      <w:r>
        <w:rPr>
          <w:rFonts w:hint="eastAsia" w:ascii="宋体" w:hAnsi="宋体"/>
          <w:sz w:val="24"/>
          <w:szCs w:val="24"/>
        </w:rPr>
        <w:t>日          期：        年       月        日</w:t>
      </w:r>
    </w:p>
    <w:bookmarkEnd w:id="37"/>
    <w:bookmarkEnd w:id="38"/>
    <w:bookmarkEnd w:id="39"/>
    <w:p>
      <w:pPr>
        <w:spacing w:line="360" w:lineRule="auto"/>
        <w:rPr>
          <w:rFonts w:ascii="宋体" w:hAnsi="宋体"/>
          <w:b/>
          <w:sz w:val="28"/>
          <w:szCs w:val="28"/>
        </w:rPr>
      </w:pPr>
      <w:r>
        <w:rPr>
          <w:rFonts w:hint="eastAsia" w:asciiTheme="minorEastAsia" w:hAnsiTheme="minorEastAsia"/>
          <w:b/>
          <w:sz w:val="28"/>
          <w:szCs w:val="28"/>
        </w:rPr>
        <w:t>附件4：年金基金管理费报价书（</w:t>
      </w:r>
      <w:r>
        <w:rPr>
          <w:rFonts w:hint="eastAsia" w:asciiTheme="minorEastAsia" w:hAnsiTheme="minorEastAsia"/>
          <w:sz w:val="24"/>
          <w:szCs w:val="24"/>
        </w:rPr>
        <w:t>集合计划方案一投资组合平均管理费）</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993"/>
        <w:gridCol w:w="992"/>
        <w:gridCol w:w="992"/>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项目名称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台州市交通投资集团有限公司</w:t>
            </w:r>
          </w:p>
          <w:p>
            <w:pPr>
              <w:spacing w:line="360" w:lineRule="auto"/>
              <w:jc w:val="center"/>
              <w:rPr>
                <w:rFonts w:asciiTheme="minorEastAsia" w:hAnsiTheme="minorEastAsia"/>
                <w:sz w:val="24"/>
                <w:szCs w:val="24"/>
              </w:rPr>
            </w:pPr>
            <w:r>
              <w:rPr>
                <w:rFonts w:hint="eastAsia" w:asciiTheme="minorEastAsia" w:hAnsiTheme="minorEastAsia"/>
                <w:sz w:val="24"/>
                <w:szCs w:val="24"/>
              </w:rPr>
              <w:t>企业年金基金受托管理服务项目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投标人推荐的集合计划名称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9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推荐的集合计划投资管理人在该计划管理的投资组合名称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管理费报价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2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受托管理费率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投资管理费率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托管费率</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本期年金基金总额（元）</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管理费（元）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合计管理费（元）</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投资组合平均管理费（元）</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 w:val="24"/>
                <w:szCs w:val="24"/>
              </w:rPr>
            </w:pPr>
            <w:r>
              <w:rPr>
                <w:rFonts w:hint="eastAsia" w:asciiTheme="minorEastAsia" w:hAnsiTheme="minorEastAsia"/>
                <w:sz w:val="24"/>
                <w:szCs w:val="24"/>
              </w:rPr>
              <w:t>管理费报价说明（按年计算）</w:t>
            </w:r>
          </w:p>
          <w:p>
            <w:pPr>
              <w:numPr>
                <w:ilvl w:val="0"/>
                <w:numId w:val="7"/>
              </w:numPr>
              <w:spacing w:line="360" w:lineRule="auto"/>
              <w:rPr>
                <w:rFonts w:asciiTheme="minorEastAsia" w:hAnsiTheme="minorEastAsia"/>
                <w:sz w:val="24"/>
                <w:szCs w:val="24"/>
              </w:rPr>
            </w:pPr>
            <w:r>
              <w:rPr>
                <w:rFonts w:hint="eastAsia" w:asciiTheme="minorEastAsia" w:hAnsiTheme="minorEastAsia"/>
                <w:sz w:val="24"/>
                <w:szCs w:val="24"/>
              </w:rPr>
              <w:t>管理费率报价应符合集合计划管理费率相关管理的规定，不可出现“与招标人另行商定”等类似字样，如出现不符合要求的报价，将视为该报价无效。</w:t>
            </w:r>
          </w:p>
          <w:p>
            <w:pPr>
              <w:numPr>
                <w:ilvl w:val="0"/>
                <w:numId w:val="7"/>
              </w:numPr>
              <w:spacing w:line="360" w:lineRule="auto"/>
              <w:rPr>
                <w:rFonts w:asciiTheme="minorEastAsia" w:hAnsiTheme="minorEastAsia"/>
                <w:sz w:val="24"/>
                <w:szCs w:val="24"/>
              </w:rPr>
            </w:pPr>
            <w:r>
              <w:rPr>
                <w:rFonts w:hint="eastAsia" w:asciiTheme="minorEastAsia" w:hAnsiTheme="minorEastAsia"/>
                <w:sz w:val="24"/>
                <w:szCs w:val="24"/>
              </w:rPr>
              <w:t>上表需要填写的投资组合须为同一个投资管理人管理下的投资组合，且该投资管理人须和附件三推荐的集合计划一的投资管理人相同。</w:t>
            </w:r>
          </w:p>
          <w:p>
            <w:pPr>
              <w:numPr>
                <w:ilvl w:val="0"/>
                <w:numId w:val="7"/>
              </w:numPr>
              <w:spacing w:line="360" w:lineRule="auto"/>
              <w:rPr>
                <w:rFonts w:asciiTheme="minorEastAsia" w:hAnsiTheme="minorEastAsia"/>
                <w:sz w:val="24"/>
                <w:szCs w:val="24"/>
              </w:rPr>
            </w:pPr>
            <w:r>
              <w:rPr>
                <w:rFonts w:hint="eastAsia" w:asciiTheme="minorEastAsia" w:hAnsiTheme="minorEastAsia"/>
                <w:sz w:val="24"/>
                <w:szCs w:val="24"/>
              </w:rPr>
              <w:t>投资组合平均管理费=合计管理费/投资组合个数</w:t>
            </w:r>
          </w:p>
          <w:p>
            <w:pPr>
              <w:numPr>
                <w:ilvl w:val="0"/>
                <w:numId w:val="7"/>
              </w:numPr>
              <w:spacing w:line="360" w:lineRule="auto"/>
              <w:rPr>
                <w:rFonts w:asciiTheme="minorEastAsia" w:hAnsiTheme="minorEastAsia"/>
                <w:sz w:val="24"/>
                <w:szCs w:val="24"/>
              </w:rPr>
            </w:pPr>
            <w:r>
              <w:rPr>
                <w:rFonts w:hint="eastAsia" w:asciiTheme="minorEastAsia" w:hAnsiTheme="minorEastAsia"/>
                <w:sz w:val="24"/>
                <w:szCs w:val="24"/>
              </w:rPr>
              <w:t>本期年金基金总额度约为30万元，实际以合同金额为准。</w:t>
            </w:r>
          </w:p>
        </w:tc>
      </w:tr>
    </w:tbl>
    <w:p>
      <w:pPr>
        <w:spacing w:line="360" w:lineRule="exact"/>
        <w:rPr>
          <w:rFonts w:ascii="宋体" w:hAnsi="宋体"/>
          <w:sz w:val="24"/>
          <w:szCs w:val="24"/>
        </w:rPr>
      </w:pPr>
    </w:p>
    <w:p>
      <w:pPr>
        <w:spacing w:line="360" w:lineRule="exact"/>
        <w:rPr>
          <w:rFonts w:ascii="宋体" w:hAnsi="宋体"/>
          <w:sz w:val="24"/>
          <w:szCs w:val="24"/>
        </w:rPr>
      </w:pPr>
    </w:p>
    <w:p>
      <w:pPr>
        <w:spacing w:line="440" w:lineRule="exact"/>
        <w:rPr>
          <w:rFonts w:ascii="宋体" w:hAnsi="宋体"/>
          <w:sz w:val="24"/>
          <w:szCs w:val="24"/>
        </w:rPr>
      </w:pPr>
    </w:p>
    <w:p>
      <w:pPr>
        <w:spacing w:line="500" w:lineRule="exact"/>
        <w:ind w:firstLine="3720" w:firstLineChars="1550"/>
        <w:rPr>
          <w:rFonts w:ascii="宋体" w:hAnsi="宋体"/>
          <w:sz w:val="24"/>
          <w:szCs w:val="24"/>
          <w:u w:val="single"/>
        </w:rPr>
      </w:pPr>
      <w:r>
        <w:rPr>
          <w:rFonts w:hint="eastAsia" w:ascii="宋体" w:hAnsi="宋体"/>
          <w:sz w:val="24"/>
          <w:szCs w:val="24"/>
        </w:rPr>
        <w:t>投标单位（公章）：</w:t>
      </w:r>
    </w:p>
    <w:p>
      <w:pPr>
        <w:spacing w:line="500" w:lineRule="exact"/>
        <w:ind w:firstLine="3720" w:firstLineChars="1550"/>
        <w:rPr>
          <w:rFonts w:ascii="宋体" w:hAnsi="宋体"/>
          <w:sz w:val="24"/>
          <w:szCs w:val="24"/>
          <w:u w:val="single"/>
        </w:rPr>
      </w:pPr>
      <w:r>
        <w:rPr>
          <w:rFonts w:hint="eastAsia" w:ascii="宋体" w:hAnsi="宋体"/>
          <w:sz w:val="24"/>
          <w:szCs w:val="24"/>
        </w:rPr>
        <w:t>投标代表签字：</w:t>
      </w:r>
    </w:p>
    <w:p>
      <w:pPr>
        <w:spacing w:line="500" w:lineRule="exact"/>
        <w:ind w:firstLine="3720" w:firstLineChars="1550"/>
        <w:rPr>
          <w:rFonts w:ascii="宋体" w:hAnsi="宋体"/>
          <w:sz w:val="24"/>
          <w:szCs w:val="24"/>
        </w:rPr>
      </w:pPr>
      <w:r>
        <w:rPr>
          <w:rFonts w:hint="eastAsia" w:ascii="宋体" w:hAnsi="宋体"/>
          <w:sz w:val="24"/>
          <w:szCs w:val="24"/>
        </w:rPr>
        <w:t>日         期：年月日</w:t>
      </w:r>
    </w:p>
    <w:p>
      <w:pPr>
        <w:spacing w:line="500" w:lineRule="exact"/>
        <w:rPr>
          <w:rFonts w:asciiTheme="minorEastAsia" w:hAnsiTheme="minorEastAsia"/>
          <w:b/>
          <w:sz w:val="28"/>
          <w:szCs w:val="28"/>
        </w:rPr>
      </w:pPr>
      <w:r>
        <w:rPr>
          <w:rFonts w:hint="eastAsia" w:asciiTheme="minorEastAsia" w:hAnsiTheme="minorEastAsia"/>
          <w:b/>
          <w:sz w:val="28"/>
          <w:szCs w:val="28"/>
        </w:rPr>
        <w:t>附件4：年金基金管理费报价书</w:t>
      </w:r>
    </w:p>
    <w:p>
      <w:pPr>
        <w:spacing w:line="500" w:lineRule="exact"/>
        <w:rPr>
          <w:rFonts w:ascii="宋体" w:hAnsi="宋体"/>
          <w:sz w:val="24"/>
          <w:szCs w:val="24"/>
        </w:rPr>
      </w:pPr>
      <w:r>
        <w:rPr>
          <w:rFonts w:hint="eastAsia" w:asciiTheme="minorEastAsia" w:hAnsiTheme="minorEastAsia"/>
          <w:b/>
          <w:sz w:val="28"/>
          <w:szCs w:val="28"/>
        </w:rPr>
        <w:t>（</w:t>
      </w:r>
      <w:r>
        <w:rPr>
          <w:rFonts w:hint="eastAsia" w:asciiTheme="minorEastAsia" w:hAnsiTheme="minorEastAsia"/>
          <w:sz w:val="24"/>
          <w:szCs w:val="24"/>
        </w:rPr>
        <w:t>集合计划方案二投资组合平均管理费）</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993"/>
        <w:gridCol w:w="992"/>
        <w:gridCol w:w="992"/>
        <w:gridCol w:w="1276"/>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项目名称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台州市交通投资集团有限公司</w:t>
            </w:r>
          </w:p>
          <w:p>
            <w:pPr>
              <w:spacing w:line="360" w:lineRule="auto"/>
              <w:jc w:val="center"/>
              <w:rPr>
                <w:rFonts w:asciiTheme="minorEastAsia" w:hAnsiTheme="minorEastAsia"/>
                <w:sz w:val="24"/>
                <w:szCs w:val="24"/>
              </w:rPr>
            </w:pPr>
            <w:r>
              <w:rPr>
                <w:rFonts w:hint="eastAsia" w:asciiTheme="minorEastAsia" w:hAnsiTheme="minorEastAsia"/>
                <w:sz w:val="24"/>
                <w:szCs w:val="24"/>
              </w:rPr>
              <w:t>企业年金基金受托管理服务项目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投标人推荐的集合计划名称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trPr>
        <w:tc>
          <w:tcPr>
            <w:tcW w:w="294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推荐的集合计划投资管理人在该计划管理的投资组合名称</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管理费报价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2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受托管理费率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投资管理费率</w:t>
            </w: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托管费率</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Theme="minorEastAsia" w:hAnsiTheme="minorEastAsia"/>
                <w:sz w:val="24"/>
                <w:szCs w:val="24"/>
              </w:rPr>
            </w:pPr>
            <w:r>
              <w:rPr>
                <w:rFonts w:hint="eastAsia" w:asciiTheme="minorEastAsia" w:hAnsiTheme="minorEastAsia"/>
                <w:sz w:val="24"/>
                <w:szCs w:val="24"/>
              </w:rPr>
              <w:t>本期年金基金总额（元）</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管理费（元）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300000</w:t>
            </w:r>
          </w:p>
        </w:tc>
        <w:tc>
          <w:tcPr>
            <w:tcW w:w="13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合计管理费（元）</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9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r>
              <w:rPr>
                <w:rFonts w:hint="eastAsia" w:asciiTheme="minorEastAsia" w:hAnsiTheme="minorEastAsia"/>
                <w:sz w:val="24"/>
                <w:szCs w:val="24"/>
              </w:rPr>
              <w:t>投资组合平均管理费（元）</w:t>
            </w:r>
          </w:p>
        </w:tc>
        <w:tc>
          <w:tcPr>
            <w:tcW w:w="557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 w:val="24"/>
                <w:szCs w:val="24"/>
              </w:rPr>
            </w:pPr>
            <w:r>
              <w:rPr>
                <w:rFonts w:hint="eastAsia" w:asciiTheme="minorEastAsia" w:hAnsiTheme="minorEastAsia"/>
                <w:sz w:val="24"/>
                <w:szCs w:val="24"/>
              </w:rPr>
              <w:t>管理费报价说明（按年计算）</w:t>
            </w:r>
          </w:p>
          <w:p>
            <w:pPr>
              <w:tabs>
                <w:tab w:val="left" w:pos="420"/>
              </w:tabs>
              <w:spacing w:line="360" w:lineRule="auto"/>
              <w:ind w:left="420"/>
              <w:rPr>
                <w:rFonts w:asciiTheme="minorEastAsia" w:hAnsiTheme="minorEastAsia"/>
                <w:sz w:val="24"/>
                <w:szCs w:val="24"/>
              </w:rPr>
            </w:pPr>
            <w:r>
              <w:rPr>
                <w:rFonts w:hint="eastAsia" w:asciiTheme="minorEastAsia" w:hAnsiTheme="minorEastAsia"/>
                <w:sz w:val="24"/>
                <w:szCs w:val="24"/>
              </w:rPr>
              <w:t>1.管理费率报价应符合集合计划管理费率相关管理的规定，不可出现“与招标人另行商定”等类似字样，如出现不符合要求的报价，将视为该报价无效。</w:t>
            </w:r>
          </w:p>
          <w:p>
            <w:pPr>
              <w:tabs>
                <w:tab w:val="left" w:pos="420"/>
              </w:tabs>
              <w:spacing w:line="360" w:lineRule="auto"/>
              <w:ind w:left="420"/>
              <w:rPr>
                <w:rFonts w:asciiTheme="minorEastAsia" w:hAnsiTheme="minorEastAsia"/>
                <w:sz w:val="24"/>
                <w:szCs w:val="24"/>
              </w:rPr>
            </w:pPr>
            <w:r>
              <w:rPr>
                <w:rFonts w:hint="eastAsia" w:asciiTheme="minorEastAsia" w:hAnsiTheme="minorEastAsia"/>
                <w:sz w:val="24"/>
                <w:szCs w:val="24"/>
              </w:rPr>
              <w:t>2.上表需要填写的投资组合须为同一个投资管理人管理下的投资组合，且该投资管理人须和附件三推荐的集合计划二的投资管理人相同。</w:t>
            </w:r>
          </w:p>
          <w:p>
            <w:pPr>
              <w:tabs>
                <w:tab w:val="left" w:pos="420"/>
              </w:tabs>
              <w:spacing w:line="360" w:lineRule="auto"/>
              <w:ind w:left="420"/>
              <w:rPr>
                <w:rFonts w:asciiTheme="minorEastAsia" w:hAnsiTheme="minorEastAsia"/>
                <w:sz w:val="24"/>
                <w:szCs w:val="24"/>
              </w:rPr>
            </w:pPr>
            <w:r>
              <w:rPr>
                <w:rFonts w:hint="eastAsia" w:asciiTheme="minorEastAsia" w:hAnsiTheme="minorEastAsia"/>
                <w:sz w:val="24"/>
                <w:szCs w:val="24"/>
              </w:rPr>
              <w:t>3.投资组合平均管理费=合计管理费/投资组合个数</w:t>
            </w:r>
          </w:p>
          <w:p>
            <w:pPr>
              <w:tabs>
                <w:tab w:val="left" w:pos="420"/>
              </w:tabs>
              <w:spacing w:line="360" w:lineRule="auto"/>
              <w:ind w:left="420"/>
              <w:rPr>
                <w:rFonts w:asciiTheme="minorEastAsia" w:hAnsiTheme="minorEastAsia"/>
                <w:sz w:val="24"/>
                <w:szCs w:val="24"/>
              </w:rPr>
            </w:pPr>
            <w:r>
              <w:rPr>
                <w:rFonts w:hint="eastAsia" w:asciiTheme="minorEastAsia" w:hAnsiTheme="minorEastAsia"/>
                <w:sz w:val="24"/>
                <w:szCs w:val="24"/>
              </w:rPr>
              <w:t>4.本期年金基金总额度约为30万元，实际以合同金额为准。</w:t>
            </w:r>
          </w:p>
        </w:tc>
      </w:tr>
    </w:tbl>
    <w:p>
      <w:pPr>
        <w:spacing w:line="360" w:lineRule="auto"/>
        <w:rPr>
          <w:rFonts w:asciiTheme="minorEastAsia" w:hAnsiTheme="minorEastAsia"/>
          <w:sz w:val="24"/>
          <w:szCs w:val="24"/>
        </w:rPr>
      </w:pPr>
    </w:p>
    <w:p>
      <w:pPr>
        <w:spacing w:line="500" w:lineRule="exact"/>
        <w:ind w:firstLine="3720" w:firstLineChars="1550"/>
        <w:rPr>
          <w:rFonts w:ascii="宋体" w:hAnsi="宋体"/>
          <w:sz w:val="24"/>
          <w:szCs w:val="24"/>
        </w:rPr>
      </w:pPr>
    </w:p>
    <w:p>
      <w:pPr>
        <w:spacing w:line="500" w:lineRule="exact"/>
        <w:ind w:firstLine="3720" w:firstLineChars="1550"/>
        <w:rPr>
          <w:rFonts w:ascii="宋体" w:hAnsi="宋体"/>
          <w:sz w:val="24"/>
          <w:szCs w:val="24"/>
          <w:u w:val="single"/>
        </w:rPr>
      </w:pPr>
      <w:r>
        <w:rPr>
          <w:rFonts w:hint="eastAsia" w:ascii="宋体" w:hAnsi="宋体"/>
          <w:sz w:val="24"/>
          <w:szCs w:val="24"/>
        </w:rPr>
        <w:t>投标单位（公章）：</w:t>
      </w:r>
    </w:p>
    <w:p>
      <w:pPr>
        <w:spacing w:line="500" w:lineRule="exact"/>
        <w:ind w:firstLine="3720" w:firstLineChars="1550"/>
        <w:rPr>
          <w:rFonts w:ascii="宋体" w:hAnsi="宋体"/>
          <w:sz w:val="24"/>
          <w:szCs w:val="24"/>
          <w:u w:val="single"/>
        </w:rPr>
      </w:pPr>
      <w:r>
        <w:rPr>
          <w:rFonts w:hint="eastAsia" w:ascii="宋体" w:hAnsi="宋体"/>
          <w:sz w:val="24"/>
          <w:szCs w:val="24"/>
        </w:rPr>
        <w:t>投标代表签字：</w:t>
      </w:r>
    </w:p>
    <w:p>
      <w:pPr>
        <w:spacing w:line="360" w:lineRule="auto"/>
        <w:ind w:firstLine="3720" w:firstLineChars="1550"/>
        <w:rPr>
          <w:rFonts w:asciiTheme="minorEastAsia" w:hAnsiTheme="minorEastAsia"/>
          <w:sz w:val="24"/>
          <w:szCs w:val="24"/>
        </w:rPr>
      </w:pPr>
      <w:r>
        <w:rPr>
          <w:rFonts w:hint="eastAsia" w:ascii="宋体" w:hAnsi="宋体"/>
          <w:sz w:val="24"/>
          <w:szCs w:val="24"/>
        </w:rPr>
        <w:t>日         期：年月日</w:t>
      </w:r>
    </w:p>
    <w:p>
      <w:pPr>
        <w:wordWrap w:val="0"/>
        <w:spacing w:line="360" w:lineRule="auto"/>
        <w:ind w:firstLine="480" w:firstLineChars="200"/>
        <w:jc w:val="right"/>
        <w:rPr>
          <w:rFonts w:asciiTheme="minorEastAsia" w:hAnsiTheme="minorEastAsia"/>
          <w:sz w:val="24"/>
          <w:szCs w:val="24"/>
        </w:rPr>
      </w:pPr>
    </w:p>
    <w:p>
      <w:pPr>
        <w:widowControl/>
        <w:ind w:firstLine="138" w:firstLineChars="49"/>
        <w:jc w:val="left"/>
        <w:rPr>
          <w:rFonts w:asciiTheme="minorEastAsia" w:hAnsiTheme="minorEastAsia"/>
          <w:b/>
          <w:sz w:val="28"/>
          <w:szCs w:val="28"/>
        </w:rPr>
      </w:pPr>
      <w:r>
        <w:rPr>
          <w:rFonts w:hint="eastAsia" w:asciiTheme="minorEastAsia" w:hAnsiTheme="minorEastAsia"/>
          <w:b/>
          <w:sz w:val="28"/>
          <w:szCs w:val="28"/>
        </w:rPr>
        <w:t>附件5：企业年金法人受托机构招标评分表</w:t>
      </w:r>
    </w:p>
    <w:p>
      <w:pPr>
        <w:pStyle w:val="23"/>
        <w:spacing w:before="312" w:after="312"/>
        <w:jc w:val="both"/>
        <w:rPr>
          <w:rFonts w:ascii="宋体" w:hAnsi="宋体"/>
          <w:b/>
          <w:sz w:val="28"/>
          <w:szCs w:val="28"/>
        </w:rPr>
      </w:pPr>
      <w:r>
        <w:rPr>
          <w:rFonts w:hint="eastAsia" w:ascii="宋体" w:hAnsi="宋体"/>
          <w:b/>
          <w:sz w:val="28"/>
          <w:szCs w:val="28"/>
        </w:rPr>
        <w:t>一、报价分（分值8分）</w:t>
      </w:r>
    </w:p>
    <w:tbl>
      <w:tblPr>
        <w:tblStyle w:val="13"/>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68"/>
        <w:gridCol w:w="426"/>
        <w:gridCol w:w="481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1985" w:type="dxa"/>
            <w:vAlign w:val="center"/>
          </w:tcPr>
          <w:p>
            <w:pPr>
              <w:jc w:val="center"/>
              <w:rPr>
                <w:rFonts w:ascii="宋体" w:hAnsi="宋体" w:eastAsia="宋体"/>
                <w:b/>
                <w:bCs/>
                <w:sz w:val="20"/>
                <w:szCs w:val="20"/>
              </w:rPr>
            </w:pPr>
            <w:r>
              <w:rPr>
                <w:rFonts w:hint="eastAsia" w:ascii="宋体" w:hAnsi="宋体" w:eastAsia="宋体"/>
                <w:b/>
                <w:bCs/>
                <w:sz w:val="20"/>
                <w:szCs w:val="20"/>
              </w:rPr>
              <w:t>项目</w:t>
            </w:r>
          </w:p>
        </w:tc>
        <w:tc>
          <w:tcPr>
            <w:tcW w:w="2268" w:type="dxa"/>
            <w:vAlign w:val="center"/>
          </w:tcPr>
          <w:p>
            <w:pPr>
              <w:jc w:val="center"/>
              <w:rPr>
                <w:rFonts w:ascii="宋体" w:hAnsi="宋体" w:eastAsia="宋体"/>
                <w:b/>
                <w:bCs/>
                <w:sz w:val="20"/>
                <w:szCs w:val="20"/>
              </w:rPr>
            </w:pPr>
            <w:r>
              <w:rPr>
                <w:rFonts w:hint="eastAsia" w:ascii="宋体" w:hAnsi="宋体" w:eastAsia="宋体"/>
                <w:b/>
                <w:bCs/>
                <w:sz w:val="20"/>
                <w:szCs w:val="20"/>
              </w:rPr>
              <w:t>评分点</w:t>
            </w:r>
          </w:p>
        </w:tc>
        <w:tc>
          <w:tcPr>
            <w:tcW w:w="426" w:type="dxa"/>
            <w:vAlign w:val="center"/>
          </w:tcPr>
          <w:p>
            <w:pPr>
              <w:jc w:val="center"/>
              <w:rPr>
                <w:rFonts w:ascii="宋体" w:hAnsi="宋体" w:eastAsia="宋体"/>
                <w:b/>
                <w:bCs/>
                <w:sz w:val="20"/>
                <w:szCs w:val="20"/>
              </w:rPr>
            </w:pPr>
            <w:r>
              <w:rPr>
                <w:rFonts w:hint="eastAsia" w:ascii="宋体" w:hAnsi="宋体" w:eastAsia="宋体"/>
                <w:b/>
                <w:bCs/>
                <w:sz w:val="20"/>
                <w:szCs w:val="20"/>
              </w:rPr>
              <w:t>分数</w:t>
            </w:r>
          </w:p>
        </w:tc>
        <w:tc>
          <w:tcPr>
            <w:tcW w:w="4819" w:type="dxa"/>
            <w:vAlign w:val="center"/>
          </w:tcPr>
          <w:p>
            <w:pPr>
              <w:jc w:val="center"/>
              <w:rPr>
                <w:rFonts w:ascii="宋体" w:hAnsi="宋体" w:eastAsia="宋体"/>
                <w:b/>
                <w:bCs/>
                <w:sz w:val="20"/>
                <w:szCs w:val="20"/>
              </w:rPr>
            </w:pPr>
            <w:r>
              <w:rPr>
                <w:rFonts w:hint="eastAsia" w:ascii="宋体" w:hAnsi="宋体" w:eastAsia="宋体"/>
                <w:b/>
                <w:bCs/>
                <w:sz w:val="20"/>
                <w:szCs w:val="20"/>
              </w:rPr>
              <w:t>评分标准</w:t>
            </w:r>
          </w:p>
        </w:tc>
        <w:tc>
          <w:tcPr>
            <w:tcW w:w="425" w:type="dxa"/>
            <w:vAlign w:val="center"/>
          </w:tcPr>
          <w:p>
            <w:pPr>
              <w:jc w:val="center"/>
              <w:rPr>
                <w:rFonts w:ascii="宋体" w:hAnsi="宋体" w:eastAsia="宋体"/>
                <w:b/>
                <w:bCs/>
                <w:sz w:val="20"/>
                <w:szCs w:val="20"/>
              </w:rPr>
            </w:pPr>
            <w:r>
              <w:rPr>
                <w:rFonts w:hint="eastAsia" w:ascii="宋体" w:hAnsi="宋体" w:eastAsia="宋体"/>
                <w:b/>
                <w:bCs/>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1985" w:type="dxa"/>
            <w:vAlign w:val="center"/>
          </w:tcPr>
          <w:p>
            <w:pPr>
              <w:rPr>
                <w:rFonts w:ascii="宋体" w:hAnsi="宋体" w:eastAsia="宋体"/>
                <w:b/>
                <w:bCs/>
                <w:sz w:val="20"/>
                <w:szCs w:val="20"/>
              </w:rPr>
            </w:pPr>
            <w:r>
              <w:rPr>
                <w:rFonts w:hint="eastAsia" w:ascii="宋体" w:hAnsi="宋体" w:eastAsia="宋体"/>
                <w:b/>
                <w:bCs/>
                <w:sz w:val="20"/>
                <w:szCs w:val="20"/>
              </w:rPr>
              <w:t>管理费报价（8分）</w:t>
            </w:r>
          </w:p>
        </w:tc>
        <w:tc>
          <w:tcPr>
            <w:tcW w:w="2268" w:type="dxa"/>
            <w:vAlign w:val="center"/>
          </w:tcPr>
          <w:p>
            <w:pPr>
              <w:rPr>
                <w:rFonts w:ascii="宋体" w:hAnsi="宋体" w:eastAsia="宋体"/>
                <w:sz w:val="20"/>
                <w:szCs w:val="20"/>
              </w:rPr>
            </w:pPr>
            <w:r>
              <w:rPr>
                <w:rFonts w:hint="eastAsia" w:ascii="宋体" w:hAnsi="宋体" w:eastAsia="宋体"/>
                <w:sz w:val="20"/>
                <w:szCs w:val="20"/>
              </w:rPr>
              <w:t>参与投标集合计划的各投资组合的平均费用，费用包括受托、托管和投管费</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8</w:t>
            </w:r>
          </w:p>
        </w:tc>
        <w:tc>
          <w:tcPr>
            <w:tcW w:w="4819" w:type="dxa"/>
            <w:vAlign w:val="center"/>
          </w:tcPr>
          <w:p>
            <w:pPr>
              <w:rPr>
                <w:rFonts w:ascii="宋体" w:hAnsi="宋体" w:eastAsia="宋体"/>
                <w:sz w:val="20"/>
                <w:szCs w:val="20"/>
              </w:rPr>
            </w:pPr>
            <w:r>
              <w:rPr>
                <w:rFonts w:hint="eastAsia" w:ascii="宋体" w:hAnsi="宋体" w:eastAsia="宋体"/>
                <w:sz w:val="20"/>
                <w:szCs w:val="20"/>
              </w:rPr>
              <w:t>以合格投标人所推荐集合计划投资管理人在该集合计划里所管理的所有投资组合的平均管理费报价，从低到高评分，依次得8至4分</w:t>
            </w:r>
          </w:p>
          <w:p>
            <w:pPr>
              <w:rPr>
                <w:rFonts w:ascii="宋体" w:hAnsi="宋体" w:eastAsia="宋体"/>
                <w:sz w:val="20"/>
                <w:szCs w:val="20"/>
              </w:rPr>
            </w:pPr>
            <w:r>
              <w:rPr>
                <w:rFonts w:hint="eastAsia" w:ascii="宋体" w:hAnsi="宋体" w:eastAsia="宋体"/>
                <w:sz w:val="20"/>
                <w:szCs w:val="20"/>
              </w:rPr>
              <w:t>*报价费用指受托、托管和投管费用。</w:t>
            </w:r>
          </w:p>
          <w:p>
            <w:pPr>
              <w:rPr>
                <w:rFonts w:ascii="宋体" w:hAnsi="宋体" w:eastAsia="宋体"/>
                <w:sz w:val="20"/>
                <w:szCs w:val="20"/>
              </w:rPr>
            </w:pPr>
            <w:r>
              <w:rPr>
                <w:rFonts w:hint="eastAsia" w:ascii="宋体" w:hAnsi="宋体" w:eastAsia="宋体"/>
                <w:sz w:val="20"/>
                <w:szCs w:val="20"/>
              </w:rPr>
              <w:t>*得分分值间隔1分，如果参与投标人人数多于5家，分值间隔0.5分。</w:t>
            </w:r>
          </w:p>
        </w:tc>
        <w:tc>
          <w:tcPr>
            <w:tcW w:w="425" w:type="dxa"/>
          </w:tcPr>
          <w:p>
            <w:pPr>
              <w:rPr>
                <w:rFonts w:ascii="宋体" w:hAnsi="宋体" w:eastAsia="宋体"/>
                <w:sz w:val="20"/>
                <w:szCs w:val="20"/>
              </w:rPr>
            </w:pPr>
            <w:r>
              <w:rPr>
                <w:rFonts w:hint="eastAsia" w:ascii="宋体" w:hAnsi="宋体" w:eastAsia="宋体"/>
                <w:sz w:val="20"/>
                <w:szCs w:val="20"/>
              </w:rPr>
              <w:t>　</w:t>
            </w:r>
          </w:p>
        </w:tc>
      </w:tr>
    </w:tbl>
    <w:p>
      <w:pPr>
        <w:pStyle w:val="23"/>
        <w:spacing w:before="312" w:after="312"/>
        <w:jc w:val="both"/>
        <w:rPr>
          <w:rFonts w:ascii="宋体" w:hAnsi="宋体"/>
          <w:b/>
          <w:sz w:val="28"/>
          <w:szCs w:val="28"/>
        </w:rPr>
      </w:pPr>
    </w:p>
    <w:p>
      <w:pPr>
        <w:pStyle w:val="23"/>
        <w:spacing w:before="312" w:after="312"/>
        <w:jc w:val="both"/>
        <w:rPr>
          <w:rFonts w:ascii="宋体" w:hAnsi="宋体"/>
          <w:b/>
          <w:sz w:val="28"/>
          <w:szCs w:val="28"/>
        </w:rPr>
      </w:pPr>
      <w:r>
        <w:rPr>
          <w:rFonts w:hint="eastAsia" w:ascii="宋体" w:hAnsi="宋体"/>
          <w:b/>
          <w:sz w:val="28"/>
          <w:szCs w:val="28"/>
        </w:rPr>
        <w:t>二、商务技术文件（分值92分）</w:t>
      </w:r>
    </w:p>
    <w:tbl>
      <w:tblPr>
        <w:tblStyle w:val="13"/>
        <w:tblW w:w="10348"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851"/>
        <w:gridCol w:w="1134"/>
        <w:gridCol w:w="2268"/>
        <w:gridCol w:w="426"/>
        <w:gridCol w:w="481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7" w:hRule="atLeast"/>
        </w:trPr>
        <w:tc>
          <w:tcPr>
            <w:tcW w:w="425" w:type="dxa"/>
            <w:vAlign w:val="center"/>
          </w:tcPr>
          <w:p>
            <w:pPr>
              <w:jc w:val="center"/>
              <w:rPr>
                <w:rFonts w:ascii="宋体" w:hAnsi="宋体" w:eastAsia="宋体"/>
                <w:b/>
                <w:bCs/>
                <w:sz w:val="20"/>
                <w:szCs w:val="20"/>
              </w:rPr>
            </w:pPr>
            <w:r>
              <w:rPr>
                <w:rFonts w:hint="eastAsia" w:ascii="宋体" w:hAnsi="宋体" w:eastAsia="宋体"/>
                <w:b/>
                <w:bCs/>
                <w:sz w:val="20"/>
                <w:szCs w:val="20"/>
              </w:rPr>
              <w:t>序号</w:t>
            </w:r>
          </w:p>
        </w:tc>
        <w:tc>
          <w:tcPr>
            <w:tcW w:w="851" w:type="dxa"/>
            <w:vAlign w:val="center"/>
          </w:tcPr>
          <w:p>
            <w:pPr>
              <w:jc w:val="center"/>
              <w:rPr>
                <w:rFonts w:ascii="宋体" w:hAnsi="宋体" w:eastAsia="宋体"/>
                <w:b/>
                <w:bCs/>
                <w:sz w:val="20"/>
                <w:szCs w:val="20"/>
              </w:rPr>
            </w:pPr>
            <w:r>
              <w:rPr>
                <w:rFonts w:hint="eastAsia" w:ascii="宋体" w:hAnsi="宋体" w:eastAsia="宋体"/>
                <w:b/>
                <w:bCs/>
                <w:sz w:val="20"/>
                <w:szCs w:val="20"/>
              </w:rPr>
              <w:t>项目</w:t>
            </w:r>
          </w:p>
        </w:tc>
        <w:tc>
          <w:tcPr>
            <w:tcW w:w="1134" w:type="dxa"/>
            <w:vAlign w:val="center"/>
          </w:tcPr>
          <w:p>
            <w:pPr>
              <w:jc w:val="center"/>
              <w:rPr>
                <w:rFonts w:ascii="宋体" w:hAnsi="宋体" w:eastAsia="宋体"/>
                <w:b/>
                <w:bCs/>
                <w:sz w:val="20"/>
                <w:szCs w:val="20"/>
              </w:rPr>
            </w:pPr>
            <w:r>
              <w:rPr>
                <w:rFonts w:hint="eastAsia" w:ascii="宋体" w:hAnsi="宋体" w:eastAsia="宋体"/>
                <w:b/>
                <w:bCs/>
                <w:sz w:val="20"/>
                <w:szCs w:val="20"/>
              </w:rPr>
              <w:t>评选子项</w:t>
            </w:r>
          </w:p>
        </w:tc>
        <w:tc>
          <w:tcPr>
            <w:tcW w:w="2268" w:type="dxa"/>
            <w:vAlign w:val="center"/>
          </w:tcPr>
          <w:p>
            <w:pPr>
              <w:jc w:val="center"/>
              <w:rPr>
                <w:rFonts w:ascii="宋体" w:hAnsi="宋体" w:eastAsia="宋体"/>
                <w:b/>
                <w:bCs/>
                <w:sz w:val="20"/>
                <w:szCs w:val="20"/>
              </w:rPr>
            </w:pPr>
            <w:r>
              <w:rPr>
                <w:rFonts w:hint="eastAsia" w:ascii="宋体" w:hAnsi="宋体" w:eastAsia="宋体"/>
                <w:b/>
                <w:bCs/>
                <w:sz w:val="20"/>
                <w:szCs w:val="20"/>
              </w:rPr>
              <w:t>评分点</w:t>
            </w:r>
          </w:p>
        </w:tc>
        <w:tc>
          <w:tcPr>
            <w:tcW w:w="426" w:type="dxa"/>
            <w:vAlign w:val="center"/>
          </w:tcPr>
          <w:p>
            <w:pPr>
              <w:jc w:val="center"/>
              <w:rPr>
                <w:rFonts w:ascii="宋体" w:hAnsi="宋体" w:eastAsia="宋体"/>
                <w:b/>
                <w:bCs/>
                <w:sz w:val="20"/>
                <w:szCs w:val="20"/>
              </w:rPr>
            </w:pPr>
            <w:r>
              <w:rPr>
                <w:rFonts w:hint="eastAsia" w:ascii="宋体" w:hAnsi="宋体" w:eastAsia="宋体"/>
                <w:b/>
                <w:bCs/>
                <w:sz w:val="20"/>
                <w:szCs w:val="20"/>
              </w:rPr>
              <w:t>分数</w:t>
            </w:r>
          </w:p>
        </w:tc>
        <w:tc>
          <w:tcPr>
            <w:tcW w:w="4819" w:type="dxa"/>
            <w:vAlign w:val="center"/>
          </w:tcPr>
          <w:p>
            <w:pPr>
              <w:jc w:val="center"/>
              <w:rPr>
                <w:rFonts w:ascii="宋体" w:hAnsi="宋体" w:eastAsia="宋体"/>
                <w:b/>
                <w:bCs/>
                <w:sz w:val="20"/>
                <w:szCs w:val="20"/>
              </w:rPr>
            </w:pPr>
            <w:r>
              <w:rPr>
                <w:rFonts w:hint="eastAsia" w:ascii="宋体" w:hAnsi="宋体" w:eastAsia="宋体"/>
                <w:b/>
                <w:bCs/>
                <w:sz w:val="20"/>
                <w:szCs w:val="20"/>
              </w:rPr>
              <w:t>评分标准</w:t>
            </w:r>
          </w:p>
        </w:tc>
        <w:tc>
          <w:tcPr>
            <w:tcW w:w="425" w:type="dxa"/>
            <w:vAlign w:val="center"/>
          </w:tcPr>
          <w:p>
            <w:pPr>
              <w:jc w:val="center"/>
              <w:rPr>
                <w:rFonts w:ascii="宋体" w:hAnsi="宋体" w:eastAsia="宋体"/>
                <w:b/>
                <w:bCs/>
                <w:sz w:val="20"/>
                <w:szCs w:val="20"/>
              </w:rPr>
            </w:pPr>
            <w:r>
              <w:rPr>
                <w:rFonts w:hint="eastAsia" w:ascii="宋体" w:hAnsi="宋体" w:eastAsia="宋体"/>
                <w:b/>
                <w:bCs/>
                <w:sz w:val="20"/>
                <w:szCs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425" w:type="dxa"/>
            <w:vMerge w:val="restart"/>
            <w:vAlign w:val="center"/>
          </w:tcPr>
          <w:p>
            <w:pPr>
              <w:jc w:val="center"/>
              <w:rPr>
                <w:rFonts w:ascii="宋体" w:hAnsi="宋体" w:eastAsia="宋体"/>
                <w:b/>
                <w:bCs/>
                <w:sz w:val="20"/>
                <w:szCs w:val="20"/>
              </w:rPr>
            </w:pPr>
            <w:r>
              <w:rPr>
                <w:rFonts w:hint="eastAsia" w:ascii="宋体" w:hAnsi="宋体" w:eastAsia="宋体"/>
                <w:b/>
                <w:bCs/>
                <w:sz w:val="20"/>
                <w:szCs w:val="20"/>
              </w:rPr>
              <w:t>一</w:t>
            </w:r>
          </w:p>
        </w:tc>
        <w:tc>
          <w:tcPr>
            <w:tcW w:w="851" w:type="dxa"/>
            <w:vMerge w:val="restart"/>
            <w:vAlign w:val="center"/>
          </w:tcPr>
          <w:p>
            <w:pPr>
              <w:rPr>
                <w:rFonts w:ascii="宋体" w:hAnsi="宋体" w:eastAsia="宋体"/>
                <w:b/>
                <w:bCs/>
                <w:sz w:val="20"/>
                <w:szCs w:val="20"/>
              </w:rPr>
            </w:pPr>
            <w:r>
              <w:rPr>
                <w:rFonts w:hint="eastAsia" w:ascii="宋体" w:hAnsi="宋体" w:eastAsia="宋体"/>
                <w:b/>
                <w:bCs/>
                <w:sz w:val="20"/>
                <w:szCs w:val="20"/>
              </w:rPr>
              <w:t>综合实力</w:t>
            </w:r>
            <w:r>
              <w:rPr>
                <w:rFonts w:hint="eastAsia" w:ascii="宋体" w:hAnsi="宋体" w:eastAsia="宋体"/>
                <w:b/>
                <w:bCs/>
                <w:sz w:val="20"/>
                <w:szCs w:val="20"/>
              </w:rPr>
              <w:br w:type="textWrapping"/>
            </w:r>
            <w:r>
              <w:rPr>
                <w:rFonts w:hint="eastAsia" w:ascii="宋体" w:hAnsi="宋体" w:eastAsia="宋体"/>
                <w:b/>
                <w:bCs/>
                <w:sz w:val="20"/>
                <w:szCs w:val="20"/>
              </w:rPr>
              <w:t>（16）</w:t>
            </w:r>
          </w:p>
        </w:tc>
        <w:tc>
          <w:tcPr>
            <w:tcW w:w="1134" w:type="dxa"/>
            <w:vMerge w:val="restart"/>
            <w:vAlign w:val="center"/>
          </w:tcPr>
          <w:p>
            <w:pPr>
              <w:rPr>
                <w:rFonts w:ascii="宋体" w:hAnsi="宋体" w:eastAsia="宋体"/>
                <w:b/>
                <w:bCs/>
                <w:sz w:val="20"/>
                <w:szCs w:val="20"/>
              </w:rPr>
            </w:pPr>
            <w:r>
              <w:rPr>
                <w:rFonts w:hint="eastAsia" w:ascii="宋体" w:hAnsi="宋体" w:eastAsia="宋体"/>
                <w:b/>
                <w:bCs/>
                <w:sz w:val="20"/>
                <w:szCs w:val="20"/>
              </w:rPr>
              <w:t>公司实力</w:t>
            </w:r>
            <w:r>
              <w:rPr>
                <w:rFonts w:hint="eastAsia" w:ascii="宋体" w:hAnsi="宋体" w:eastAsia="宋体"/>
                <w:b/>
                <w:bCs/>
                <w:sz w:val="20"/>
                <w:szCs w:val="20"/>
              </w:rPr>
              <w:br w:type="textWrapping"/>
            </w:r>
            <w:r>
              <w:rPr>
                <w:rFonts w:hint="eastAsia" w:ascii="宋体" w:hAnsi="宋体" w:eastAsia="宋体"/>
                <w:b/>
                <w:bCs/>
                <w:sz w:val="20"/>
                <w:szCs w:val="20"/>
              </w:rPr>
              <w:t>（7分）</w:t>
            </w:r>
          </w:p>
        </w:tc>
        <w:tc>
          <w:tcPr>
            <w:tcW w:w="2268" w:type="dxa"/>
            <w:vAlign w:val="center"/>
          </w:tcPr>
          <w:p>
            <w:pPr>
              <w:rPr>
                <w:rFonts w:ascii="宋体" w:hAnsi="宋体" w:eastAsia="宋体"/>
                <w:sz w:val="20"/>
                <w:szCs w:val="20"/>
              </w:rPr>
            </w:pPr>
            <w:r>
              <w:rPr>
                <w:rFonts w:hint="eastAsia" w:ascii="宋体" w:hAnsi="宋体" w:eastAsia="宋体"/>
                <w:sz w:val="20"/>
                <w:szCs w:val="20"/>
              </w:rPr>
              <w:t>注册资本</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100亿元以上[得3分]；50-100(含)亿元[得2分]；20（含）-50（含）亿元[得1分]。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全国企业年金分支服务机构是否完备</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4819" w:type="dxa"/>
            <w:vAlign w:val="center"/>
          </w:tcPr>
          <w:p>
            <w:pPr>
              <w:rPr>
                <w:rFonts w:ascii="宋体" w:hAnsi="宋体" w:eastAsia="宋体"/>
                <w:sz w:val="20"/>
                <w:szCs w:val="20"/>
              </w:rPr>
            </w:pPr>
            <w:r>
              <w:rPr>
                <w:rFonts w:hint="eastAsia" w:ascii="宋体" w:hAnsi="宋体" w:eastAsia="宋体"/>
                <w:sz w:val="20"/>
                <w:szCs w:val="20"/>
              </w:rPr>
              <w:t>拥有30（含）个以上的分支机构[得2分]；</w:t>
            </w:r>
            <w:r>
              <w:rPr>
                <w:rFonts w:hint="eastAsia" w:ascii="宋体" w:hAnsi="宋体" w:eastAsia="宋体"/>
                <w:sz w:val="20"/>
                <w:szCs w:val="20"/>
              </w:rPr>
              <w:br w:type="textWrapping"/>
            </w:r>
            <w:r>
              <w:rPr>
                <w:rFonts w:hint="eastAsia" w:ascii="宋体" w:hAnsi="宋体" w:eastAsia="宋体"/>
                <w:sz w:val="20"/>
                <w:szCs w:val="20"/>
              </w:rPr>
              <w:t>拥有10（含）-29个分支机构[得1分]；</w:t>
            </w:r>
            <w:r>
              <w:rPr>
                <w:rFonts w:hint="eastAsia" w:ascii="宋体" w:hAnsi="宋体" w:eastAsia="宋体"/>
                <w:sz w:val="20"/>
                <w:szCs w:val="20"/>
              </w:rPr>
              <w:br w:type="textWrapping"/>
            </w:r>
            <w:r>
              <w:rPr>
                <w:rFonts w:hint="eastAsia" w:ascii="宋体" w:hAnsi="宋体" w:eastAsia="宋体"/>
                <w:sz w:val="20"/>
                <w:szCs w:val="20"/>
              </w:rPr>
              <w:t>拥有10个以下分支机构[得0分]。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受托管理资金规模排名</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4819" w:type="dxa"/>
            <w:vAlign w:val="center"/>
          </w:tcPr>
          <w:p>
            <w:pPr>
              <w:rPr>
                <w:rFonts w:ascii="宋体" w:hAnsi="宋体" w:eastAsia="宋体"/>
                <w:sz w:val="20"/>
                <w:szCs w:val="20"/>
              </w:rPr>
            </w:pPr>
            <w:r>
              <w:rPr>
                <w:rFonts w:hint="eastAsia" w:ascii="宋体" w:hAnsi="宋体" w:eastAsia="宋体"/>
                <w:sz w:val="20"/>
                <w:szCs w:val="20"/>
              </w:rPr>
              <w:t>1000亿元以上[得2分]；500（含）-1000（含）亿元[得1分];500亿元以下[得0分]。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restart"/>
            <w:vAlign w:val="center"/>
          </w:tcPr>
          <w:p>
            <w:pPr>
              <w:rPr>
                <w:rFonts w:ascii="宋体" w:hAnsi="宋体" w:eastAsia="宋体"/>
                <w:b/>
                <w:bCs/>
                <w:sz w:val="20"/>
                <w:szCs w:val="20"/>
              </w:rPr>
            </w:pPr>
            <w:r>
              <w:rPr>
                <w:rFonts w:hint="eastAsia" w:ascii="宋体" w:hAnsi="宋体" w:eastAsia="宋体"/>
                <w:b/>
                <w:bCs/>
                <w:sz w:val="20"/>
                <w:szCs w:val="20"/>
              </w:rPr>
              <w:t>内部管理</w:t>
            </w:r>
            <w:r>
              <w:rPr>
                <w:rFonts w:hint="eastAsia" w:ascii="宋体" w:hAnsi="宋体" w:eastAsia="宋体"/>
                <w:b/>
                <w:bCs/>
                <w:sz w:val="20"/>
                <w:szCs w:val="20"/>
              </w:rPr>
              <w:br w:type="textWrapping"/>
            </w:r>
            <w:r>
              <w:rPr>
                <w:rFonts w:hint="eastAsia" w:ascii="宋体" w:hAnsi="宋体" w:eastAsia="宋体"/>
                <w:b/>
                <w:bCs/>
                <w:sz w:val="20"/>
                <w:szCs w:val="20"/>
              </w:rPr>
              <w:t>（9分）</w:t>
            </w:r>
          </w:p>
        </w:tc>
        <w:tc>
          <w:tcPr>
            <w:tcW w:w="2268" w:type="dxa"/>
            <w:vAlign w:val="center"/>
          </w:tcPr>
          <w:p>
            <w:pPr>
              <w:rPr>
                <w:rFonts w:ascii="宋体" w:hAnsi="宋体" w:eastAsia="宋体"/>
                <w:sz w:val="20"/>
                <w:szCs w:val="20"/>
              </w:rPr>
            </w:pPr>
            <w:r>
              <w:rPr>
                <w:rFonts w:hint="eastAsia" w:ascii="宋体" w:hAnsi="宋体" w:eastAsia="宋体"/>
                <w:sz w:val="20"/>
                <w:szCs w:val="20"/>
              </w:rPr>
              <w:t>公司高管金融行业从业经验</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有8年及以上[得3分]；有5（含）-8（含）年[得2分]；5年以下[得1分]。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2015年浙江省内企业年金客户</w:t>
            </w:r>
            <w:r>
              <w:rPr>
                <w:rFonts w:hint="eastAsia" w:ascii="宋体" w:hAnsi="宋体" w:eastAsia="宋体" w:cs="宋体"/>
                <w:kern w:val="0"/>
                <w:sz w:val="20"/>
                <w:szCs w:val="20"/>
              </w:rPr>
              <w:t>（资产规模</w:t>
            </w:r>
            <w:r>
              <w:rPr>
                <w:rFonts w:hint="eastAsia" w:ascii="宋体" w:hAnsi="宋体" w:eastAsia="宋体" w:cs="宋体"/>
                <w:bCs/>
                <w:kern w:val="0"/>
                <w:sz w:val="20"/>
                <w:szCs w:val="20"/>
              </w:rPr>
              <w:t>2000万</w:t>
            </w:r>
            <w:r>
              <w:rPr>
                <w:rFonts w:hint="eastAsia" w:ascii="宋体" w:hAnsi="宋体" w:eastAsia="宋体" w:cs="宋体"/>
                <w:kern w:val="0"/>
                <w:sz w:val="20"/>
                <w:szCs w:val="20"/>
              </w:rPr>
              <w:t>以上）满意度及流失情况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cs="宋体"/>
                <w:kern w:val="0"/>
                <w:sz w:val="20"/>
                <w:szCs w:val="20"/>
              </w:rPr>
              <w:t>当地企业年金大客户流失率为零，服务口碑好[得3分]；当地企业年金大客户流失率少于2家，服务口碑一般[得1分]；当地企业年金客户满意度差，大客户流失超过3家[得0分]。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9"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2011-2015年盈利情况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连续五年盈利[得3分]；连续三年盈利[得2分]；三年以下盈利[得1分]。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425" w:type="dxa"/>
            <w:vMerge w:val="restart"/>
            <w:vAlign w:val="center"/>
          </w:tcPr>
          <w:p>
            <w:pPr>
              <w:jc w:val="center"/>
              <w:rPr>
                <w:rFonts w:ascii="宋体" w:hAnsi="宋体" w:eastAsia="宋体"/>
                <w:b/>
                <w:bCs/>
                <w:sz w:val="20"/>
                <w:szCs w:val="20"/>
              </w:rPr>
            </w:pPr>
            <w:r>
              <w:rPr>
                <w:rFonts w:hint="eastAsia" w:ascii="宋体" w:hAnsi="宋体" w:eastAsia="宋体"/>
                <w:b/>
                <w:bCs/>
                <w:sz w:val="20"/>
                <w:szCs w:val="20"/>
              </w:rPr>
              <w:t>二</w:t>
            </w:r>
          </w:p>
        </w:tc>
        <w:tc>
          <w:tcPr>
            <w:tcW w:w="851" w:type="dxa"/>
            <w:vMerge w:val="restart"/>
            <w:vAlign w:val="center"/>
          </w:tcPr>
          <w:p>
            <w:pPr>
              <w:rPr>
                <w:rFonts w:ascii="宋体" w:hAnsi="宋体" w:eastAsia="宋体"/>
                <w:b/>
                <w:bCs/>
                <w:sz w:val="20"/>
                <w:szCs w:val="20"/>
              </w:rPr>
            </w:pPr>
            <w:r>
              <w:rPr>
                <w:rFonts w:hint="eastAsia" w:ascii="宋体" w:hAnsi="宋体" w:eastAsia="宋体"/>
                <w:b/>
                <w:bCs/>
                <w:sz w:val="20"/>
                <w:szCs w:val="20"/>
              </w:rPr>
              <w:t xml:space="preserve">受托能力 </w:t>
            </w:r>
            <w:r>
              <w:rPr>
                <w:rFonts w:hint="eastAsia" w:ascii="宋体" w:hAnsi="宋体" w:eastAsia="宋体"/>
                <w:b/>
                <w:bCs/>
                <w:sz w:val="20"/>
                <w:szCs w:val="20"/>
              </w:rPr>
              <w:br w:type="textWrapping"/>
            </w:r>
            <w:r>
              <w:rPr>
                <w:rFonts w:hint="eastAsia" w:ascii="宋体" w:hAnsi="宋体" w:eastAsia="宋体"/>
                <w:b/>
                <w:bCs/>
                <w:sz w:val="20"/>
                <w:szCs w:val="20"/>
              </w:rPr>
              <w:t>(32分）</w:t>
            </w:r>
          </w:p>
        </w:tc>
        <w:tc>
          <w:tcPr>
            <w:tcW w:w="1134" w:type="dxa"/>
            <w:vMerge w:val="restart"/>
            <w:vAlign w:val="center"/>
          </w:tcPr>
          <w:p>
            <w:pPr>
              <w:rPr>
                <w:rFonts w:ascii="宋体" w:hAnsi="宋体" w:eastAsia="宋体"/>
                <w:b/>
                <w:bCs/>
                <w:sz w:val="20"/>
                <w:szCs w:val="20"/>
              </w:rPr>
            </w:pPr>
            <w:r>
              <w:rPr>
                <w:rFonts w:hint="eastAsia" w:ascii="宋体" w:hAnsi="宋体" w:eastAsia="宋体"/>
                <w:b/>
                <w:bCs/>
                <w:sz w:val="20"/>
                <w:szCs w:val="20"/>
              </w:rPr>
              <w:t>服务能力</w:t>
            </w:r>
            <w:r>
              <w:rPr>
                <w:rFonts w:hint="eastAsia" w:ascii="宋体" w:hAnsi="宋体" w:eastAsia="宋体"/>
                <w:b/>
                <w:bCs/>
                <w:sz w:val="20"/>
                <w:szCs w:val="20"/>
              </w:rPr>
              <w:br w:type="textWrapping"/>
            </w:r>
            <w:r>
              <w:rPr>
                <w:rFonts w:hint="eastAsia" w:ascii="宋体" w:hAnsi="宋体" w:eastAsia="宋体"/>
                <w:b/>
                <w:bCs/>
                <w:sz w:val="20"/>
                <w:szCs w:val="20"/>
              </w:rPr>
              <w:t>（17）</w:t>
            </w:r>
          </w:p>
        </w:tc>
        <w:tc>
          <w:tcPr>
            <w:tcW w:w="2268" w:type="dxa"/>
            <w:vAlign w:val="center"/>
          </w:tcPr>
          <w:p>
            <w:pPr>
              <w:rPr>
                <w:rFonts w:ascii="宋体" w:hAnsi="宋体" w:eastAsia="宋体"/>
                <w:sz w:val="20"/>
                <w:szCs w:val="20"/>
              </w:rPr>
            </w:pPr>
            <w:r>
              <w:rPr>
                <w:rFonts w:hint="eastAsia" w:ascii="宋体" w:hAnsi="宋体" w:eastAsia="宋体"/>
                <w:sz w:val="20"/>
                <w:szCs w:val="20"/>
              </w:rPr>
              <w:t>省内是否有专门的服务机构</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4819" w:type="dxa"/>
            <w:vAlign w:val="center"/>
          </w:tcPr>
          <w:p>
            <w:pPr>
              <w:rPr>
                <w:rFonts w:ascii="宋体" w:hAnsi="宋体" w:eastAsia="宋体"/>
                <w:sz w:val="20"/>
                <w:szCs w:val="20"/>
              </w:rPr>
            </w:pPr>
            <w:r>
              <w:rPr>
                <w:rFonts w:hint="eastAsia" w:ascii="宋体" w:hAnsi="宋体" w:eastAsia="宋体"/>
                <w:sz w:val="20"/>
                <w:szCs w:val="20"/>
              </w:rPr>
              <w:t>有[得4分]；无[得0分]。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台州市是否有专门的服务人员</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4819" w:type="dxa"/>
            <w:vAlign w:val="center"/>
          </w:tcPr>
          <w:p>
            <w:pPr>
              <w:rPr>
                <w:rFonts w:ascii="宋体" w:hAnsi="宋体" w:eastAsia="宋体"/>
                <w:sz w:val="20"/>
                <w:szCs w:val="20"/>
              </w:rPr>
            </w:pPr>
            <w:r>
              <w:rPr>
                <w:rFonts w:hint="eastAsia" w:ascii="宋体" w:hAnsi="宋体" w:eastAsia="宋体"/>
                <w:sz w:val="20"/>
                <w:szCs w:val="20"/>
              </w:rPr>
              <w:t>有15人以上（含15人)[得4分]；有多于等于10人少于15人[得3分]；有10人以下[得1分]。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为委托人提供前期年金服务方案，配合委托人做好年金方案报备工作</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已积极为委托人提供前期年金服务方案并全力配合委托人做好年金方案报备工作 [得3分]；仅配合委托人做好年金方案报备工作 [得2分]；两项服务均无法提供[得0分]。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是否将本公司作为重点服务项目，项目负责人是否为年金资深管理人员</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两项项目都是[得3分]；一项为是 [得2分]；两项为否[得0分]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是否提供多样化的投资服务（定制化报告、投资培训等）及增值服务</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服务内容丰富，可提供有特色的增值服务[得3分]；服务内容有限，无法提供有特色的增值服务[得2分]；</w:t>
            </w:r>
            <w:r>
              <w:rPr>
                <w:rFonts w:hint="eastAsia" w:ascii="宋体" w:hAnsi="宋体" w:eastAsia="宋体"/>
                <w:sz w:val="20"/>
                <w:szCs w:val="20"/>
              </w:rPr>
              <w:br w:type="textWrapping"/>
            </w:r>
            <w:r>
              <w:rPr>
                <w:rFonts w:hint="eastAsia" w:ascii="宋体" w:hAnsi="宋体" w:eastAsia="宋体"/>
                <w:sz w:val="20"/>
                <w:szCs w:val="20"/>
              </w:rPr>
              <w:t>无法提供相关服务[得0分]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2"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restart"/>
            <w:vAlign w:val="center"/>
          </w:tcPr>
          <w:p>
            <w:pPr>
              <w:rPr>
                <w:rFonts w:ascii="宋体" w:hAnsi="宋体" w:eastAsia="宋体"/>
                <w:b/>
                <w:bCs/>
                <w:sz w:val="20"/>
                <w:szCs w:val="20"/>
              </w:rPr>
            </w:pPr>
            <w:r>
              <w:rPr>
                <w:rFonts w:hint="eastAsia" w:ascii="宋体" w:hAnsi="宋体" w:eastAsia="宋体"/>
                <w:b/>
                <w:bCs/>
                <w:sz w:val="20"/>
                <w:szCs w:val="20"/>
              </w:rPr>
              <w:t>运营能力</w:t>
            </w:r>
            <w:r>
              <w:rPr>
                <w:rFonts w:hint="eastAsia" w:ascii="宋体" w:hAnsi="宋体" w:eastAsia="宋体"/>
                <w:b/>
                <w:bCs/>
                <w:sz w:val="20"/>
                <w:szCs w:val="20"/>
              </w:rPr>
              <w:br w:type="textWrapping"/>
            </w:r>
            <w:r>
              <w:rPr>
                <w:rFonts w:hint="eastAsia" w:ascii="宋体" w:hAnsi="宋体" w:eastAsia="宋体"/>
                <w:b/>
                <w:bCs/>
                <w:sz w:val="20"/>
                <w:szCs w:val="20"/>
              </w:rPr>
              <w:t>（15分）</w:t>
            </w:r>
          </w:p>
        </w:tc>
        <w:tc>
          <w:tcPr>
            <w:tcW w:w="2268" w:type="dxa"/>
            <w:vAlign w:val="center"/>
          </w:tcPr>
          <w:p>
            <w:pPr>
              <w:rPr>
                <w:rFonts w:ascii="宋体" w:hAnsi="宋体" w:eastAsia="宋体"/>
                <w:sz w:val="20"/>
                <w:szCs w:val="20"/>
              </w:rPr>
            </w:pPr>
            <w:r>
              <w:rPr>
                <w:rFonts w:hint="eastAsia" w:ascii="宋体" w:hAnsi="宋体" w:eastAsia="宋体"/>
                <w:sz w:val="20"/>
                <w:szCs w:val="20"/>
              </w:rPr>
              <w:t>2013-2015年受托资产规模平均增长率（以人社部公布的数据为准）</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在本次参与投标的管理人中排名第一[得3分]；排名第二[得2分]；排名第三[得1分]；其他0分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对其他管理人绩效评估能力</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4819" w:type="dxa"/>
            <w:vAlign w:val="center"/>
          </w:tcPr>
          <w:p>
            <w:pPr>
              <w:rPr>
                <w:rFonts w:ascii="宋体" w:hAnsi="宋体" w:eastAsia="宋体"/>
                <w:sz w:val="20"/>
                <w:szCs w:val="20"/>
              </w:rPr>
            </w:pPr>
            <w:r>
              <w:rPr>
                <w:rFonts w:hint="eastAsia" w:ascii="宋体" w:hAnsi="宋体" w:eastAsia="宋体"/>
                <w:sz w:val="20"/>
                <w:szCs w:val="20"/>
              </w:rPr>
              <w:t>对投资管理人、账户管理人、托管人的绩效评估体系全面、专业、重点突出[得4分]；仅评估绩效，不做原因分析或跟踪的[得2分]；评估不到位的[得1分]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1"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战略资产配置能力</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4819" w:type="dxa"/>
            <w:vAlign w:val="center"/>
          </w:tcPr>
          <w:p>
            <w:pPr>
              <w:rPr>
                <w:rFonts w:ascii="宋体" w:hAnsi="宋体" w:eastAsia="宋体"/>
                <w:sz w:val="20"/>
                <w:szCs w:val="20"/>
              </w:rPr>
            </w:pPr>
            <w:r>
              <w:rPr>
                <w:rFonts w:hint="eastAsia" w:ascii="宋体" w:hAnsi="宋体" w:eastAsia="宋体"/>
                <w:sz w:val="20"/>
                <w:szCs w:val="20"/>
              </w:rPr>
              <w:t>具有清晰的战略资产配置分析、制定、调整流程，能够根据委托人实际情况、资本市场情况制定科学、合理的战略资产配置和投资策略建议，并能够根据市场变化进行风险动态管控[得4分]；具有战略资产配置分析、制定、调整流程，能够根据委托人的实际情况和资本市场制定资产配置策略，不能完全动态管控[得2-3分]；战略资产配置流程及风险管控制度不完善[得0-1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投资监督能力</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4</w:t>
            </w:r>
          </w:p>
        </w:tc>
        <w:tc>
          <w:tcPr>
            <w:tcW w:w="4819" w:type="dxa"/>
            <w:vAlign w:val="center"/>
          </w:tcPr>
          <w:p>
            <w:pPr>
              <w:rPr>
                <w:rFonts w:ascii="宋体" w:hAnsi="宋体" w:eastAsia="宋体"/>
                <w:sz w:val="20"/>
                <w:szCs w:val="20"/>
              </w:rPr>
            </w:pPr>
            <w:r>
              <w:rPr>
                <w:rFonts w:hint="eastAsia" w:ascii="宋体" w:hAnsi="宋体" w:eastAsia="宋体"/>
                <w:sz w:val="20"/>
                <w:szCs w:val="20"/>
              </w:rPr>
              <w:t>有明确的监督评估指标体系及严格的监督评估制度[得4分]；有较明确的监督评估指标体系及一定的监督评估制度[得2-3分]；没有监督评估指标体系及监督评估制度[得0-1分]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425" w:type="dxa"/>
            <w:vMerge w:val="restart"/>
            <w:vAlign w:val="center"/>
          </w:tcPr>
          <w:p>
            <w:pPr>
              <w:jc w:val="center"/>
              <w:rPr>
                <w:rFonts w:ascii="宋体" w:hAnsi="宋体" w:eastAsia="宋体"/>
                <w:b/>
                <w:bCs/>
                <w:sz w:val="20"/>
                <w:szCs w:val="20"/>
              </w:rPr>
            </w:pPr>
            <w:r>
              <w:rPr>
                <w:rFonts w:hint="eastAsia" w:ascii="宋体" w:hAnsi="宋体" w:eastAsia="宋体"/>
                <w:b/>
                <w:bCs/>
                <w:sz w:val="20"/>
                <w:szCs w:val="20"/>
              </w:rPr>
              <w:t>三</w:t>
            </w:r>
          </w:p>
        </w:tc>
        <w:tc>
          <w:tcPr>
            <w:tcW w:w="851" w:type="dxa"/>
            <w:vMerge w:val="restart"/>
            <w:vAlign w:val="center"/>
          </w:tcPr>
          <w:p>
            <w:pPr>
              <w:rPr>
                <w:rFonts w:ascii="宋体" w:hAnsi="宋体" w:eastAsia="宋体"/>
                <w:b/>
                <w:bCs/>
                <w:sz w:val="20"/>
                <w:szCs w:val="20"/>
              </w:rPr>
            </w:pPr>
            <w:r>
              <w:rPr>
                <w:rFonts w:hint="eastAsia" w:ascii="宋体" w:hAnsi="宋体" w:eastAsia="宋体"/>
                <w:b/>
                <w:bCs/>
                <w:sz w:val="20"/>
                <w:szCs w:val="20"/>
              </w:rPr>
              <w:t>投资能力</w:t>
            </w:r>
            <w:r>
              <w:rPr>
                <w:rFonts w:hint="eastAsia" w:ascii="宋体" w:hAnsi="宋体" w:eastAsia="宋体"/>
                <w:b/>
                <w:bCs/>
                <w:sz w:val="20"/>
                <w:szCs w:val="20"/>
              </w:rPr>
              <w:br w:type="textWrapping"/>
            </w:r>
            <w:r>
              <w:rPr>
                <w:rFonts w:hint="eastAsia" w:ascii="宋体" w:hAnsi="宋体" w:eastAsia="宋体"/>
                <w:b/>
                <w:bCs/>
                <w:sz w:val="20"/>
                <w:szCs w:val="20"/>
              </w:rPr>
              <w:t>(20分）</w:t>
            </w:r>
          </w:p>
        </w:tc>
        <w:tc>
          <w:tcPr>
            <w:tcW w:w="1134" w:type="dxa"/>
            <w:vMerge w:val="restart"/>
            <w:vAlign w:val="center"/>
          </w:tcPr>
          <w:p>
            <w:pPr>
              <w:rPr>
                <w:rFonts w:ascii="宋体" w:hAnsi="宋体" w:eastAsia="宋体"/>
                <w:bCs/>
                <w:sz w:val="20"/>
                <w:szCs w:val="20"/>
              </w:rPr>
            </w:pPr>
            <w:r>
              <w:rPr>
                <w:rFonts w:hint="eastAsia" w:ascii="宋体" w:hAnsi="宋体" w:eastAsia="宋体"/>
                <w:bCs/>
                <w:sz w:val="20"/>
                <w:szCs w:val="20"/>
              </w:rPr>
              <w:t>投资理念</w:t>
            </w:r>
            <w:r>
              <w:rPr>
                <w:rFonts w:hint="eastAsia" w:ascii="宋体" w:hAnsi="宋体" w:eastAsia="宋体"/>
                <w:bCs/>
                <w:sz w:val="20"/>
                <w:szCs w:val="20"/>
              </w:rPr>
              <w:br w:type="textWrapping"/>
            </w:r>
            <w:r>
              <w:rPr>
                <w:rFonts w:hint="eastAsia" w:ascii="宋体" w:hAnsi="宋体" w:eastAsia="宋体"/>
                <w:bCs/>
                <w:sz w:val="20"/>
                <w:szCs w:val="20"/>
              </w:rPr>
              <w:t>(5分)</w:t>
            </w:r>
          </w:p>
        </w:tc>
        <w:tc>
          <w:tcPr>
            <w:tcW w:w="2268" w:type="dxa"/>
            <w:vAlign w:val="center"/>
          </w:tcPr>
          <w:p>
            <w:pPr>
              <w:rPr>
                <w:rFonts w:ascii="宋体" w:hAnsi="宋体" w:eastAsia="宋体"/>
                <w:sz w:val="20"/>
                <w:szCs w:val="20"/>
              </w:rPr>
            </w:pPr>
            <w:r>
              <w:rPr>
                <w:rFonts w:hint="eastAsia" w:ascii="宋体" w:hAnsi="宋体" w:eastAsia="宋体"/>
                <w:sz w:val="20"/>
                <w:szCs w:val="20"/>
              </w:rPr>
              <w:t>投资理念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4819" w:type="dxa"/>
            <w:vAlign w:val="center"/>
          </w:tcPr>
          <w:p>
            <w:pPr>
              <w:rPr>
                <w:rFonts w:ascii="宋体" w:hAnsi="宋体" w:eastAsia="宋体"/>
                <w:sz w:val="20"/>
                <w:szCs w:val="20"/>
              </w:rPr>
            </w:pPr>
            <w:r>
              <w:rPr>
                <w:rFonts w:hint="eastAsia" w:ascii="宋体" w:hAnsi="宋体" w:eastAsia="宋体"/>
                <w:sz w:val="20"/>
                <w:szCs w:val="20"/>
              </w:rPr>
              <w:t>符合集合计划需求的、安全稳健的投资理念[得2分]；投资理念表述得过于宽泛[得1分]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投资策略是否有针对性</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充分考虑委托人需求[得3分]；</w:t>
            </w:r>
            <w:r>
              <w:rPr>
                <w:rFonts w:hint="eastAsia" w:ascii="宋体" w:hAnsi="宋体" w:eastAsia="宋体"/>
                <w:sz w:val="20"/>
                <w:szCs w:val="20"/>
              </w:rPr>
              <w:br w:type="textWrapping"/>
            </w:r>
            <w:r>
              <w:rPr>
                <w:rFonts w:hint="eastAsia" w:ascii="宋体" w:hAnsi="宋体" w:eastAsia="宋体"/>
                <w:sz w:val="20"/>
                <w:szCs w:val="20"/>
              </w:rPr>
              <w:t>基本满足委托人需求[得2分]；未充分考虑委托人需求[得1分]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8"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restart"/>
            <w:vAlign w:val="center"/>
          </w:tcPr>
          <w:p>
            <w:pPr>
              <w:rPr>
                <w:rFonts w:ascii="宋体" w:hAnsi="宋体" w:eastAsia="宋体"/>
                <w:bCs/>
                <w:sz w:val="20"/>
                <w:szCs w:val="20"/>
              </w:rPr>
            </w:pPr>
            <w:r>
              <w:rPr>
                <w:rFonts w:hint="eastAsia" w:ascii="宋体" w:hAnsi="宋体" w:eastAsia="宋体"/>
                <w:bCs/>
                <w:sz w:val="20"/>
                <w:szCs w:val="20"/>
              </w:rPr>
              <w:t>投资业绩情况</w:t>
            </w:r>
            <w:r>
              <w:rPr>
                <w:rFonts w:hint="eastAsia" w:ascii="宋体" w:hAnsi="宋体" w:eastAsia="宋体"/>
                <w:bCs/>
                <w:sz w:val="20"/>
                <w:szCs w:val="20"/>
              </w:rPr>
              <w:br w:type="textWrapping"/>
            </w:r>
            <w:r>
              <w:rPr>
                <w:rFonts w:hint="eastAsia" w:ascii="宋体" w:hAnsi="宋体" w:eastAsia="宋体"/>
                <w:bCs/>
                <w:sz w:val="20"/>
                <w:szCs w:val="20"/>
              </w:rPr>
              <w:t>（15分）</w:t>
            </w:r>
          </w:p>
        </w:tc>
        <w:tc>
          <w:tcPr>
            <w:tcW w:w="2268" w:type="dxa"/>
            <w:vAlign w:val="center"/>
          </w:tcPr>
          <w:p>
            <w:pPr>
              <w:rPr>
                <w:rFonts w:ascii="宋体" w:hAnsi="宋体" w:eastAsia="宋体"/>
                <w:sz w:val="20"/>
                <w:szCs w:val="20"/>
              </w:rPr>
            </w:pPr>
            <w:r>
              <w:rPr>
                <w:rFonts w:hint="eastAsia" w:asciiTheme="minorEastAsia" w:hAnsiTheme="minorEastAsia"/>
                <w:sz w:val="20"/>
                <w:szCs w:val="20"/>
              </w:rPr>
              <w:t>集合计划的投资管理人2015年底企业年金基金</w:t>
            </w:r>
            <w:r>
              <w:rPr>
                <w:rFonts w:hint="eastAsia" w:ascii="宋体" w:hAnsi="宋体" w:eastAsia="宋体"/>
                <w:sz w:val="20"/>
                <w:szCs w:val="20"/>
              </w:rPr>
              <w:t xml:space="preserve">投资管理规模情况（按照人社部公布2015年12月31日前投资管理资金排名） </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4819" w:type="dxa"/>
            <w:vAlign w:val="center"/>
          </w:tcPr>
          <w:p>
            <w:pPr>
              <w:rPr>
                <w:rFonts w:ascii="宋体" w:hAnsi="宋体" w:eastAsia="宋体"/>
                <w:sz w:val="20"/>
                <w:szCs w:val="20"/>
              </w:rPr>
            </w:pPr>
            <w:r>
              <w:rPr>
                <w:rFonts w:hint="eastAsia" w:ascii="宋体" w:hAnsi="宋体" w:eastAsia="宋体"/>
                <w:sz w:val="20"/>
                <w:szCs w:val="20"/>
              </w:rPr>
              <w:t>各投标人推荐集合计划的投资管理人（详见附件3）2015年底企业年金基金投资管理“组合资产金额”规模，在参与投标的投资管理人中排名第一[得5分]；排名第二[得4分]；排名第三[得2分]；排名第四[得1分]</w:t>
            </w:r>
          </w:p>
        </w:tc>
        <w:tc>
          <w:tcPr>
            <w:tcW w:w="425" w:type="dxa"/>
            <w:vMerge w:val="restart"/>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7"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集合计划的投资管理人2013</w:t>
            </w:r>
            <w:r>
              <w:rPr>
                <w:rFonts w:ascii="宋体" w:hAnsi="宋体" w:eastAsia="宋体"/>
                <w:sz w:val="20"/>
                <w:szCs w:val="20"/>
              </w:rPr>
              <w:t>—</w:t>
            </w:r>
            <w:r>
              <w:rPr>
                <w:rFonts w:hint="eastAsia" w:ascii="宋体" w:hAnsi="宋体" w:eastAsia="宋体"/>
                <w:sz w:val="20"/>
                <w:szCs w:val="20"/>
              </w:rPr>
              <w:t xml:space="preserve">2015年综合收益率排名情况。  </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4819" w:type="dxa"/>
            <w:vAlign w:val="center"/>
          </w:tcPr>
          <w:p>
            <w:pPr>
              <w:rPr>
                <w:rFonts w:ascii="宋体" w:hAnsi="宋体" w:eastAsia="宋体"/>
                <w:sz w:val="20"/>
                <w:szCs w:val="20"/>
              </w:rPr>
            </w:pPr>
            <w:r>
              <w:rPr>
                <w:rFonts w:hint="eastAsia" w:ascii="宋体" w:hAnsi="宋体" w:eastAsia="宋体"/>
                <w:sz w:val="20"/>
                <w:szCs w:val="20"/>
              </w:rPr>
              <w:t>各投标人推荐集合计划的投资管理人（详见附件3）“2013</w:t>
            </w:r>
            <w:r>
              <w:rPr>
                <w:rFonts w:ascii="宋体" w:hAnsi="宋体" w:eastAsia="宋体"/>
                <w:sz w:val="20"/>
                <w:szCs w:val="20"/>
              </w:rPr>
              <w:t>—</w:t>
            </w:r>
            <w:r>
              <w:rPr>
                <w:rFonts w:hint="eastAsia" w:ascii="宋体" w:hAnsi="宋体" w:eastAsia="宋体"/>
                <w:sz w:val="20"/>
                <w:szCs w:val="20"/>
              </w:rPr>
              <w:t>2015年综合收益率在二十家企业年金基金投资管理人中排名前50%的次数”比较，有三次的[得5分]；两次的[得3分]；仅一次的[得1分]；0次[得0分]</w:t>
            </w:r>
          </w:p>
        </w:tc>
        <w:tc>
          <w:tcPr>
            <w:tcW w:w="425" w:type="dxa"/>
            <w:vMerge w:val="continue"/>
          </w:tcPr>
          <w:p>
            <w:pPr>
              <w:rPr>
                <w:rFonts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1"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bCs/>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 xml:space="preserve">参与投标的集合计划近三年（2013-2015年）“当年加权平均综合收益率”比较（以人社部数据为准） </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4819" w:type="dxa"/>
            <w:vAlign w:val="center"/>
          </w:tcPr>
          <w:p>
            <w:pPr>
              <w:rPr>
                <w:rFonts w:ascii="宋体" w:hAnsi="宋体" w:eastAsia="宋体"/>
                <w:sz w:val="20"/>
                <w:szCs w:val="20"/>
              </w:rPr>
            </w:pPr>
            <w:r>
              <w:rPr>
                <w:rFonts w:hint="eastAsia" w:ascii="宋体" w:hAnsi="宋体" w:eastAsia="宋体"/>
                <w:sz w:val="20"/>
                <w:szCs w:val="20"/>
              </w:rPr>
              <w:t>累计近三年（2013-2015年）综合收益率在参与投标的集合计划中排名第一[得5分]；排名第二[得3分]；排名第三[得2分]；排名第四[得1分]；</w:t>
            </w:r>
          </w:p>
          <w:p>
            <w:pPr>
              <w:rPr>
                <w:rFonts w:ascii="宋体" w:hAnsi="宋体" w:eastAsia="宋体"/>
                <w:sz w:val="20"/>
                <w:szCs w:val="20"/>
              </w:rPr>
            </w:pP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425" w:type="dxa"/>
            <w:vMerge w:val="restart"/>
            <w:vAlign w:val="center"/>
          </w:tcPr>
          <w:p>
            <w:pPr>
              <w:jc w:val="center"/>
              <w:rPr>
                <w:rFonts w:ascii="宋体" w:hAnsi="宋体" w:eastAsia="宋体"/>
                <w:b/>
                <w:bCs/>
                <w:sz w:val="20"/>
                <w:szCs w:val="20"/>
              </w:rPr>
            </w:pPr>
            <w:r>
              <w:rPr>
                <w:rFonts w:hint="eastAsia" w:ascii="宋体" w:hAnsi="宋体" w:eastAsia="宋体"/>
                <w:b/>
                <w:bCs/>
                <w:sz w:val="20"/>
                <w:szCs w:val="20"/>
              </w:rPr>
              <w:t>四</w:t>
            </w:r>
          </w:p>
        </w:tc>
        <w:tc>
          <w:tcPr>
            <w:tcW w:w="851" w:type="dxa"/>
            <w:vMerge w:val="restart"/>
            <w:vAlign w:val="center"/>
          </w:tcPr>
          <w:p>
            <w:pPr>
              <w:rPr>
                <w:rFonts w:ascii="宋体" w:hAnsi="宋体" w:eastAsia="宋体"/>
                <w:b/>
                <w:bCs/>
                <w:sz w:val="20"/>
                <w:szCs w:val="20"/>
              </w:rPr>
            </w:pPr>
            <w:r>
              <w:rPr>
                <w:rFonts w:hint="eastAsia" w:ascii="宋体" w:hAnsi="宋体" w:eastAsia="宋体"/>
                <w:b/>
                <w:bCs/>
                <w:sz w:val="20"/>
                <w:szCs w:val="20"/>
              </w:rPr>
              <w:t>风控能力</w:t>
            </w:r>
            <w:r>
              <w:rPr>
                <w:rFonts w:hint="eastAsia" w:ascii="宋体" w:hAnsi="宋体" w:eastAsia="宋体"/>
                <w:b/>
                <w:bCs/>
                <w:sz w:val="20"/>
                <w:szCs w:val="20"/>
              </w:rPr>
              <w:br w:type="textWrapping"/>
            </w:r>
            <w:r>
              <w:rPr>
                <w:rFonts w:hint="eastAsia" w:ascii="宋体" w:hAnsi="宋体" w:eastAsia="宋体"/>
                <w:b/>
                <w:bCs/>
                <w:sz w:val="20"/>
                <w:szCs w:val="20"/>
              </w:rPr>
              <w:t>(11分）</w:t>
            </w:r>
          </w:p>
        </w:tc>
        <w:tc>
          <w:tcPr>
            <w:tcW w:w="1134" w:type="dxa"/>
            <w:vAlign w:val="center"/>
          </w:tcPr>
          <w:p>
            <w:pPr>
              <w:rPr>
                <w:rFonts w:ascii="宋体" w:hAnsi="宋体" w:eastAsia="宋体"/>
                <w:bCs/>
                <w:sz w:val="20"/>
                <w:szCs w:val="20"/>
              </w:rPr>
            </w:pPr>
            <w:r>
              <w:rPr>
                <w:rFonts w:hint="eastAsia" w:ascii="宋体" w:hAnsi="宋体" w:eastAsia="宋体"/>
                <w:bCs/>
                <w:sz w:val="20"/>
                <w:szCs w:val="20"/>
              </w:rPr>
              <w:t>风险控制体系（3分）</w:t>
            </w:r>
          </w:p>
        </w:tc>
        <w:tc>
          <w:tcPr>
            <w:tcW w:w="2268" w:type="dxa"/>
            <w:vAlign w:val="center"/>
          </w:tcPr>
          <w:p>
            <w:pPr>
              <w:rPr>
                <w:rFonts w:ascii="宋体" w:hAnsi="宋体" w:eastAsia="宋体"/>
                <w:sz w:val="20"/>
                <w:szCs w:val="20"/>
              </w:rPr>
            </w:pPr>
            <w:r>
              <w:rPr>
                <w:rFonts w:hint="eastAsia" w:ascii="宋体" w:hAnsi="宋体" w:eastAsia="宋体"/>
                <w:sz w:val="20"/>
                <w:szCs w:val="20"/>
              </w:rPr>
              <w:t>风险控制体系评估</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建立层级清晰、职能明确的风控架构和体系，拥有完善的同步灾备体系保障架构和稽核审计制度[得3分]；具有明确的风险控制体系及架构[得2分]；未建立风险控制体系[得1分]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Align w:val="center"/>
          </w:tcPr>
          <w:p>
            <w:pPr>
              <w:jc w:val="center"/>
              <w:rPr>
                <w:rFonts w:ascii="宋体" w:hAnsi="宋体" w:eastAsia="宋体"/>
                <w:sz w:val="20"/>
                <w:szCs w:val="20"/>
              </w:rPr>
            </w:pPr>
            <w:r>
              <w:rPr>
                <w:rFonts w:hint="eastAsia" w:ascii="宋体" w:hAnsi="宋体" w:eastAsia="宋体"/>
                <w:sz w:val="20"/>
                <w:szCs w:val="20"/>
              </w:rPr>
              <w:t xml:space="preserve">运营风险管控 </w:t>
            </w:r>
            <w:r>
              <w:rPr>
                <w:rFonts w:hint="eastAsia" w:ascii="宋体" w:hAnsi="宋体" w:eastAsia="宋体"/>
                <w:sz w:val="20"/>
                <w:szCs w:val="20"/>
              </w:rPr>
              <w:br w:type="textWrapping"/>
            </w:r>
            <w:r>
              <w:rPr>
                <w:rFonts w:hint="eastAsia" w:ascii="宋体" w:hAnsi="宋体" w:eastAsia="宋体"/>
                <w:sz w:val="20"/>
                <w:szCs w:val="20"/>
              </w:rPr>
              <w:t>（3分）</w:t>
            </w:r>
          </w:p>
        </w:tc>
        <w:tc>
          <w:tcPr>
            <w:tcW w:w="2268" w:type="dxa"/>
            <w:vAlign w:val="center"/>
          </w:tcPr>
          <w:p>
            <w:pPr>
              <w:rPr>
                <w:rFonts w:ascii="宋体" w:hAnsi="宋体" w:eastAsia="宋体"/>
                <w:sz w:val="20"/>
                <w:szCs w:val="20"/>
              </w:rPr>
            </w:pPr>
            <w:r>
              <w:rPr>
                <w:rFonts w:hint="eastAsia" w:ascii="宋体" w:hAnsi="宋体" w:eastAsia="宋体"/>
                <w:sz w:val="20"/>
                <w:szCs w:val="20"/>
              </w:rPr>
              <w:t xml:space="preserve">对三方管理人分别建立了事前、事中和事后的风控制度和流程。 </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能明确列出相关风险点及其监督防范方法[得3分]；所列示的相关风险点及其监督防范方法不完善[得2分]；不能列出相关风险点和监督防范方法[得1分]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5"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restart"/>
            <w:vAlign w:val="center"/>
          </w:tcPr>
          <w:p>
            <w:pPr>
              <w:jc w:val="center"/>
              <w:rPr>
                <w:rFonts w:ascii="宋体" w:hAnsi="宋体" w:eastAsia="宋体"/>
                <w:sz w:val="20"/>
                <w:szCs w:val="20"/>
              </w:rPr>
            </w:pPr>
            <w:r>
              <w:rPr>
                <w:rFonts w:hint="eastAsia" w:ascii="宋体" w:hAnsi="宋体" w:eastAsia="宋体"/>
                <w:sz w:val="20"/>
                <w:szCs w:val="20"/>
              </w:rPr>
              <w:t>投资风险管控（5分）</w:t>
            </w:r>
          </w:p>
        </w:tc>
        <w:tc>
          <w:tcPr>
            <w:tcW w:w="2268" w:type="dxa"/>
            <w:vAlign w:val="center"/>
          </w:tcPr>
          <w:p>
            <w:pPr>
              <w:rPr>
                <w:rFonts w:ascii="宋体" w:hAnsi="宋体" w:eastAsia="宋体"/>
                <w:sz w:val="20"/>
                <w:szCs w:val="20"/>
              </w:rPr>
            </w:pPr>
            <w:r>
              <w:rPr>
                <w:rFonts w:hint="eastAsia" w:ascii="宋体" w:hAnsi="宋体" w:eastAsia="宋体"/>
                <w:sz w:val="20"/>
                <w:szCs w:val="20"/>
              </w:rPr>
              <w:t>针对年金投资建立了事前、事中和事后的风控制度和流程。</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能明确列出年金投资的风险评估指标[得3分]；所列示的年金投资风险评估指标不完善[得2分]；没有设立年金投资的风险评估指标[得1分]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Merge w:val="continue"/>
            <w:vAlign w:val="center"/>
          </w:tcPr>
          <w:p>
            <w:pPr>
              <w:rPr>
                <w:rFonts w:ascii="宋体" w:hAnsi="宋体" w:eastAsia="宋体"/>
                <w:sz w:val="20"/>
                <w:szCs w:val="20"/>
              </w:rPr>
            </w:pPr>
          </w:p>
        </w:tc>
        <w:tc>
          <w:tcPr>
            <w:tcW w:w="2268" w:type="dxa"/>
            <w:vAlign w:val="center"/>
          </w:tcPr>
          <w:p>
            <w:pPr>
              <w:rPr>
                <w:rFonts w:ascii="宋体" w:hAnsi="宋体" w:eastAsia="宋体"/>
                <w:sz w:val="20"/>
                <w:szCs w:val="20"/>
              </w:rPr>
            </w:pPr>
            <w:r>
              <w:rPr>
                <w:rFonts w:hint="eastAsia" w:ascii="宋体" w:hAnsi="宋体" w:eastAsia="宋体"/>
                <w:sz w:val="20"/>
                <w:szCs w:val="20"/>
              </w:rPr>
              <w:t>近三年是否受到监管机构重大处罚</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4819" w:type="dxa"/>
            <w:vAlign w:val="center"/>
          </w:tcPr>
          <w:p>
            <w:pPr>
              <w:rPr>
                <w:rFonts w:ascii="宋体" w:hAnsi="宋体" w:eastAsia="宋体"/>
                <w:sz w:val="20"/>
                <w:szCs w:val="20"/>
              </w:rPr>
            </w:pPr>
            <w:r>
              <w:rPr>
                <w:rFonts w:hint="eastAsia" w:ascii="宋体" w:hAnsi="宋体" w:eastAsia="宋体"/>
                <w:sz w:val="20"/>
                <w:szCs w:val="20"/>
              </w:rPr>
              <w:t>无处罚[得2分]；有处罚[得0分]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5" w:hRule="atLeast"/>
        </w:trPr>
        <w:tc>
          <w:tcPr>
            <w:tcW w:w="425" w:type="dxa"/>
            <w:vMerge w:val="restart"/>
            <w:vAlign w:val="center"/>
          </w:tcPr>
          <w:p>
            <w:pPr>
              <w:jc w:val="center"/>
              <w:rPr>
                <w:rFonts w:ascii="宋体" w:hAnsi="宋体" w:eastAsia="宋体"/>
                <w:b/>
                <w:bCs/>
                <w:sz w:val="20"/>
                <w:szCs w:val="20"/>
              </w:rPr>
            </w:pPr>
            <w:r>
              <w:rPr>
                <w:rFonts w:hint="eastAsia" w:ascii="宋体" w:hAnsi="宋体" w:eastAsia="宋体"/>
                <w:b/>
                <w:bCs/>
                <w:sz w:val="20"/>
                <w:szCs w:val="20"/>
              </w:rPr>
              <w:t>五</w:t>
            </w:r>
          </w:p>
        </w:tc>
        <w:tc>
          <w:tcPr>
            <w:tcW w:w="851" w:type="dxa"/>
            <w:vMerge w:val="restart"/>
            <w:vAlign w:val="center"/>
          </w:tcPr>
          <w:p>
            <w:pPr>
              <w:rPr>
                <w:rFonts w:ascii="宋体" w:hAnsi="宋体" w:eastAsia="宋体"/>
                <w:b/>
                <w:bCs/>
                <w:sz w:val="20"/>
                <w:szCs w:val="20"/>
              </w:rPr>
            </w:pPr>
            <w:r>
              <w:rPr>
                <w:rFonts w:hint="eastAsia" w:ascii="宋体" w:hAnsi="宋体" w:eastAsia="宋体"/>
                <w:b/>
                <w:bCs/>
                <w:sz w:val="20"/>
                <w:szCs w:val="20"/>
              </w:rPr>
              <w:t>IT系统建设(11分）</w:t>
            </w:r>
          </w:p>
        </w:tc>
        <w:tc>
          <w:tcPr>
            <w:tcW w:w="1134" w:type="dxa"/>
            <w:vAlign w:val="center"/>
          </w:tcPr>
          <w:p>
            <w:pPr>
              <w:rPr>
                <w:rFonts w:ascii="宋体" w:hAnsi="宋体" w:eastAsia="宋体"/>
                <w:sz w:val="20"/>
                <w:szCs w:val="20"/>
              </w:rPr>
            </w:pPr>
            <w:r>
              <w:rPr>
                <w:rFonts w:hint="eastAsia" w:ascii="宋体" w:hAnsi="宋体" w:eastAsia="宋体"/>
                <w:sz w:val="20"/>
                <w:szCs w:val="20"/>
              </w:rPr>
              <w:t>受托管理系统（5分）</w:t>
            </w:r>
          </w:p>
        </w:tc>
        <w:tc>
          <w:tcPr>
            <w:tcW w:w="2268" w:type="dxa"/>
            <w:vAlign w:val="center"/>
          </w:tcPr>
          <w:p>
            <w:pPr>
              <w:rPr>
                <w:rFonts w:ascii="宋体" w:hAnsi="宋体" w:eastAsia="宋体"/>
                <w:sz w:val="20"/>
                <w:szCs w:val="20"/>
              </w:rPr>
            </w:pPr>
            <w:r>
              <w:rPr>
                <w:rFonts w:hint="eastAsia" w:ascii="宋体" w:hAnsi="宋体" w:eastAsia="宋体"/>
                <w:sz w:val="20"/>
                <w:szCs w:val="20"/>
              </w:rPr>
              <w:t>受托管理系统建设情况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5</w:t>
            </w:r>
          </w:p>
        </w:tc>
        <w:tc>
          <w:tcPr>
            <w:tcW w:w="4819" w:type="dxa"/>
            <w:vAlign w:val="center"/>
          </w:tcPr>
          <w:p>
            <w:pPr>
              <w:rPr>
                <w:rFonts w:ascii="宋体" w:hAnsi="宋体" w:eastAsia="宋体"/>
                <w:sz w:val="20"/>
                <w:szCs w:val="20"/>
              </w:rPr>
            </w:pPr>
            <w:r>
              <w:rPr>
                <w:rFonts w:hint="eastAsia" w:ascii="宋体" w:hAnsi="宋体" w:eastAsia="宋体"/>
                <w:sz w:val="20"/>
                <w:szCs w:val="20"/>
              </w:rPr>
              <w:t>以下五项全部满足[得5分]；满足4项[得4分]；满足3项[得3分]；满足2项[得2分]；满足1项[得1分]。</w:t>
            </w:r>
          </w:p>
          <w:p>
            <w:pPr>
              <w:rPr>
                <w:rFonts w:ascii="宋体" w:hAnsi="宋体" w:eastAsia="宋体"/>
                <w:sz w:val="20"/>
                <w:szCs w:val="20"/>
              </w:rPr>
            </w:pPr>
            <w:r>
              <w:rPr>
                <w:rFonts w:hint="eastAsia" w:ascii="宋体" w:hAnsi="宋体" w:eastAsia="宋体"/>
                <w:sz w:val="20"/>
                <w:szCs w:val="20"/>
              </w:rPr>
              <w:t>a具有企业年金专属受托管理系统； b 具备良好的兼容性和扩展性，可以根据国家政策变化升级；  c具有完备的数据接口,可以与委托人实现安全的系统对接； d具有全面的数据接口,可以与其他年金管理人实现安全的系统对接；e具有丰富的功能板块（包括受托运营、托管运营、合同管理、信息披露、管理人绩效评估等）。</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Align w:val="center"/>
          </w:tcPr>
          <w:p>
            <w:pPr>
              <w:rPr>
                <w:rFonts w:ascii="宋体" w:hAnsi="宋体" w:eastAsia="宋体"/>
                <w:sz w:val="20"/>
                <w:szCs w:val="20"/>
              </w:rPr>
            </w:pPr>
            <w:r>
              <w:rPr>
                <w:rFonts w:hint="eastAsia" w:ascii="宋体" w:hAnsi="宋体" w:eastAsia="宋体"/>
                <w:sz w:val="20"/>
                <w:szCs w:val="20"/>
              </w:rPr>
              <w:t>受托户核算系统（3分）</w:t>
            </w:r>
          </w:p>
        </w:tc>
        <w:tc>
          <w:tcPr>
            <w:tcW w:w="2268" w:type="dxa"/>
            <w:vAlign w:val="center"/>
          </w:tcPr>
          <w:p>
            <w:pPr>
              <w:rPr>
                <w:rFonts w:ascii="宋体" w:hAnsi="宋体" w:eastAsia="宋体"/>
                <w:sz w:val="20"/>
                <w:szCs w:val="20"/>
              </w:rPr>
            </w:pPr>
            <w:r>
              <w:rPr>
                <w:rFonts w:hint="eastAsia" w:ascii="宋体" w:hAnsi="宋体" w:eastAsia="宋体"/>
                <w:sz w:val="20"/>
                <w:szCs w:val="20"/>
              </w:rPr>
              <w:t>受托户核算系统建设情况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 xml:space="preserve">以下三项全部满足[得3分]；满足2项[得2分]；满足1项[得1分] </w:t>
            </w:r>
          </w:p>
          <w:p>
            <w:pPr>
              <w:rPr>
                <w:rFonts w:ascii="宋体" w:hAnsi="宋体" w:eastAsia="宋体"/>
                <w:sz w:val="20"/>
                <w:szCs w:val="20"/>
              </w:rPr>
            </w:pPr>
            <w:r>
              <w:rPr>
                <w:rFonts w:hint="eastAsia" w:ascii="宋体" w:hAnsi="宋体" w:eastAsia="宋体"/>
                <w:sz w:val="20"/>
                <w:szCs w:val="20"/>
              </w:rPr>
              <w:t>a建设了独立的受托户核算系统；b实现与受托系统核算数据直连；c 受托户核算全流程系统化处理与全部托管人开展了受托户核算的会计报表核对。</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35" w:hRule="atLeast"/>
        </w:trPr>
        <w:tc>
          <w:tcPr>
            <w:tcW w:w="425" w:type="dxa"/>
            <w:vMerge w:val="continue"/>
            <w:vAlign w:val="center"/>
          </w:tcPr>
          <w:p>
            <w:pPr>
              <w:jc w:val="center"/>
              <w:rPr>
                <w:rFonts w:ascii="宋体" w:hAnsi="宋体" w:eastAsia="宋体"/>
                <w:b/>
                <w:bCs/>
                <w:sz w:val="20"/>
                <w:szCs w:val="20"/>
              </w:rPr>
            </w:pPr>
          </w:p>
        </w:tc>
        <w:tc>
          <w:tcPr>
            <w:tcW w:w="851" w:type="dxa"/>
            <w:vMerge w:val="continue"/>
            <w:vAlign w:val="center"/>
          </w:tcPr>
          <w:p>
            <w:pPr>
              <w:rPr>
                <w:rFonts w:ascii="宋体" w:hAnsi="宋体" w:eastAsia="宋体"/>
                <w:b/>
                <w:bCs/>
                <w:sz w:val="20"/>
                <w:szCs w:val="20"/>
              </w:rPr>
            </w:pPr>
          </w:p>
        </w:tc>
        <w:tc>
          <w:tcPr>
            <w:tcW w:w="1134" w:type="dxa"/>
            <w:vAlign w:val="center"/>
          </w:tcPr>
          <w:p>
            <w:pPr>
              <w:rPr>
                <w:rFonts w:ascii="宋体" w:hAnsi="宋体" w:eastAsia="宋体"/>
                <w:bCs/>
                <w:sz w:val="20"/>
                <w:szCs w:val="20"/>
              </w:rPr>
            </w:pPr>
            <w:r>
              <w:rPr>
                <w:rFonts w:hint="eastAsia" w:ascii="宋体" w:hAnsi="宋体" w:eastAsia="宋体"/>
                <w:bCs/>
                <w:sz w:val="20"/>
                <w:szCs w:val="20"/>
              </w:rPr>
              <w:t>受托投监系统（3分）</w:t>
            </w:r>
          </w:p>
        </w:tc>
        <w:tc>
          <w:tcPr>
            <w:tcW w:w="2268" w:type="dxa"/>
            <w:vAlign w:val="center"/>
          </w:tcPr>
          <w:p>
            <w:pPr>
              <w:rPr>
                <w:rFonts w:ascii="宋体" w:hAnsi="宋体" w:eastAsia="宋体"/>
                <w:sz w:val="20"/>
                <w:szCs w:val="20"/>
              </w:rPr>
            </w:pPr>
            <w:r>
              <w:rPr>
                <w:rFonts w:hint="eastAsia" w:ascii="宋体" w:hAnsi="宋体" w:eastAsia="宋体"/>
                <w:sz w:val="20"/>
                <w:szCs w:val="20"/>
              </w:rPr>
              <w:t>受托投监系统建设情况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3</w:t>
            </w:r>
          </w:p>
        </w:tc>
        <w:tc>
          <w:tcPr>
            <w:tcW w:w="4819" w:type="dxa"/>
            <w:vAlign w:val="center"/>
          </w:tcPr>
          <w:p>
            <w:pPr>
              <w:rPr>
                <w:rFonts w:ascii="宋体" w:hAnsi="宋体" w:eastAsia="宋体"/>
                <w:sz w:val="20"/>
                <w:szCs w:val="20"/>
              </w:rPr>
            </w:pPr>
            <w:r>
              <w:rPr>
                <w:rFonts w:hint="eastAsia" w:ascii="宋体" w:hAnsi="宋体" w:eastAsia="宋体"/>
                <w:sz w:val="20"/>
                <w:szCs w:val="20"/>
              </w:rPr>
              <w:t>以下三项全部满足[得3分]；部分满足[得2分]；无法满足[得0分]</w:t>
            </w:r>
          </w:p>
          <w:p>
            <w:pPr>
              <w:rPr>
                <w:rFonts w:ascii="宋体" w:hAnsi="宋体" w:eastAsia="宋体"/>
                <w:sz w:val="20"/>
                <w:szCs w:val="20"/>
              </w:rPr>
            </w:pPr>
            <w:r>
              <w:rPr>
                <w:rFonts w:hint="eastAsia" w:ascii="宋体" w:hAnsi="宋体" w:eastAsia="宋体"/>
                <w:sz w:val="20"/>
                <w:szCs w:val="20"/>
              </w:rPr>
              <w:t xml:space="preserve"> a全流程（数据信息流能贯穿受托总、分公司及委托人客户端），b全产品（包含场内、场外交易品种，非标业务登记审核）， c 全自动（委托人定制报表、相关指标设置、自动触发工作流）。</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trPr>
        <w:tc>
          <w:tcPr>
            <w:tcW w:w="425" w:type="dxa"/>
            <w:vAlign w:val="center"/>
          </w:tcPr>
          <w:p>
            <w:pPr>
              <w:jc w:val="center"/>
              <w:rPr>
                <w:rFonts w:ascii="宋体" w:hAnsi="宋体" w:eastAsia="宋体"/>
                <w:b/>
                <w:bCs/>
                <w:sz w:val="20"/>
                <w:szCs w:val="20"/>
              </w:rPr>
            </w:pPr>
            <w:r>
              <w:rPr>
                <w:rFonts w:hint="eastAsia" w:ascii="宋体" w:hAnsi="宋体" w:eastAsia="宋体"/>
                <w:b/>
                <w:bCs/>
                <w:sz w:val="20"/>
                <w:szCs w:val="20"/>
              </w:rPr>
              <w:t>六</w:t>
            </w:r>
          </w:p>
        </w:tc>
        <w:tc>
          <w:tcPr>
            <w:tcW w:w="1985" w:type="dxa"/>
            <w:gridSpan w:val="2"/>
            <w:vAlign w:val="center"/>
          </w:tcPr>
          <w:p>
            <w:pPr>
              <w:rPr>
                <w:rFonts w:ascii="宋体" w:hAnsi="宋体" w:eastAsia="宋体"/>
                <w:b/>
                <w:bCs/>
                <w:sz w:val="20"/>
                <w:szCs w:val="20"/>
              </w:rPr>
            </w:pPr>
            <w:r>
              <w:rPr>
                <w:rFonts w:hint="eastAsia" w:ascii="宋体" w:hAnsi="宋体" w:eastAsia="宋体"/>
                <w:b/>
                <w:bCs/>
                <w:sz w:val="20"/>
                <w:szCs w:val="20"/>
              </w:rPr>
              <w:t>投标应答（2分）</w:t>
            </w:r>
          </w:p>
        </w:tc>
        <w:tc>
          <w:tcPr>
            <w:tcW w:w="2268" w:type="dxa"/>
            <w:vAlign w:val="center"/>
          </w:tcPr>
          <w:p>
            <w:pPr>
              <w:rPr>
                <w:rFonts w:ascii="宋体" w:hAnsi="宋体" w:eastAsia="宋体"/>
                <w:sz w:val="20"/>
                <w:szCs w:val="20"/>
              </w:rPr>
            </w:pPr>
            <w:r>
              <w:rPr>
                <w:rFonts w:hint="eastAsia" w:ascii="宋体" w:hAnsi="宋体" w:eastAsia="宋体"/>
                <w:sz w:val="20"/>
                <w:szCs w:val="20"/>
              </w:rPr>
              <w:t>投标准备及文件规范性等整体情况</w:t>
            </w:r>
          </w:p>
        </w:tc>
        <w:tc>
          <w:tcPr>
            <w:tcW w:w="426" w:type="dxa"/>
            <w:vAlign w:val="center"/>
          </w:tcPr>
          <w:p>
            <w:pPr>
              <w:jc w:val="center"/>
              <w:rPr>
                <w:rFonts w:ascii="宋体" w:hAnsi="宋体" w:eastAsia="宋体"/>
                <w:sz w:val="20"/>
                <w:szCs w:val="20"/>
              </w:rPr>
            </w:pPr>
            <w:r>
              <w:rPr>
                <w:rFonts w:hint="eastAsia" w:ascii="宋体" w:hAnsi="宋体" w:eastAsia="宋体"/>
                <w:sz w:val="20"/>
                <w:szCs w:val="20"/>
              </w:rPr>
              <w:t>2</w:t>
            </w:r>
          </w:p>
        </w:tc>
        <w:tc>
          <w:tcPr>
            <w:tcW w:w="4819" w:type="dxa"/>
            <w:vAlign w:val="center"/>
          </w:tcPr>
          <w:p>
            <w:pPr>
              <w:rPr>
                <w:rFonts w:ascii="宋体" w:hAnsi="宋体" w:eastAsia="宋体"/>
                <w:sz w:val="20"/>
                <w:szCs w:val="20"/>
              </w:rPr>
            </w:pPr>
            <w:r>
              <w:rPr>
                <w:rFonts w:hint="eastAsia" w:ascii="宋体" w:hAnsi="宋体" w:eastAsia="宋体"/>
                <w:sz w:val="20"/>
                <w:szCs w:val="20"/>
              </w:rPr>
              <w:t>根据投标文件质量及准备工作充分性进行评估，酌情给0-2分</w:t>
            </w:r>
          </w:p>
        </w:tc>
        <w:tc>
          <w:tcPr>
            <w:tcW w:w="425" w:type="dxa"/>
          </w:tcPr>
          <w:p>
            <w:pPr>
              <w:rPr>
                <w:rFonts w:ascii="宋体" w:hAnsi="宋体" w:eastAsia="宋体"/>
                <w:sz w:val="20"/>
                <w:szCs w:val="20"/>
              </w:rPr>
            </w:pPr>
            <w:r>
              <w:rPr>
                <w:rFonts w:hint="eastAsia" w:ascii="宋体" w:hAnsi="宋体" w:eastAsia="宋体"/>
                <w:sz w:val="20"/>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trPr>
        <w:tc>
          <w:tcPr>
            <w:tcW w:w="425" w:type="dxa"/>
            <w:vAlign w:val="center"/>
          </w:tcPr>
          <w:p>
            <w:pPr>
              <w:jc w:val="center"/>
              <w:rPr>
                <w:rFonts w:ascii="宋体" w:hAnsi="宋体" w:eastAsia="宋体"/>
                <w:b/>
                <w:bCs/>
                <w:sz w:val="20"/>
                <w:szCs w:val="20"/>
              </w:rPr>
            </w:pPr>
            <w:r>
              <w:rPr>
                <w:rFonts w:hint="eastAsia" w:ascii="宋体" w:hAnsi="宋体" w:eastAsia="宋体"/>
                <w:b/>
                <w:bCs/>
                <w:sz w:val="20"/>
                <w:szCs w:val="20"/>
              </w:rPr>
              <w:t>七</w:t>
            </w:r>
          </w:p>
        </w:tc>
        <w:tc>
          <w:tcPr>
            <w:tcW w:w="9498" w:type="dxa"/>
            <w:gridSpan w:val="5"/>
            <w:vAlign w:val="center"/>
          </w:tcPr>
          <w:p>
            <w:pPr>
              <w:ind w:firstLine="98" w:firstLineChars="49"/>
              <w:rPr>
                <w:rFonts w:ascii="宋体" w:hAnsi="宋体" w:eastAsia="宋体"/>
                <w:b/>
                <w:bCs/>
                <w:sz w:val="20"/>
                <w:szCs w:val="20"/>
              </w:rPr>
            </w:pPr>
            <w:r>
              <w:rPr>
                <w:rFonts w:hint="eastAsia" w:ascii="宋体" w:hAnsi="宋体" w:eastAsia="宋体"/>
                <w:b/>
                <w:bCs/>
                <w:sz w:val="20"/>
                <w:szCs w:val="20"/>
              </w:rPr>
              <w:t>总   分：</w:t>
            </w:r>
          </w:p>
        </w:tc>
        <w:tc>
          <w:tcPr>
            <w:tcW w:w="425" w:type="dxa"/>
          </w:tcPr>
          <w:p>
            <w:pPr>
              <w:rPr>
                <w:rFonts w:ascii="宋体" w:hAnsi="宋体" w:eastAsia="宋体"/>
                <w:sz w:val="20"/>
                <w:szCs w:val="20"/>
              </w:rPr>
            </w:pPr>
            <w:r>
              <w:rPr>
                <w:rFonts w:hint="eastAsia" w:ascii="宋体" w:hAnsi="宋体" w:eastAsia="宋体"/>
                <w:sz w:val="20"/>
                <w:szCs w:val="20"/>
              </w:rPr>
              <w:t>　</w:t>
            </w:r>
          </w:p>
        </w:tc>
      </w:tr>
    </w:tbl>
    <w:p/>
    <w:sectPr>
      <w:headerReference r:id="rId7" w:type="default"/>
      <w:footerReference r:id="rId8"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TimesNewRomanPSMT">
    <w:altName w:val="宋体"/>
    <w:panose1 w:val="00000000000000000000"/>
    <w:charset w:val="00"/>
    <w:family w:val="roman"/>
    <w:pitch w:val="default"/>
    <w:sig w:usb0="00000000" w:usb1="00000000" w:usb2="00000010"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Calibri Light">
    <w:altName w:val="Calibri"/>
    <w:panose1 w:val="00000000000000000000"/>
    <w:charset w:val="00"/>
    <w:family w:val="swiss"/>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0303"/>
    </w:sdtPr>
    <w:sdtContent>
      <w:p>
        <w:pPr>
          <w:pStyle w:val="6"/>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0302"/>
    </w:sdtPr>
    <w:sdtContent>
      <w:p>
        <w:pPr>
          <w:pStyle w:val="6"/>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2057" o:spid="_x0000_s205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i/>
        <w:sz w:val="15"/>
        <w:szCs w:val="15"/>
      </w:rPr>
    </w:pPr>
    <w:r>
      <w:rPr>
        <w:rFonts w:hint="eastAsia"/>
        <w:i/>
        <w:sz w:val="15"/>
        <w:szCs w:val="15"/>
      </w:rPr>
      <w:t>台州市产权交易所有限公司公开招标文件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eastAsia="仿宋_GB2312"/>
        <w:bCs/>
        <w:i/>
        <w:lang w:val="en-GB"/>
      </w:rPr>
      <w:t>台州市产权交易所有限公司公开招标文件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r>
      <w:rPr>
        <w:rFonts w:hint="eastAsia" w:eastAsia="仿宋_GB2312"/>
        <w:bCs/>
        <w:i/>
        <w:lang w:val="en-GB"/>
      </w:rPr>
      <w:t>台州市产权交易所有限公司公开招标文件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0000000C"/>
    <w:lvl w:ilvl="0" w:tentative="0">
      <w:start w:val="1"/>
      <w:numFmt w:val="upperLetter"/>
      <w:lvlText w:val="%1．"/>
      <w:lvlJc w:val="left"/>
      <w:pPr>
        <w:tabs>
          <w:tab w:val="left" w:pos="1065"/>
        </w:tabs>
        <w:ind w:left="1065" w:hanging="495"/>
      </w:pPr>
      <w:rPr>
        <w:rFonts w:hint="eastAsia"/>
      </w:rPr>
    </w:lvl>
  </w:abstractNum>
  <w:abstractNum w:abstractNumId="1">
    <w:nsid w:val="2A64746C"/>
    <w:multiLevelType w:val="multilevel"/>
    <w:tmpl w:val="2A64746C"/>
    <w:lvl w:ilvl="0" w:tentative="0">
      <w:start w:val="3"/>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3FD92324"/>
    <w:multiLevelType w:val="multilevel"/>
    <w:tmpl w:val="3FD92324"/>
    <w:lvl w:ilvl="0" w:tentative="0">
      <w:start w:val="1"/>
      <w:numFmt w:val="chineseCountingThousand"/>
      <w:lvlText w:val="%1、"/>
      <w:lvlJc w:val="left"/>
      <w:pPr>
        <w:tabs>
          <w:tab w:val="left" w:pos="704"/>
        </w:tabs>
        <w:ind w:left="704" w:hanging="420"/>
      </w:pPr>
      <w:rPr>
        <w:lang w:val="en-US"/>
      </w:rPr>
    </w:lvl>
    <w:lvl w:ilvl="1" w:tentative="0">
      <w:start w:val="276"/>
      <w:numFmt w:val="bullet"/>
      <w:lvlText w:val=""/>
      <w:lvlJc w:val="right"/>
      <w:pPr>
        <w:tabs>
          <w:tab w:val="left" w:pos="1364"/>
        </w:tabs>
        <w:ind w:left="1364" w:hanging="360"/>
      </w:pPr>
      <w:rPr>
        <w:rFonts w:hint="default" w:ascii="Wingdings" w:hAnsi="Wingdings"/>
      </w:rPr>
    </w:lvl>
    <w:lvl w:ilvl="2" w:tentative="0">
      <w:start w:val="1"/>
      <w:numFmt w:val="decimal"/>
      <w:lvlText w:val="%3."/>
      <w:lvlJc w:val="left"/>
      <w:pPr>
        <w:tabs>
          <w:tab w:val="left" w:pos="2084"/>
        </w:tabs>
        <w:ind w:left="2084" w:hanging="360"/>
      </w:pPr>
    </w:lvl>
    <w:lvl w:ilvl="3" w:tentative="0">
      <w:start w:val="1"/>
      <w:numFmt w:val="decimal"/>
      <w:lvlText w:val="%4."/>
      <w:lvlJc w:val="left"/>
      <w:pPr>
        <w:tabs>
          <w:tab w:val="left" w:pos="2804"/>
        </w:tabs>
        <w:ind w:left="2804" w:hanging="360"/>
      </w:pPr>
    </w:lvl>
    <w:lvl w:ilvl="4" w:tentative="0">
      <w:start w:val="1"/>
      <w:numFmt w:val="decimal"/>
      <w:lvlText w:val="%5."/>
      <w:lvlJc w:val="left"/>
      <w:pPr>
        <w:tabs>
          <w:tab w:val="left" w:pos="3524"/>
        </w:tabs>
        <w:ind w:left="3524" w:hanging="360"/>
      </w:pPr>
    </w:lvl>
    <w:lvl w:ilvl="5" w:tentative="0">
      <w:start w:val="1"/>
      <w:numFmt w:val="decimal"/>
      <w:lvlText w:val="%6."/>
      <w:lvlJc w:val="left"/>
      <w:pPr>
        <w:tabs>
          <w:tab w:val="left" w:pos="4244"/>
        </w:tabs>
        <w:ind w:left="4244" w:hanging="360"/>
      </w:pPr>
    </w:lvl>
    <w:lvl w:ilvl="6" w:tentative="0">
      <w:start w:val="1"/>
      <w:numFmt w:val="decimal"/>
      <w:lvlText w:val="%7."/>
      <w:lvlJc w:val="left"/>
      <w:pPr>
        <w:tabs>
          <w:tab w:val="left" w:pos="4964"/>
        </w:tabs>
        <w:ind w:left="4964" w:hanging="360"/>
      </w:pPr>
    </w:lvl>
    <w:lvl w:ilvl="7" w:tentative="0">
      <w:start w:val="1"/>
      <w:numFmt w:val="decimal"/>
      <w:lvlText w:val="%8."/>
      <w:lvlJc w:val="left"/>
      <w:pPr>
        <w:tabs>
          <w:tab w:val="left" w:pos="5684"/>
        </w:tabs>
        <w:ind w:left="5684" w:hanging="360"/>
      </w:pPr>
    </w:lvl>
    <w:lvl w:ilvl="8" w:tentative="0">
      <w:start w:val="1"/>
      <w:numFmt w:val="decimal"/>
      <w:lvlText w:val="%9."/>
      <w:lvlJc w:val="left"/>
      <w:pPr>
        <w:tabs>
          <w:tab w:val="left" w:pos="6404"/>
        </w:tabs>
        <w:ind w:left="6404" w:hanging="360"/>
      </w:pPr>
    </w:lvl>
  </w:abstractNum>
  <w:abstractNum w:abstractNumId="3">
    <w:nsid w:val="436964B7"/>
    <w:multiLevelType w:val="multilevel"/>
    <w:tmpl w:val="436964B7"/>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58195E7B"/>
    <w:multiLevelType w:val="singleLevel"/>
    <w:tmpl w:val="58195E7B"/>
    <w:lvl w:ilvl="0" w:tentative="0">
      <w:start w:val="2"/>
      <w:numFmt w:val="decimal"/>
      <w:suff w:val="space"/>
      <w:lvlText w:val="%1."/>
      <w:lvlJc w:val="left"/>
    </w:lvl>
  </w:abstractNum>
  <w:abstractNum w:abstractNumId="5">
    <w:nsid w:val="5F674405"/>
    <w:multiLevelType w:val="multilevel"/>
    <w:tmpl w:val="5F674405"/>
    <w:lvl w:ilvl="0" w:tentative="0">
      <w:start w:val="1"/>
      <w:numFmt w:val="japaneseCounting"/>
      <w:lvlText w:val="%1、"/>
      <w:lvlJc w:val="left"/>
      <w:pPr>
        <w:tabs>
          <w:tab w:val="left" w:pos="833"/>
        </w:tabs>
        <w:ind w:left="833" w:hanging="420"/>
      </w:pPr>
      <w:rPr>
        <w:rFonts w:hint="default"/>
      </w:rPr>
    </w:lvl>
    <w:lvl w:ilvl="1" w:tentative="0">
      <w:start w:val="1"/>
      <w:numFmt w:val="lowerLetter"/>
      <w:lvlText w:val="%2)"/>
      <w:lvlJc w:val="left"/>
      <w:pPr>
        <w:tabs>
          <w:tab w:val="left" w:pos="1253"/>
        </w:tabs>
        <w:ind w:left="1253" w:hanging="420"/>
      </w:pPr>
    </w:lvl>
    <w:lvl w:ilvl="2" w:tentative="0">
      <w:start w:val="1"/>
      <w:numFmt w:val="lowerRoman"/>
      <w:lvlText w:val="%3."/>
      <w:lvlJc w:val="right"/>
      <w:pPr>
        <w:tabs>
          <w:tab w:val="left" w:pos="1673"/>
        </w:tabs>
        <w:ind w:left="1673" w:hanging="420"/>
      </w:pPr>
    </w:lvl>
    <w:lvl w:ilvl="3" w:tentative="0">
      <w:start w:val="1"/>
      <w:numFmt w:val="decimal"/>
      <w:lvlText w:val="%4."/>
      <w:lvlJc w:val="left"/>
      <w:pPr>
        <w:tabs>
          <w:tab w:val="left" w:pos="2093"/>
        </w:tabs>
        <w:ind w:left="2093" w:hanging="420"/>
      </w:pPr>
    </w:lvl>
    <w:lvl w:ilvl="4" w:tentative="0">
      <w:start w:val="1"/>
      <w:numFmt w:val="lowerLetter"/>
      <w:lvlText w:val="%5)"/>
      <w:lvlJc w:val="left"/>
      <w:pPr>
        <w:tabs>
          <w:tab w:val="left" w:pos="2513"/>
        </w:tabs>
        <w:ind w:left="2513" w:hanging="420"/>
      </w:pPr>
    </w:lvl>
    <w:lvl w:ilvl="5" w:tentative="0">
      <w:start w:val="1"/>
      <w:numFmt w:val="lowerRoman"/>
      <w:lvlText w:val="%6."/>
      <w:lvlJc w:val="right"/>
      <w:pPr>
        <w:tabs>
          <w:tab w:val="left" w:pos="2933"/>
        </w:tabs>
        <w:ind w:left="2933" w:hanging="420"/>
      </w:pPr>
    </w:lvl>
    <w:lvl w:ilvl="6" w:tentative="0">
      <w:start w:val="1"/>
      <w:numFmt w:val="decimal"/>
      <w:lvlText w:val="%7."/>
      <w:lvlJc w:val="left"/>
      <w:pPr>
        <w:tabs>
          <w:tab w:val="left" w:pos="3353"/>
        </w:tabs>
        <w:ind w:left="3353" w:hanging="420"/>
      </w:pPr>
    </w:lvl>
    <w:lvl w:ilvl="7" w:tentative="0">
      <w:start w:val="1"/>
      <w:numFmt w:val="lowerLetter"/>
      <w:lvlText w:val="%8)"/>
      <w:lvlJc w:val="left"/>
      <w:pPr>
        <w:tabs>
          <w:tab w:val="left" w:pos="3773"/>
        </w:tabs>
        <w:ind w:left="3773" w:hanging="420"/>
      </w:pPr>
    </w:lvl>
    <w:lvl w:ilvl="8" w:tentative="0">
      <w:start w:val="1"/>
      <w:numFmt w:val="lowerRoman"/>
      <w:lvlText w:val="%9."/>
      <w:lvlJc w:val="right"/>
      <w:pPr>
        <w:tabs>
          <w:tab w:val="left" w:pos="4193"/>
        </w:tabs>
        <w:ind w:left="4193" w:hanging="420"/>
      </w:pPr>
    </w:lvl>
  </w:abstractNum>
  <w:abstractNum w:abstractNumId="6">
    <w:nsid w:val="76F43442"/>
    <w:multiLevelType w:val="multilevel"/>
    <w:tmpl w:val="76F43442"/>
    <w:lvl w:ilvl="0" w:tentative="0">
      <w:start w:val="3"/>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4"/>
  </w:num>
  <w:num w:numId="2">
    <w:abstractNumId w:val="5"/>
  </w:num>
  <w:num w:numId="3">
    <w:abstractNumId w:val="6"/>
  </w:num>
  <w:num w:numId="4">
    <w:abstractNumId w:val="1"/>
  </w:num>
  <w:num w:numId="5">
    <w:abstractNumId w:val="0"/>
  </w:num>
  <w:num w:numId="6">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62327DA"/>
    <w:rsid w:val="00000DCE"/>
    <w:rsid w:val="00001347"/>
    <w:rsid w:val="000022DE"/>
    <w:rsid w:val="0000425A"/>
    <w:rsid w:val="00005106"/>
    <w:rsid w:val="00007643"/>
    <w:rsid w:val="000122CD"/>
    <w:rsid w:val="00020961"/>
    <w:rsid w:val="00024301"/>
    <w:rsid w:val="00042B73"/>
    <w:rsid w:val="00047046"/>
    <w:rsid w:val="00052D00"/>
    <w:rsid w:val="000601B9"/>
    <w:rsid w:val="000625D1"/>
    <w:rsid w:val="0009256B"/>
    <w:rsid w:val="000A6BAC"/>
    <w:rsid w:val="000B2B15"/>
    <w:rsid w:val="000B2CCE"/>
    <w:rsid w:val="000D6467"/>
    <w:rsid w:val="000E1828"/>
    <w:rsid w:val="000E6EBF"/>
    <w:rsid w:val="000F738A"/>
    <w:rsid w:val="00104B5E"/>
    <w:rsid w:val="00115AFD"/>
    <w:rsid w:val="0011769B"/>
    <w:rsid w:val="00134055"/>
    <w:rsid w:val="00152D23"/>
    <w:rsid w:val="00155E3C"/>
    <w:rsid w:val="00167135"/>
    <w:rsid w:val="00171867"/>
    <w:rsid w:val="00171881"/>
    <w:rsid w:val="001832CD"/>
    <w:rsid w:val="00185696"/>
    <w:rsid w:val="0018756E"/>
    <w:rsid w:val="00193B4B"/>
    <w:rsid w:val="001951A5"/>
    <w:rsid w:val="001B147E"/>
    <w:rsid w:val="001C1B71"/>
    <w:rsid w:val="001D5AD4"/>
    <w:rsid w:val="001E3B5D"/>
    <w:rsid w:val="001E7315"/>
    <w:rsid w:val="001F23D0"/>
    <w:rsid w:val="002017E9"/>
    <w:rsid w:val="00213498"/>
    <w:rsid w:val="00236651"/>
    <w:rsid w:val="0024004F"/>
    <w:rsid w:val="00247EA4"/>
    <w:rsid w:val="002567A4"/>
    <w:rsid w:val="00256E27"/>
    <w:rsid w:val="00267B8E"/>
    <w:rsid w:val="00292FE7"/>
    <w:rsid w:val="0029490A"/>
    <w:rsid w:val="002A0D58"/>
    <w:rsid w:val="002A7956"/>
    <w:rsid w:val="002B09C6"/>
    <w:rsid w:val="002B430E"/>
    <w:rsid w:val="002B6298"/>
    <w:rsid w:val="002B6C12"/>
    <w:rsid w:val="002C2EB7"/>
    <w:rsid w:val="002C3EC9"/>
    <w:rsid w:val="002C5CB9"/>
    <w:rsid w:val="002D1DD9"/>
    <w:rsid w:val="002E7BB5"/>
    <w:rsid w:val="00307AFD"/>
    <w:rsid w:val="0031579E"/>
    <w:rsid w:val="003171C3"/>
    <w:rsid w:val="00322DEC"/>
    <w:rsid w:val="003258F5"/>
    <w:rsid w:val="0032725C"/>
    <w:rsid w:val="00333E4D"/>
    <w:rsid w:val="00342B84"/>
    <w:rsid w:val="00343066"/>
    <w:rsid w:val="0037194F"/>
    <w:rsid w:val="00375289"/>
    <w:rsid w:val="003938B4"/>
    <w:rsid w:val="003956B5"/>
    <w:rsid w:val="003A4E79"/>
    <w:rsid w:val="003A6CB3"/>
    <w:rsid w:val="003D39E0"/>
    <w:rsid w:val="003D6E47"/>
    <w:rsid w:val="003E1562"/>
    <w:rsid w:val="003E204F"/>
    <w:rsid w:val="003E3A4E"/>
    <w:rsid w:val="003F1765"/>
    <w:rsid w:val="004014E1"/>
    <w:rsid w:val="004066CF"/>
    <w:rsid w:val="004071F2"/>
    <w:rsid w:val="0041487F"/>
    <w:rsid w:val="0041796C"/>
    <w:rsid w:val="00430DEE"/>
    <w:rsid w:val="00441664"/>
    <w:rsid w:val="00441F52"/>
    <w:rsid w:val="00461010"/>
    <w:rsid w:val="00466D5D"/>
    <w:rsid w:val="00475763"/>
    <w:rsid w:val="004770BF"/>
    <w:rsid w:val="00496DA2"/>
    <w:rsid w:val="004D71C9"/>
    <w:rsid w:val="004E0E75"/>
    <w:rsid w:val="004E5E2B"/>
    <w:rsid w:val="004F0009"/>
    <w:rsid w:val="004F1CF4"/>
    <w:rsid w:val="00505A09"/>
    <w:rsid w:val="005234D7"/>
    <w:rsid w:val="0052793C"/>
    <w:rsid w:val="00530648"/>
    <w:rsid w:val="00530D82"/>
    <w:rsid w:val="00545743"/>
    <w:rsid w:val="0056233F"/>
    <w:rsid w:val="00572414"/>
    <w:rsid w:val="00574EBA"/>
    <w:rsid w:val="00582C67"/>
    <w:rsid w:val="005853F6"/>
    <w:rsid w:val="005958FE"/>
    <w:rsid w:val="005A1037"/>
    <w:rsid w:val="005D3260"/>
    <w:rsid w:val="005D797C"/>
    <w:rsid w:val="005E6346"/>
    <w:rsid w:val="005F003B"/>
    <w:rsid w:val="005F0828"/>
    <w:rsid w:val="005F6117"/>
    <w:rsid w:val="006074A1"/>
    <w:rsid w:val="00632044"/>
    <w:rsid w:val="0063293E"/>
    <w:rsid w:val="006524C1"/>
    <w:rsid w:val="00653DFD"/>
    <w:rsid w:val="0065470C"/>
    <w:rsid w:val="00655AE0"/>
    <w:rsid w:val="0065624F"/>
    <w:rsid w:val="00660A69"/>
    <w:rsid w:val="006701EA"/>
    <w:rsid w:val="00690207"/>
    <w:rsid w:val="00690A2B"/>
    <w:rsid w:val="00696109"/>
    <w:rsid w:val="006A418B"/>
    <w:rsid w:val="006A4FE3"/>
    <w:rsid w:val="006A5683"/>
    <w:rsid w:val="006A769B"/>
    <w:rsid w:val="006C62BF"/>
    <w:rsid w:val="006D7E47"/>
    <w:rsid w:val="006E21E5"/>
    <w:rsid w:val="006E2C76"/>
    <w:rsid w:val="006E5532"/>
    <w:rsid w:val="006F4FEB"/>
    <w:rsid w:val="00726CDE"/>
    <w:rsid w:val="00740D0E"/>
    <w:rsid w:val="00757290"/>
    <w:rsid w:val="00765770"/>
    <w:rsid w:val="00774B52"/>
    <w:rsid w:val="00786B25"/>
    <w:rsid w:val="0079073B"/>
    <w:rsid w:val="007A4B1C"/>
    <w:rsid w:val="007B73CC"/>
    <w:rsid w:val="007C2CA6"/>
    <w:rsid w:val="007E2178"/>
    <w:rsid w:val="007F3BF0"/>
    <w:rsid w:val="0080583D"/>
    <w:rsid w:val="0083658E"/>
    <w:rsid w:val="0083693A"/>
    <w:rsid w:val="0083784D"/>
    <w:rsid w:val="00855F6E"/>
    <w:rsid w:val="0085641A"/>
    <w:rsid w:val="00857D28"/>
    <w:rsid w:val="0086383B"/>
    <w:rsid w:val="00865770"/>
    <w:rsid w:val="00865C75"/>
    <w:rsid w:val="0087230D"/>
    <w:rsid w:val="00892BAE"/>
    <w:rsid w:val="008B2AF3"/>
    <w:rsid w:val="008B7FC2"/>
    <w:rsid w:val="008C0C13"/>
    <w:rsid w:val="008D1108"/>
    <w:rsid w:val="008E2F1D"/>
    <w:rsid w:val="008E6251"/>
    <w:rsid w:val="0091078C"/>
    <w:rsid w:val="009378B6"/>
    <w:rsid w:val="00937F81"/>
    <w:rsid w:val="00950C46"/>
    <w:rsid w:val="009537C3"/>
    <w:rsid w:val="00960246"/>
    <w:rsid w:val="009A6C86"/>
    <w:rsid w:val="009A747F"/>
    <w:rsid w:val="009C05C3"/>
    <w:rsid w:val="009C1DB8"/>
    <w:rsid w:val="009C621C"/>
    <w:rsid w:val="009C6E2D"/>
    <w:rsid w:val="009E05BB"/>
    <w:rsid w:val="00A06B9E"/>
    <w:rsid w:val="00A14D9A"/>
    <w:rsid w:val="00A17513"/>
    <w:rsid w:val="00A2300D"/>
    <w:rsid w:val="00A30D34"/>
    <w:rsid w:val="00A568F5"/>
    <w:rsid w:val="00A607E5"/>
    <w:rsid w:val="00A64ADD"/>
    <w:rsid w:val="00A77132"/>
    <w:rsid w:val="00A84660"/>
    <w:rsid w:val="00A86D4F"/>
    <w:rsid w:val="00AA4F7B"/>
    <w:rsid w:val="00AA683E"/>
    <w:rsid w:val="00AC7F95"/>
    <w:rsid w:val="00AF2B19"/>
    <w:rsid w:val="00B01F39"/>
    <w:rsid w:val="00B07235"/>
    <w:rsid w:val="00B10E5A"/>
    <w:rsid w:val="00B130D0"/>
    <w:rsid w:val="00B26CE4"/>
    <w:rsid w:val="00B40BEE"/>
    <w:rsid w:val="00B44608"/>
    <w:rsid w:val="00B50C2F"/>
    <w:rsid w:val="00B71060"/>
    <w:rsid w:val="00B8284D"/>
    <w:rsid w:val="00BA18DD"/>
    <w:rsid w:val="00BA2963"/>
    <w:rsid w:val="00BA553C"/>
    <w:rsid w:val="00BA6CB1"/>
    <w:rsid w:val="00BA7067"/>
    <w:rsid w:val="00BC3107"/>
    <w:rsid w:val="00BD2CAD"/>
    <w:rsid w:val="00BE177C"/>
    <w:rsid w:val="00BE7E49"/>
    <w:rsid w:val="00BF11F8"/>
    <w:rsid w:val="00BF20BB"/>
    <w:rsid w:val="00BF4688"/>
    <w:rsid w:val="00BF6B72"/>
    <w:rsid w:val="00BF6BE9"/>
    <w:rsid w:val="00BF6FA4"/>
    <w:rsid w:val="00C04042"/>
    <w:rsid w:val="00C06192"/>
    <w:rsid w:val="00C11217"/>
    <w:rsid w:val="00C24E26"/>
    <w:rsid w:val="00C3291E"/>
    <w:rsid w:val="00C45058"/>
    <w:rsid w:val="00C51EB9"/>
    <w:rsid w:val="00C63B12"/>
    <w:rsid w:val="00C65FDA"/>
    <w:rsid w:val="00C66C55"/>
    <w:rsid w:val="00C67E93"/>
    <w:rsid w:val="00C73EF4"/>
    <w:rsid w:val="00C76171"/>
    <w:rsid w:val="00C80277"/>
    <w:rsid w:val="00C85976"/>
    <w:rsid w:val="00CB04EF"/>
    <w:rsid w:val="00CB697B"/>
    <w:rsid w:val="00CC795E"/>
    <w:rsid w:val="00CE0669"/>
    <w:rsid w:val="00CE3747"/>
    <w:rsid w:val="00CF053E"/>
    <w:rsid w:val="00CF2ECD"/>
    <w:rsid w:val="00D010CF"/>
    <w:rsid w:val="00D0446E"/>
    <w:rsid w:val="00D07D0A"/>
    <w:rsid w:val="00D22228"/>
    <w:rsid w:val="00D32927"/>
    <w:rsid w:val="00D40B41"/>
    <w:rsid w:val="00D410A1"/>
    <w:rsid w:val="00D43308"/>
    <w:rsid w:val="00D440B7"/>
    <w:rsid w:val="00D45C71"/>
    <w:rsid w:val="00D57C05"/>
    <w:rsid w:val="00D6639B"/>
    <w:rsid w:val="00D7171F"/>
    <w:rsid w:val="00D73CCD"/>
    <w:rsid w:val="00D763B8"/>
    <w:rsid w:val="00D77812"/>
    <w:rsid w:val="00D8755D"/>
    <w:rsid w:val="00D96242"/>
    <w:rsid w:val="00DB3E03"/>
    <w:rsid w:val="00DC223D"/>
    <w:rsid w:val="00DC24E1"/>
    <w:rsid w:val="00DC71BE"/>
    <w:rsid w:val="00DD3EB1"/>
    <w:rsid w:val="00DE08D0"/>
    <w:rsid w:val="00DE5AA0"/>
    <w:rsid w:val="00DF44DB"/>
    <w:rsid w:val="00DF5FD3"/>
    <w:rsid w:val="00E00A30"/>
    <w:rsid w:val="00E00F31"/>
    <w:rsid w:val="00E0493C"/>
    <w:rsid w:val="00E050F1"/>
    <w:rsid w:val="00E167D7"/>
    <w:rsid w:val="00E26402"/>
    <w:rsid w:val="00E30A76"/>
    <w:rsid w:val="00E32C5C"/>
    <w:rsid w:val="00E37D1F"/>
    <w:rsid w:val="00E453D1"/>
    <w:rsid w:val="00E61BB2"/>
    <w:rsid w:val="00E632A8"/>
    <w:rsid w:val="00E65F83"/>
    <w:rsid w:val="00E822D1"/>
    <w:rsid w:val="00E962F4"/>
    <w:rsid w:val="00EA6020"/>
    <w:rsid w:val="00EA7891"/>
    <w:rsid w:val="00EC1E96"/>
    <w:rsid w:val="00EC6433"/>
    <w:rsid w:val="00ED1B56"/>
    <w:rsid w:val="00ED1F93"/>
    <w:rsid w:val="00EE1BB1"/>
    <w:rsid w:val="00EF37E6"/>
    <w:rsid w:val="00F06C27"/>
    <w:rsid w:val="00F1050C"/>
    <w:rsid w:val="00F2582E"/>
    <w:rsid w:val="00F3512F"/>
    <w:rsid w:val="00F40F9C"/>
    <w:rsid w:val="00F506DC"/>
    <w:rsid w:val="00F509FD"/>
    <w:rsid w:val="00F552EE"/>
    <w:rsid w:val="00F55E70"/>
    <w:rsid w:val="00F75ACE"/>
    <w:rsid w:val="00F776E2"/>
    <w:rsid w:val="00F83309"/>
    <w:rsid w:val="00F868D1"/>
    <w:rsid w:val="00F877F3"/>
    <w:rsid w:val="00F929CF"/>
    <w:rsid w:val="00F94FCA"/>
    <w:rsid w:val="00F965CE"/>
    <w:rsid w:val="00F9661D"/>
    <w:rsid w:val="00FA4776"/>
    <w:rsid w:val="00FC2907"/>
    <w:rsid w:val="00FC293D"/>
    <w:rsid w:val="00FC5437"/>
    <w:rsid w:val="00FD34D8"/>
    <w:rsid w:val="00FD3FF2"/>
    <w:rsid w:val="00FD6636"/>
    <w:rsid w:val="00FD71C3"/>
    <w:rsid w:val="00FE1EED"/>
    <w:rsid w:val="00FF24C3"/>
    <w:rsid w:val="00FF744C"/>
    <w:rsid w:val="017209A8"/>
    <w:rsid w:val="017461A8"/>
    <w:rsid w:val="020D77B4"/>
    <w:rsid w:val="027C4BD4"/>
    <w:rsid w:val="02A6614F"/>
    <w:rsid w:val="02D06913"/>
    <w:rsid w:val="02DF0785"/>
    <w:rsid w:val="035116EB"/>
    <w:rsid w:val="03D2758C"/>
    <w:rsid w:val="043D3853"/>
    <w:rsid w:val="04410093"/>
    <w:rsid w:val="04822622"/>
    <w:rsid w:val="04AF5E60"/>
    <w:rsid w:val="04EE6DA6"/>
    <w:rsid w:val="04F763F3"/>
    <w:rsid w:val="0563427B"/>
    <w:rsid w:val="05A67722"/>
    <w:rsid w:val="06370E74"/>
    <w:rsid w:val="06586E93"/>
    <w:rsid w:val="067D5838"/>
    <w:rsid w:val="06CD200E"/>
    <w:rsid w:val="071C241F"/>
    <w:rsid w:val="07244DB0"/>
    <w:rsid w:val="073104DF"/>
    <w:rsid w:val="074B3D52"/>
    <w:rsid w:val="075325F6"/>
    <w:rsid w:val="07E47687"/>
    <w:rsid w:val="07ED128C"/>
    <w:rsid w:val="07F53A46"/>
    <w:rsid w:val="08E44B9C"/>
    <w:rsid w:val="090317AD"/>
    <w:rsid w:val="09242EAF"/>
    <w:rsid w:val="0986738A"/>
    <w:rsid w:val="099402F0"/>
    <w:rsid w:val="09A36978"/>
    <w:rsid w:val="09E4413B"/>
    <w:rsid w:val="09EE53F4"/>
    <w:rsid w:val="0A3B4504"/>
    <w:rsid w:val="0A5C1005"/>
    <w:rsid w:val="0B2A61F8"/>
    <w:rsid w:val="0B893BE0"/>
    <w:rsid w:val="0BB876F8"/>
    <w:rsid w:val="0BE9419E"/>
    <w:rsid w:val="0C085F03"/>
    <w:rsid w:val="0C606269"/>
    <w:rsid w:val="0C7D7CDF"/>
    <w:rsid w:val="0CFA1B57"/>
    <w:rsid w:val="0D1269DD"/>
    <w:rsid w:val="0D205098"/>
    <w:rsid w:val="0D6455F5"/>
    <w:rsid w:val="0D6D50A9"/>
    <w:rsid w:val="0D9353C6"/>
    <w:rsid w:val="0DA83954"/>
    <w:rsid w:val="0DBD29C2"/>
    <w:rsid w:val="0DF15526"/>
    <w:rsid w:val="0E4D286C"/>
    <w:rsid w:val="0E574C25"/>
    <w:rsid w:val="0E8E53A2"/>
    <w:rsid w:val="0EA579AB"/>
    <w:rsid w:val="0EBF0904"/>
    <w:rsid w:val="0F2F268B"/>
    <w:rsid w:val="0F53298D"/>
    <w:rsid w:val="0F6B26C8"/>
    <w:rsid w:val="0F9F2013"/>
    <w:rsid w:val="101C4AB3"/>
    <w:rsid w:val="102116FE"/>
    <w:rsid w:val="1031110C"/>
    <w:rsid w:val="10323F99"/>
    <w:rsid w:val="10447C6B"/>
    <w:rsid w:val="107A2B7A"/>
    <w:rsid w:val="10FF1C27"/>
    <w:rsid w:val="11460B58"/>
    <w:rsid w:val="114A0378"/>
    <w:rsid w:val="11C03872"/>
    <w:rsid w:val="13782F2B"/>
    <w:rsid w:val="14136B4E"/>
    <w:rsid w:val="146B119C"/>
    <w:rsid w:val="149F690F"/>
    <w:rsid w:val="159668C2"/>
    <w:rsid w:val="15992E2A"/>
    <w:rsid w:val="15A8725B"/>
    <w:rsid w:val="167C173B"/>
    <w:rsid w:val="16B46BB5"/>
    <w:rsid w:val="16B93610"/>
    <w:rsid w:val="173F61DD"/>
    <w:rsid w:val="174134CD"/>
    <w:rsid w:val="17465FB2"/>
    <w:rsid w:val="17B614EB"/>
    <w:rsid w:val="17C826F9"/>
    <w:rsid w:val="17E65BD1"/>
    <w:rsid w:val="17F57ED7"/>
    <w:rsid w:val="187C2833"/>
    <w:rsid w:val="18A77508"/>
    <w:rsid w:val="18CB4947"/>
    <w:rsid w:val="18D24D69"/>
    <w:rsid w:val="19046479"/>
    <w:rsid w:val="1948268F"/>
    <w:rsid w:val="1963791B"/>
    <w:rsid w:val="199D679C"/>
    <w:rsid w:val="19B30BE0"/>
    <w:rsid w:val="19B91214"/>
    <w:rsid w:val="19CD06C3"/>
    <w:rsid w:val="19F14C2D"/>
    <w:rsid w:val="1A740EF0"/>
    <w:rsid w:val="1A7750AA"/>
    <w:rsid w:val="1AC712D2"/>
    <w:rsid w:val="1ACC6761"/>
    <w:rsid w:val="1AD5403B"/>
    <w:rsid w:val="1ADD3DC7"/>
    <w:rsid w:val="1B1F2C66"/>
    <w:rsid w:val="1B7D01DB"/>
    <w:rsid w:val="1B912479"/>
    <w:rsid w:val="1BD32BEA"/>
    <w:rsid w:val="1BF8170F"/>
    <w:rsid w:val="1C125B85"/>
    <w:rsid w:val="1C3B24B5"/>
    <w:rsid w:val="1C3D1480"/>
    <w:rsid w:val="1C564579"/>
    <w:rsid w:val="1C66146D"/>
    <w:rsid w:val="1C775BAC"/>
    <w:rsid w:val="1CB0488A"/>
    <w:rsid w:val="1CB34CE2"/>
    <w:rsid w:val="1CC35FAA"/>
    <w:rsid w:val="1CC51965"/>
    <w:rsid w:val="1D762D48"/>
    <w:rsid w:val="1D8F33CC"/>
    <w:rsid w:val="1DBB7132"/>
    <w:rsid w:val="1DE55DE7"/>
    <w:rsid w:val="1E3C38EE"/>
    <w:rsid w:val="1E590994"/>
    <w:rsid w:val="1E642155"/>
    <w:rsid w:val="1EC50280"/>
    <w:rsid w:val="1EDF6D90"/>
    <w:rsid w:val="1F1B0ECC"/>
    <w:rsid w:val="1F291B26"/>
    <w:rsid w:val="1F8B7805"/>
    <w:rsid w:val="1FA54912"/>
    <w:rsid w:val="1FCE3038"/>
    <w:rsid w:val="1FF24721"/>
    <w:rsid w:val="208B32D4"/>
    <w:rsid w:val="20DC6665"/>
    <w:rsid w:val="21170633"/>
    <w:rsid w:val="21306941"/>
    <w:rsid w:val="215C59A6"/>
    <w:rsid w:val="21683CC0"/>
    <w:rsid w:val="21E35DF5"/>
    <w:rsid w:val="22253AB6"/>
    <w:rsid w:val="22F03BFB"/>
    <w:rsid w:val="23135A53"/>
    <w:rsid w:val="235A7A30"/>
    <w:rsid w:val="23A963E9"/>
    <w:rsid w:val="24014C30"/>
    <w:rsid w:val="240D37FE"/>
    <w:rsid w:val="24B1701E"/>
    <w:rsid w:val="24BE1501"/>
    <w:rsid w:val="252E02FD"/>
    <w:rsid w:val="2589579C"/>
    <w:rsid w:val="25984999"/>
    <w:rsid w:val="25A72D44"/>
    <w:rsid w:val="2601679F"/>
    <w:rsid w:val="26225613"/>
    <w:rsid w:val="267C2C04"/>
    <w:rsid w:val="26A7289A"/>
    <w:rsid w:val="26D00DAB"/>
    <w:rsid w:val="26D25F81"/>
    <w:rsid w:val="2724091B"/>
    <w:rsid w:val="27257E03"/>
    <w:rsid w:val="273509A0"/>
    <w:rsid w:val="28794CEB"/>
    <w:rsid w:val="28AC0859"/>
    <w:rsid w:val="28E85CB0"/>
    <w:rsid w:val="28F938BF"/>
    <w:rsid w:val="29150616"/>
    <w:rsid w:val="29BC07EB"/>
    <w:rsid w:val="2A011B08"/>
    <w:rsid w:val="2A0916D4"/>
    <w:rsid w:val="2A3313D2"/>
    <w:rsid w:val="2A5669AA"/>
    <w:rsid w:val="2A5879E0"/>
    <w:rsid w:val="2AAE68AD"/>
    <w:rsid w:val="2AE2434B"/>
    <w:rsid w:val="2B206FF3"/>
    <w:rsid w:val="2BA032C3"/>
    <w:rsid w:val="2BB45C47"/>
    <w:rsid w:val="2CA137C1"/>
    <w:rsid w:val="2CE3542A"/>
    <w:rsid w:val="2D155550"/>
    <w:rsid w:val="2D295402"/>
    <w:rsid w:val="2D592C7C"/>
    <w:rsid w:val="2DCE5B96"/>
    <w:rsid w:val="2DD12457"/>
    <w:rsid w:val="2E1B4B37"/>
    <w:rsid w:val="2EA91110"/>
    <w:rsid w:val="2ECD5DB6"/>
    <w:rsid w:val="2EF140CA"/>
    <w:rsid w:val="2FA064C9"/>
    <w:rsid w:val="2FAB5557"/>
    <w:rsid w:val="2FCE3826"/>
    <w:rsid w:val="30111829"/>
    <w:rsid w:val="303A0307"/>
    <w:rsid w:val="3093039F"/>
    <w:rsid w:val="312F7F0B"/>
    <w:rsid w:val="313D0756"/>
    <w:rsid w:val="313E4E93"/>
    <w:rsid w:val="31A24472"/>
    <w:rsid w:val="326E2820"/>
    <w:rsid w:val="32A52828"/>
    <w:rsid w:val="32F31E77"/>
    <w:rsid w:val="332379C8"/>
    <w:rsid w:val="33247BEC"/>
    <w:rsid w:val="332B6569"/>
    <w:rsid w:val="336570BB"/>
    <w:rsid w:val="337C499C"/>
    <w:rsid w:val="33EF01A4"/>
    <w:rsid w:val="340D3856"/>
    <w:rsid w:val="345127A9"/>
    <w:rsid w:val="348805AF"/>
    <w:rsid w:val="34DA57F4"/>
    <w:rsid w:val="34ED2FA2"/>
    <w:rsid w:val="35130840"/>
    <w:rsid w:val="35192F86"/>
    <w:rsid w:val="353470B5"/>
    <w:rsid w:val="353D48A1"/>
    <w:rsid w:val="359876F7"/>
    <w:rsid w:val="35CB1ABB"/>
    <w:rsid w:val="35D15F15"/>
    <w:rsid w:val="363C60E7"/>
    <w:rsid w:val="367075EC"/>
    <w:rsid w:val="36841149"/>
    <w:rsid w:val="36B2325D"/>
    <w:rsid w:val="36DF7FFA"/>
    <w:rsid w:val="36E81715"/>
    <w:rsid w:val="377F611D"/>
    <w:rsid w:val="37D7416E"/>
    <w:rsid w:val="38826916"/>
    <w:rsid w:val="392E7FD0"/>
    <w:rsid w:val="39877D90"/>
    <w:rsid w:val="399261C8"/>
    <w:rsid w:val="39CC6D3E"/>
    <w:rsid w:val="3A3A4C78"/>
    <w:rsid w:val="3A750404"/>
    <w:rsid w:val="3B2E613C"/>
    <w:rsid w:val="3B77061B"/>
    <w:rsid w:val="3B7E1849"/>
    <w:rsid w:val="3BD44017"/>
    <w:rsid w:val="3BDC31D2"/>
    <w:rsid w:val="3BEA5E97"/>
    <w:rsid w:val="3C2B1BBA"/>
    <w:rsid w:val="3C6937C2"/>
    <w:rsid w:val="3C7B2DFD"/>
    <w:rsid w:val="3CBA71BC"/>
    <w:rsid w:val="3D8435E6"/>
    <w:rsid w:val="3DD97256"/>
    <w:rsid w:val="3E122D19"/>
    <w:rsid w:val="3E1928FD"/>
    <w:rsid w:val="3E99424B"/>
    <w:rsid w:val="3EB848FC"/>
    <w:rsid w:val="3F184CAA"/>
    <w:rsid w:val="3F294C7E"/>
    <w:rsid w:val="3F341CAE"/>
    <w:rsid w:val="3F472870"/>
    <w:rsid w:val="3F7F2A02"/>
    <w:rsid w:val="3F960BCA"/>
    <w:rsid w:val="3FA35F5D"/>
    <w:rsid w:val="3FC62D17"/>
    <w:rsid w:val="400F6CB4"/>
    <w:rsid w:val="401F10CD"/>
    <w:rsid w:val="40607F21"/>
    <w:rsid w:val="408872E2"/>
    <w:rsid w:val="40BF65BF"/>
    <w:rsid w:val="40D7073B"/>
    <w:rsid w:val="41262745"/>
    <w:rsid w:val="418F1178"/>
    <w:rsid w:val="41D40944"/>
    <w:rsid w:val="4237615A"/>
    <w:rsid w:val="425B247B"/>
    <w:rsid w:val="428C4BF4"/>
    <w:rsid w:val="42EA5C1A"/>
    <w:rsid w:val="43513E81"/>
    <w:rsid w:val="43527064"/>
    <w:rsid w:val="43581298"/>
    <w:rsid w:val="436D02D9"/>
    <w:rsid w:val="4370520B"/>
    <w:rsid w:val="43844BF5"/>
    <w:rsid w:val="43B32D86"/>
    <w:rsid w:val="441E61FA"/>
    <w:rsid w:val="44657DC8"/>
    <w:rsid w:val="45213AE4"/>
    <w:rsid w:val="4560659E"/>
    <w:rsid w:val="459341D4"/>
    <w:rsid w:val="459544DC"/>
    <w:rsid w:val="459A11E3"/>
    <w:rsid w:val="462327DA"/>
    <w:rsid w:val="46467BB1"/>
    <w:rsid w:val="464A1FBC"/>
    <w:rsid w:val="46705B9B"/>
    <w:rsid w:val="46AF45F9"/>
    <w:rsid w:val="46D15A02"/>
    <w:rsid w:val="46E04D27"/>
    <w:rsid w:val="4767423B"/>
    <w:rsid w:val="476820C7"/>
    <w:rsid w:val="47CD2150"/>
    <w:rsid w:val="48306AD7"/>
    <w:rsid w:val="49574108"/>
    <w:rsid w:val="497D0426"/>
    <w:rsid w:val="49C464F5"/>
    <w:rsid w:val="49D24C3B"/>
    <w:rsid w:val="49DE2B5C"/>
    <w:rsid w:val="4A3F1A59"/>
    <w:rsid w:val="4A9105CE"/>
    <w:rsid w:val="4AF02083"/>
    <w:rsid w:val="4AF3604A"/>
    <w:rsid w:val="4B100FFA"/>
    <w:rsid w:val="4B334182"/>
    <w:rsid w:val="4B5A7B4E"/>
    <w:rsid w:val="4B846943"/>
    <w:rsid w:val="4BB64ACA"/>
    <w:rsid w:val="4C17351F"/>
    <w:rsid w:val="4C1831A0"/>
    <w:rsid w:val="4C39750A"/>
    <w:rsid w:val="4C4713E4"/>
    <w:rsid w:val="4C744F08"/>
    <w:rsid w:val="4D145342"/>
    <w:rsid w:val="4D867601"/>
    <w:rsid w:val="4D992B14"/>
    <w:rsid w:val="4DA9556B"/>
    <w:rsid w:val="4DB92F9E"/>
    <w:rsid w:val="4E616E55"/>
    <w:rsid w:val="4E8A1AB0"/>
    <w:rsid w:val="4EBD73AA"/>
    <w:rsid w:val="4EC954DE"/>
    <w:rsid w:val="4EE32291"/>
    <w:rsid w:val="4F620696"/>
    <w:rsid w:val="4F6746B3"/>
    <w:rsid w:val="4F9346C0"/>
    <w:rsid w:val="4FA21384"/>
    <w:rsid w:val="4FDB0D80"/>
    <w:rsid w:val="4FEE5128"/>
    <w:rsid w:val="50586338"/>
    <w:rsid w:val="50625C5E"/>
    <w:rsid w:val="50677B65"/>
    <w:rsid w:val="50A80498"/>
    <w:rsid w:val="50E07EA6"/>
    <w:rsid w:val="51917D57"/>
    <w:rsid w:val="51986CB3"/>
    <w:rsid w:val="51B475FC"/>
    <w:rsid w:val="51E77581"/>
    <w:rsid w:val="52135281"/>
    <w:rsid w:val="521A7E51"/>
    <w:rsid w:val="522F2EC2"/>
    <w:rsid w:val="523A5EE6"/>
    <w:rsid w:val="527F31C7"/>
    <w:rsid w:val="5388470E"/>
    <w:rsid w:val="539F6503"/>
    <w:rsid w:val="53A034D4"/>
    <w:rsid w:val="541D3BE5"/>
    <w:rsid w:val="542146DC"/>
    <w:rsid w:val="5435112F"/>
    <w:rsid w:val="54732133"/>
    <w:rsid w:val="54940078"/>
    <w:rsid w:val="5501555C"/>
    <w:rsid w:val="551D7A90"/>
    <w:rsid w:val="559C0FD5"/>
    <w:rsid w:val="55C31589"/>
    <w:rsid w:val="55F35EFC"/>
    <w:rsid w:val="55F55EBC"/>
    <w:rsid w:val="55FF7B41"/>
    <w:rsid w:val="561E6EBC"/>
    <w:rsid w:val="563E0D2F"/>
    <w:rsid w:val="564B7B35"/>
    <w:rsid w:val="56AD6AA2"/>
    <w:rsid w:val="56B0681A"/>
    <w:rsid w:val="57004F78"/>
    <w:rsid w:val="583E2DA3"/>
    <w:rsid w:val="584B148A"/>
    <w:rsid w:val="58740FC1"/>
    <w:rsid w:val="58B93E90"/>
    <w:rsid w:val="595E1FD4"/>
    <w:rsid w:val="5A552903"/>
    <w:rsid w:val="5A954CFA"/>
    <w:rsid w:val="5B8B0A99"/>
    <w:rsid w:val="5B8F72AA"/>
    <w:rsid w:val="5BBA6E93"/>
    <w:rsid w:val="5C32796F"/>
    <w:rsid w:val="5C424C67"/>
    <w:rsid w:val="5C4875C2"/>
    <w:rsid w:val="5C4D6631"/>
    <w:rsid w:val="5C4E2970"/>
    <w:rsid w:val="5C702009"/>
    <w:rsid w:val="5C8B12B1"/>
    <w:rsid w:val="5C912104"/>
    <w:rsid w:val="5C95297D"/>
    <w:rsid w:val="5CB84284"/>
    <w:rsid w:val="5CD00743"/>
    <w:rsid w:val="5CFB015B"/>
    <w:rsid w:val="5D1D040B"/>
    <w:rsid w:val="5D31476C"/>
    <w:rsid w:val="5D4D32A8"/>
    <w:rsid w:val="5D7B72D5"/>
    <w:rsid w:val="5D8E3AD2"/>
    <w:rsid w:val="5DBF6C98"/>
    <w:rsid w:val="5DC12055"/>
    <w:rsid w:val="5E177720"/>
    <w:rsid w:val="5E405EE4"/>
    <w:rsid w:val="5EE84115"/>
    <w:rsid w:val="5F1844DA"/>
    <w:rsid w:val="5F826916"/>
    <w:rsid w:val="5F857566"/>
    <w:rsid w:val="5FCB3971"/>
    <w:rsid w:val="606B5893"/>
    <w:rsid w:val="606E0497"/>
    <w:rsid w:val="609C15DF"/>
    <w:rsid w:val="60B2010F"/>
    <w:rsid w:val="60B214EF"/>
    <w:rsid w:val="612D56F2"/>
    <w:rsid w:val="614D4744"/>
    <w:rsid w:val="617A1FD7"/>
    <w:rsid w:val="61F03F66"/>
    <w:rsid w:val="62931562"/>
    <w:rsid w:val="62CA6223"/>
    <w:rsid w:val="6347552C"/>
    <w:rsid w:val="636F1A5B"/>
    <w:rsid w:val="64051063"/>
    <w:rsid w:val="64F364CD"/>
    <w:rsid w:val="65EF4764"/>
    <w:rsid w:val="662412BE"/>
    <w:rsid w:val="6646281B"/>
    <w:rsid w:val="664A666A"/>
    <w:rsid w:val="665256A8"/>
    <w:rsid w:val="66595C8F"/>
    <w:rsid w:val="666F2B50"/>
    <w:rsid w:val="66824489"/>
    <w:rsid w:val="66C02A72"/>
    <w:rsid w:val="676A6D61"/>
    <w:rsid w:val="67841711"/>
    <w:rsid w:val="678D78FF"/>
    <w:rsid w:val="678F75C0"/>
    <w:rsid w:val="6811321A"/>
    <w:rsid w:val="681840D1"/>
    <w:rsid w:val="68C619E9"/>
    <w:rsid w:val="68D308BA"/>
    <w:rsid w:val="69B766FB"/>
    <w:rsid w:val="69CE3821"/>
    <w:rsid w:val="6A1C7206"/>
    <w:rsid w:val="6A306F11"/>
    <w:rsid w:val="6A363B15"/>
    <w:rsid w:val="6A5972C7"/>
    <w:rsid w:val="6A5B3629"/>
    <w:rsid w:val="6A5E56F4"/>
    <w:rsid w:val="6A833B5E"/>
    <w:rsid w:val="6AA50E2D"/>
    <w:rsid w:val="6B0556DE"/>
    <w:rsid w:val="6B461548"/>
    <w:rsid w:val="6BC47C57"/>
    <w:rsid w:val="6C8C4731"/>
    <w:rsid w:val="6CEE387E"/>
    <w:rsid w:val="6D3F2AB4"/>
    <w:rsid w:val="6D624F9D"/>
    <w:rsid w:val="6D7D4FF0"/>
    <w:rsid w:val="6DAB41E8"/>
    <w:rsid w:val="6E385230"/>
    <w:rsid w:val="6EA02FD5"/>
    <w:rsid w:val="6EF95989"/>
    <w:rsid w:val="6F131535"/>
    <w:rsid w:val="6F1B7801"/>
    <w:rsid w:val="6F4D3C05"/>
    <w:rsid w:val="6F5659B7"/>
    <w:rsid w:val="6FAE7C2C"/>
    <w:rsid w:val="6FC03F5D"/>
    <w:rsid w:val="6FC3412A"/>
    <w:rsid w:val="6FD16A4A"/>
    <w:rsid w:val="6FF959DF"/>
    <w:rsid w:val="700F2B5C"/>
    <w:rsid w:val="7059017D"/>
    <w:rsid w:val="705C38DC"/>
    <w:rsid w:val="706B4800"/>
    <w:rsid w:val="70A660F6"/>
    <w:rsid w:val="70AF74B4"/>
    <w:rsid w:val="712751B3"/>
    <w:rsid w:val="716864DE"/>
    <w:rsid w:val="71885033"/>
    <w:rsid w:val="718C7529"/>
    <w:rsid w:val="71A3259A"/>
    <w:rsid w:val="71B93558"/>
    <w:rsid w:val="71F34ED2"/>
    <w:rsid w:val="722248E2"/>
    <w:rsid w:val="72991AEC"/>
    <w:rsid w:val="72BC5A72"/>
    <w:rsid w:val="72D52CD8"/>
    <w:rsid w:val="7320531D"/>
    <w:rsid w:val="733044C1"/>
    <w:rsid w:val="738D7AC5"/>
    <w:rsid w:val="73B42BFA"/>
    <w:rsid w:val="73DD2087"/>
    <w:rsid w:val="742E2AF1"/>
    <w:rsid w:val="744E0A11"/>
    <w:rsid w:val="74901564"/>
    <w:rsid w:val="74BD345A"/>
    <w:rsid w:val="74C17029"/>
    <w:rsid w:val="74D27795"/>
    <w:rsid w:val="74F00089"/>
    <w:rsid w:val="752353CE"/>
    <w:rsid w:val="75567829"/>
    <w:rsid w:val="756D0584"/>
    <w:rsid w:val="75846E54"/>
    <w:rsid w:val="75944B1C"/>
    <w:rsid w:val="76080767"/>
    <w:rsid w:val="76093E60"/>
    <w:rsid w:val="762B3AF6"/>
    <w:rsid w:val="76827F50"/>
    <w:rsid w:val="77AE2CE0"/>
    <w:rsid w:val="77DB7D60"/>
    <w:rsid w:val="783065DB"/>
    <w:rsid w:val="7887189E"/>
    <w:rsid w:val="789F4C32"/>
    <w:rsid w:val="78BE4AFF"/>
    <w:rsid w:val="78BF2FD1"/>
    <w:rsid w:val="790B6669"/>
    <w:rsid w:val="79107EF1"/>
    <w:rsid w:val="7937199C"/>
    <w:rsid w:val="795C5340"/>
    <w:rsid w:val="798E0F22"/>
    <w:rsid w:val="79D27190"/>
    <w:rsid w:val="7A62031E"/>
    <w:rsid w:val="7AB301E1"/>
    <w:rsid w:val="7AFB1C1B"/>
    <w:rsid w:val="7B1F5948"/>
    <w:rsid w:val="7B417534"/>
    <w:rsid w:val="7B73019E"/>
    <w:rsid w:val="7B851A6C"/>
    <w:rsid w:val="7B86036D"/>
    <w:rsid w:val="7B8A0690"/>
    <w:rsid w:val="7BF9480C"/>
    <w:rsid w:val="7C155D2D"/>
    <w:rsid w:val="7C99583C"/>
    <w:rsid w:val="7CF7344D"/>
    <w:rsid w:val="7D00620A"/>
    <w:rsid w:val="7E3B12CA"/>
    <w:rsid w:val="7E643E40"/>
    <w:rsid w:val="7E8402DD"/>
    <w:rsid w:val="7EBE2778"/>
    <w:rsid w:val="7ED15832"/>
    <w:rsid w:val="7F0000EA"/>
    <w:rsid w:val="7F47318F"/>
    <w:rsid w:val="7F4C425D"/>
    <w:rsid w:val="7F8057FF"/>
    <w:rsid w:val="7FCF521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0"/>
    <w:pPr>
      <w:keepNext/>
      <w:keepLines/>
      <w:jc w:val="center"/>
      <w:outlineLvl w:val="0"/>
    </w:pPr>
    <w:rPr>
      <w:rFonts w:ascii="微软雅黑" w:hAnsi="微软雅黑" w:eastAsia="微软雅黑" w:cs="Times New Roman"/>
      <w:bCs/>
      <w:kern w:val="44"/>
      <w:sz w:val="44"/>
      <w:szCs w:val="44"/>
    </w:rPr>
  </w:style>
  <w:style w:type="paragraph" w:styleId="3">
    <w:name w:val="heading 2"/>
    <w:basedOn w:val="1"/>
    <w:next w:val="1"/>
    <w:link w:val="21"/>
    <w:qFormat/>
    <w:uiPriority w:val="0"/>
    <w:pPr>
      <w:keepNext/>
      <w:keepLines/>
      <w:spacing w:line="360" w:lineRule="auto"/>
      <w:jc w:val="center"/>
      <w:outlineLvl w:val="1"/>
    </w:pPr>
    <w:rPr>
      <w:rFonts w:ascii="微软雅黑" w:hAnsi="微软雅黑" w:eastAsia="微软雅黑" w:cs="Arial"/>
      <w:bCs/>
      <w:sz w:val="32"/>
      <w:szCs w:val="32"/>
    </w:rPr>
  </w:style>
  <w:style w:type="character" w:default="1" w:styleId="9">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pPr>
      <w:spacing w:line="360" w:lineRule="auto"/>
      <w:ind w:firstLine="200" w:firstLineChars="200"/>
    </w:pPr>
    <w:rPr>
      <w:rFonts w:eastAsia="仿宋_GB2312"/>
      <w:sz w:val="28"/>
    </w:rPr>
  </w:style>
  <w:style w:type="character" w:styleId="10">
    <w:name w:val="page number"/>
    <w:basedOn w:val="9"/>
    <w:qFormat/>
    <w:uiPriority w:val="0"/>
  </w:style>
  <w:style w:type="character" w:styleId="11">
    <w:name w:val="Hyperlink"/>
    <w:qFormat/>
    <w:uiPriority w:val="0"/>
    <w:rPr>
      <w:color w:val="0000FF"/>
      <w:u w:val="single"/>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34"/>
    <w:pPr>
      <w:ind w:firstLine="420" w:firstLineChars="200"/>
    </w:pPr>
  </w:style>
  <w:style w:type="paragraph" w:customStyle="1" w:styleId="15">
    <w:name w:val="列出段落11"/>
    <w:basedOn w:val="1"/>
    <w:qFormat/>
    <w:uiPriority w:val="0"/>
    <w:pPr>
      <w:ind w:firstLine="420" w:firstLineChars="200"/>
    </w:pPr>
    <w:rPr>
      <w:szCs w:val="24"/>
    </w:rPr>
  </w:style>
  <w:style w:type="character" w:customStyle="1" w:styleId="16">
    <w:name w:val="批注框文本 Char"/>
    <w:basedOn w:val="9"/>
    <w:link w:val="5"/>
    <w:qFormat/>
    <w:uiPriority w:val="0"/>
    <w:rPr>
      <w:kern w:val="2"/>
      <w:sz w:val="18"/>
      <w:szCs w:val="18"/>
    </w:rPr>
  </w:style>
  <w:style w:type="paragraph" w:customStyle="1" w:styleId="17">
    <w:name w:val="列出段落2"/>
    <w:basedOn w:val="1"/>
    <w:unhideWhenUsed/>
    <w:qFormat/>
    <w:uiPriority w:val="99"/>
    <w:pPr>
      <w:ind w:firstLine="420" w:firstLineChars="200"/>
    </w:pPr>
  </w:style>
  <w:style w:type="paragraph" w:customStyle="1" w:styleId="18">
    <w:name w:val="标题二、"/>
    <w:basedOn w:val="1"/>
    <w:qFormat/>
    <w:uiPriority w:val="0"/>
    <w:pPr>
      <w:spacing w:line="360" w:lineRule="auto"/>
      <w:ind w:firstLine="200" w:firstLineChars="200"/>
      <w:outlineLvl w:val="2"/>
    </w:pPr>
    <w:rPr>
      <w:rFonts w:ascii="宋体" w:hAnsi="宋体" w:eastAsia="宋体" w:cs="Times New Roman"/>
      <w:b/>
      <w:szCs w:val="21"/>
    </w:rPr>
  </w:style>
  <w:style w:type="paragraph" w:customStyle="1" w:styleId="19">
    <w:name w:val="正文1"/>
    <w:basedOn w:val="1"/>
    <w:qFormat/>
    <w:uiPriority w:val="0"/>
    <w:pPr>
      <w:spacing w:line="480" w:lineRule="exact"/>
      <w:ind w:firstLine="480" w:firstLineChars="200"/>
    </w:pPr>
    <w:rPr>
      <w:rFonts w:ascii="宋体" w:hAnsi="Times New Roman" w:eastAsia="宋体" w:cs="Times New Roman"/>
      <w:sz w:val="24"/>
      <w:szCs w:val="20"/>
    </w:rPr>
  </w:style>
  <w:style w:type="character" w:customStyle="1" w:styleId="20">
    <w:name w:val="标题 1 Char"/>
    <w:basedOn w:val="9"/>
    <w:link w:val="2"/>
    <w:qFormat/>
    <w:uiPriority w:val="0"/>
    <w:rPr>
      <w:rFonts w:ascii="微软雅黑" w:hAnsi="微软雅黑" w:eastAsia="微软雅黑" w:cs="Times New Roman"/>
      <w:bCs/>
      <w:kern w:val="44"/>
      <w:sz w:val="44"/>
      <w:szCs w:val="44"/>
    </w:rPr>
  </w:style>
  <w:style w:type="character" w:customStyle="1" w:styleId="21">
    <w:name w:val="标题 2 Char"/>
    <w:basedOn w:val="9"/>
    <w:link w:val="3"/>
    <w:qFormat/>
    <w:uiPriority w:val="0"/>
    <w:rPr>
      <w:rFonts w:ascii="微软雅黑" w:hAnsi="微软雅黑" w:eastAsia="微软雅黑" w:cs="Arial"/>
      <w:bCs/>
      <w:kern w:val="2"/>
      <w:sz w:val="32"/>
      <w:szCs w:val="32"/>
    </w:rPr>
  </w:style>
  <w:style w:type="character" w:customStyle="1" w:styleId="22">
    <w:name w:val="页眉 Char"/>
    <w:link w:val="7"/>
    <w:qFormat/>
    <w:uiPriority w:val="99"/>
    <w:rPr>
      <w:kern w:val="2"/>
      <w:sz w:val="18"/>
      <w:szCs w:val="18"/>
    </w:rPr>
  </w:style>
  <w:style w:type="paragraph" w:customStyle="1" w:styleId="23">
    <w:name w:val="标题一、"/>
    <w:basedOn w:val="1"/>
    <w:qFormat/>
    <w:uiPriority w:val="0"/>
    <w:pPr>
      <w:spacing w:beforeLines="100" w:afterLines="100" w:line="360" w:lineRule="auto"/>
      <w:jc w:val="center"/>
      <w:outlineLvl w:val="0"/>
    </w:pPr>
    <w:rPr>
      <w:rFonts w:ascii="黑体" w:hAnsi="Times New Roman" w:eastAsia="黑体" w:cs="Times New Roman"/>
      <w:sz w:val="32"/>
      <w:szCs w:val="32"/>
    </w:rPr>
  </w:style>
  <w:style w:type="character" w:customStyle="1" w:styleId="24">
    <w:name w:val="页脚 Char"/>
    <w:basedOn w:val="9"/>
    <w:link w:val="6"/>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F0A549-6EC2-40D6-9951-F5FC445FDE1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2014</Words>
  <Characters>11486</Characters>
  <Lines>95</Lines>
  <Paragraphs>26</Paragraphs>
  <ScaleCrop>false</ScaleCrop>
  <LinksUpToDate>false</LinksUpToDate>
  <CharactersWithSpaces>13474</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2016-10-18T02:10:00Z</dcterms:created>
  <dc:creator>Administrator</dc:creator>
  <cp:lastModifiedBy>Administrator</cp:lastModifiedBy>
  <cp:lastPrinted>2016-11-14T02:38:00Z</cp:lastPrinted>
  <dcterms:modified xsi:type="dcterms:W3CDTF">2016-11-14T03:38:58Z</dcterms:modified>
  <cp:revision>221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