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96"/>
          <w:szCs w:val="72"/>
        </w:rPr>
      </w:pPr>
    </w:p>
    <w:p>
      <w:pPr>
        <w:spacing w:line="480" w:lineRule="auto"/>
        <w:jc w:val="center"/>
        <w:rPr>
          <w:rFonts w:ascii="宋体" w:hAnsi="宋体"/>
          <w:b/>
          <w:sz w:val="96"/>
          <w:szCs w:val="72"/>
        </w:rPr>
      </w:pPr>
      <w:r>
        <w:rPr>
          <w:rFonts w:hint="eastAsia" w:ascii="宋体" w:hAnsi="宋体"/>
          <w:b/>
          <w:sz w:val="96"/>
          <w:szCs w:val="72"/>
        </w:rPr>
        <w:t>招 标 文 件</w:t>
      </w:r>
    </w:p>
    <w:p>
      <w:pPr>
        <w:jc w:val="center"/>
        <w:rPr>
          <w:rFonts w:ascii="宋体" w:hAnsi="宋体"/>
          <w:sz w:val="44"/>
          <w:szCs w:val="20"/>
        </w:rPr>
      </w:pPr>
    </w:p>
    <w:p>
      <w:pPr>
        <w:snapToGrid w:val="0"/>
        <w:spacing w:before="120" w:beforeLines="50" w:line="360" w:lineRule="auto"/>
        <w:rPr>
          <w:rFonts w:ascii="宋体" w:hAnsi="宋体"/>
          <w:sz w:val="30"/>
          <w:szCs w:val="72"/>
        </w:rPr>
      </w:pPr>
      <w:r>
        <w:rPr>
          <w:rFonts w:hint="eastAsia" w:ascii="宋体" w:hAnsi="宋体"/>
          <w:b/>
          <w:sz w:val="72"/>
          <w:szCs w:val="72"/>
        </w:rPr>
        <w:t xml:space="preserve">    </w:t>
      </w:r>
    </w:p>
    <w:p>
      <w:pPr>
        <w:pStyle w:val="26"/>
        <w:tabs>
          <w:tab w:val="left" w:pos="1620"/>
        </w:tabs>
        <w:snapToGrid w:val="0"/>
        <w:spacing w:before="120" w:after="120"/>
        <w:ind w:firstLine="1175" w:firstLineChars="418"/>
        <w:rPr>
          <w:rFonts w:hAnsi="宋体"/>
          <w:b/>
          <w:bCs/>
          <w:sz w:val="28"/>
        </w:rPr>
      </w:pPr>
      <w:r>
        <w:rPr>
          <w:rFonts w:hAnsi="宋体"/>
          <w:b/>
          <w:bCs/>
          <w:sz w:val="28"/>
        </w:rPr>
        <w:t>项目编号：台交所招〔2023〕2号</w:t>
      </w:r>
    </w:p>
    <w:p>
      <w:pPr>
        <w:pStyle w:val="26"/>
        <w:tabs>
          <w:tab w:val="left" w:pos="1620"/>
        </w:tabs>
        <w:snapToGrid w:val="0"/>
        <w:spacing w:before="120" w:after="120"/>
        <w:ind w:firstLine="1124" w:firstLineChars="400"/>
        <w:rPr>
          <w:rFonts w:hAnsi="宋体"/>
          <w:b/>
          <w:bCs/>
          <w:sz w:val="28"/>
        </w:rPr>
      </w:pPr>
      <w:r>
        <w:rPr>
          <w:rFonts w:hAnsi="宋体"/>
          <w:b/>
          <w:bCs/>
          <w:sz w:val="28"/>
        </w:rPr>
        <w:t>项目名称：</w:t>
      </w:r>
      <w:r>
        <w:rPr>
          <w:rFonts w:hint="eastAsia" w:hAnsi="宋体"/>
          <w:b/>
          <w:bCs/>
          <w:sz w:val="28"/>
        </w:rPr>
        <w:t>台州公交巴士5.9米级新能源公交车采购项目</w:t>
      </w:r>
    </w:p>
    <w:p>
      <w:pPr>
        <w:pStyle w:val="26"/>
        <w:tabs>
          <w:tab w:val="left" w:pos="1620"/>
        </w:tabs>
        <w:snapToGrid w:val="0"/>
        <w:spacing w:before="120" w:after="120"/>
        <w:ind w:firstLine="1175" w:firstLineChars="418"/>
        <w:rPr>
          <w:rFonts w:hAnsi="宋体"/>
          <w:b/>
          <w:bCs/>
          <w:sz w:val="28"/>
        </w:rPr>
      </w:pPr>
      <w:r>
        <w:rPr>
          <w:rFonts w:hAnsi="宋体"/>
          <w:b/>
          <w:bCs/>
          <w:sz w:val="28"/>
        </w:rPr>
        <w:t>采购单位：</w:t>
      </w:r>
      <w:r>
        <w:rPr>
          <w:rFonts w:hint="eastAsia" w:hAnsi="宋体"/>
          <w:b/>
          <w:bCs/>
          <w:sz w:val="28"/>
        </w:rPr>
        <w:t>台州市公交巴士有限公司</w:t>
      </w:r>
    </w:p>
    <w:p>
      <w:pPr>
        <w:pStyle w:val="26"/>
        <w:tabs>
          <w:tab w:val="left" w:pos="1620"/>
        </w:tabs>
        <w:snapToGrid w:val="0"/>
        <w:spacing w:before="120" w:after="120"/>
        <w:ind w:firstLine="1175" w:firstLineChars="418"/>
        <w:rPr>
          <w:rFonts w:hAnsi="宋体"/>
          <w:b/>
          <w:bCs/>
          <w:sz w:val="28"/>
        </w:rPr>
      </w:pPr>
      <w:r>
        <w:rPr>
          <w:rFonts w:hAnsi="宋体"/>
          <w:b/>
          <w:bCs/>
          <w:sz w:val="28"/>
        </w:rPr>
        <w:t>代理机构：</w:t>
      </w:r>
      <w:r>
        <w:rPr>
          <w:rFonts w:hint="eastAsia" w:hAnsi="宋体"/>
          <w:b/>
          <w:bCs/>
          <w:sz w:val="28"/>
        </w:rPr>
        <w:t>建经投资咨询有限公司</w:t>
      </w:r>
    </w:p>
    <w:p>
      <w:pPr>
        <w:pStyle w:val="26"/>
        <w:snapToGrid w:val="0"/>
        <w:spacing w:before="120" w:after="120" w:line="360" w:lineRule="auto"/>
        <w:ind w:firstLine="1184" w:firstLineChars="393"/>
        <w:rPr>
          <w:rFonts w:hAnsi="宋体"/>
          <w:b/>
          <w:bCs/>
          <w:sz w:val="30"/>
          <w:szCs w:val="30"/>
        </w:rPr>
      </w:pPr>
    </w:p>
    <w:p>
      <w:pPr>
        <w:pStyle w:val="26"/>
        <w:snapToGrid w:val="0"/>
        <w:spacing w:before="120" w:after="120" w:line="360" w:lineRule="auto"/>
        <w:rPr>
          <w:rFonts w:hAnsi="宋体"/>
          <w:b/>
          <w:bCs/>
          <w:sz w:val="30"/>
          <w:szCs w:val="30"/>
        </w:rPr>
      </w:pPr>
    </w:p>
    <w:p>
      <w:pPr>
        <w:pStyle w:val="26"/>
        <w:snapToGrid w:val="0"/>
        <w:spacing w:before="120" w:after="120" w:line="360" w:lineRule="auto"/>
        <w:rPr>
          <w:rFonts w:hAnsi="宋体"/>
          <w:b/>
          <w:bCs/>
          <w:sz w:val="30"/>
          <w:szCs w:val="30"/>
        </w:rPr>
      </w:pPr>
    </w:p>
    <w:p>
      <w:pPr>
        <w:pStyle w:val="26"/>
        <w:snapToGrid w:val="0"/>
        <w:spacing w:before="120" w:after="120" w:line="360" w:lineRule="auto"/>
        <w:rPr>
          <w:rFonts w:hAnsi="宋体"/>
          <w:b/>
          <w:bCs/>
          <w:sz w:val="30"/>
          <w:szCs w:val="30"/>
        </w:rPr>
      </w:pPr>
    </w:p>
    <w:p>
      <w:pPr>
        <w:pStyle w:val="26"/>
        <w:snapToGrid w:val="0"/>
        <w:spacing w:before="120" w:after="120" w:line="360" w:lineRule="auto"/>
        <w:jc w:val="center"/>
        <w:rPr>
          <w:rFonts w:hAnsi="宋体"/>
          <w:b/>
          <w:bCs/>
          <w:sz w:val="30"/>
          <w:szCs w:val="30"/>
        </w:rPr>
      </w:pPr>
      <w:r>
        <w:rPr>
          <w:rFonts w:hint="eastAsia" w:hAnsi="宋体"/>
          <w:b/>
          <w:bCs/>
          <w:sz w:val="30"/>
          <w:szCs w:val="30"/>
        </w:rPr>
        <w:t>台州市产权交易所有限公司</w:t>
      </w:r>
    </w:p>
    <w:p>
      <w:pPr>
        <w:jc w:val="center"/>
        <w:rPr>
          <w:rFonts w:ascii="宋体"/>
        </w:rPr>
      </w:pPr>
      <w:r>
        <w:rPr>
          <w:rFonts w:hint="eastAsia" w:hAnsi="宋体"/>
          <w:b/>
          <w:bCs/>
          <w:w w:val="95"/>
          <w:sz w:val="30"/>
          <w:szCs w:val="30"/>
        </w:rPr>
        <w:t xml:space="preserve">   二</w:t>
      </w:r>
      <w:r>
        <w:rPr>
          <w:rFonts w:hint="eastAsia" w:ascii="仿宋_GB2312" w:hAnsi="仿宋_GB2312" w:eastAsia="仿宋_GB2312" w:cs="仿宋_GB2312"/>
          <w:b/>
          <w:bCs/>
          <w:w w:val="95"/>
          <w:sz w:val="30"/>
          <w:szCs w:val="30"/>
        </w:rPr>
        <w:t>Ο</w:t>
      </w:r>
      <w:r>
        <w:rPr>
          <w:rFonts w:hint="eastAsia" w:hAnsi="宋体"/>
          <w:b/>
          <w:bCs/>
          <w:w w:val="95"/>
          <w:sz w:val="30"/>
          <w:szCs w:val="30"/>
        </w:rPr>
        <w:t>二三</w:t>
      </w:r>
      <w:r>
        <w:rPr>
          <w:rFonts w:hAnsi="宋体"/>
          <w:b/>
          <w:bCs/>
          <w:w w:val="95"/>
          <w:sz w:val="30"/>
          <w:szCs w:val="30"/>
        </w:rPr>
        <w:t>年</w:t>
      </w:r>
      <w:r>
        <w:rPr>
          <w:rFonts w:hint="eastAsia" w:hAnsi="宋体"/>
          <w:b/>
          <w:bCs/>
          <w:w w:val="95"/>
          <w:sz w:val="30"/>
          <w:szCs w:val="30"/>
        </w:rPr>
        <w:t>二</w:t>
      </w:r>
      <w:r>
        <w:rPr>
          <w:rFonts w:hAnsi="宋体"/>
          <w:b/>
          <w:bCs/>
          <w:w w:val="95"/>
          <w:sz w:val="30"/>
          <w:szCs w:val="30"/>
        </w:rPr>
        <w:t>月</w:t>
      </w:r>
      <w:r>
        <w:rPr>
          <w:rFonts w:hAnsi="宋体"/>
          <w:sz w:val="44"/>
          <w:szCs w:val="44"/>
        </w:rPr>
        <w:br w:type="page"/>
      </w:r>
    </w:p>
    <w:p>
      <w:pPr>
        <w:pStyle w:val="26"/>
        <w:spacing w:before="120" w:after="120" w:line="360" w:lineRule="auto"/>
        <w:jc w:val="center"/>
        <w:rPr>
          <w:rFonts w:hAnsi="宋体"/>
          <w:sz w:val="44"/>
          <w:szCs w:val="44"/>
        </w:rPr>
      </w:pPr>
    </w:p>
    <w:p>
      <w:pPr>
        <w:pStyle w:val="26"/>
        <w:spacing w:before="120" w:after="120" w:line="360" w:lineRule="auto"/>
        <w:jc w:val="center"/>
        <w:rPr>
          <w:rFonts w:hAnsi="宋体"/>
          <w:sz w:val="44"/>
          <w:szCs w:val="44"/>
        </w:rPr>
      </w:pPr>
      <w:r>
        <w:rPr>
          <w:rFonts w:hAnsi="宋体"/>
          <w:sz w:val="44"/>
          <w:szCs w:val="44"/>
        </w:rPr>
        <w:t>目    录</w:t>
      </w:r>
    </w:p>
    <w:p>
      <w:pPr>
        <w:spacing w:before="120" w:beforeLines="50" w:line="480" w:lineRule="exact"/>
        <w:rPr>
          <w:rFonts w:ascii="宋体" w:hAnsi="宋体"/>
          <w:sz w:val="30"/>
        </w:rPr>
      </w:pPr>
    </w:p>
    <w:p>
      <w:pPr>
        <w:spacing w:before="120" w:beforeLines="50" w:line="480" w:lineRule="exact"/>
        <w:rPr>
          <w:rFonts w:ascii="宋体" w:hAnsi="宋体"/>
          <w:sz w:val="30"/>
          <w:szCs w:val="20"/>
        </w:rPr>
      </w:pPr>
      <w:r>
        <w:rPr>
          <w:rFonts w:hint="eastAsia" w:ascii="宋体" w:hAnsi="宋体"/>
          <w:sz w:val="30"/>
        </w:rPr>
        <w:t>第一章  公开招标采购公告</w:t>
      </w:r>
    </w:p>
    <w:p>
      <w:pPr>
        <w:spacing w:before="120" w:beforeLines="50" w:line="480" w:lineRule="exact"/>
        <w:rPr>
          <w:rFonts w:ascii="宋体" w:hAnsi="宋体"/>
          <w:sz w:val="30"/>
          <w:szCs w:val="20"/>
        </w:rPr>
      </w:pPr>
      <w:r>
        <w:rPr>
          <w:rFonts w:hint="eastAsia" w:ascii="宋体" w:hAnsi="宋体"/>
          <w:sz w:val="30"/>
        </w:rPr>
        <w:t>第二章  招标需求</w:t>
      </w:r>
    </w:p>
    <w:p>
      <w:pPr>
        <w:spacing w:before="120" w:beforeLines="50" w:line="480" w:lineRule="exact"/>
        <w:rPr>
          <w:rFonts w:ascii="宋体" w:hAnsi="宋体"/>
          <w:sz w:val="30"/>
          <w:szCs w:val="20"/>
        </w:rPr>
      </w:pPr>
      <w:r>
        <w:rPr>
          <w:rFonts w:hint="eastAsia" w:ascii="宋体" w:hAnsi="宋体"/>
          <w:sz w:val="30"/>
        </w:rPr>
        <w:t>第三章  供应商须知</w:t>
      </w:r>
    </w:p>
    <w:p>
      <w:pPr>
        <w:spacing w:before="120" w:beforeLines="50" w:line="480" w:lineRule="exact"/>
        <w:rPr>
          <w:rFonts w:ascii="宋体" w:hAnsi="宋体"/>
          <w:sz w:val="30"/>
          <w:szCs w:val="20"/>
        </w:rPr>
      </w:pPr>
      <w:r>
        <w:rPr>
          <w:rFonts w:hint="eastAsia" w:ascii="宋体" w:hAnsi="宋体"/>
          <w:sz w:val="30"/>
        </w:rPr>
        <w:t>第四章  评标办法及评分标准</w:t>
      </w:r>
    </w:p>
    <w:p>
      <w:pPr>
        <w:spacing w:before="120" w:beforeLines="50" w:line="480" w:lineRule="exact"/>
        <w:rPr>
          <w:rFonts w:ascii="宋体" w:hAnsi="宋体"/>
          <w:sz w:val="30"/>
          <w:szCs w:val="20"/>
        </w:rPr>
      </w:pPr>
      <w:r>
        <w:rPr>
          <w:rFonts w:hint="eastAsia" w:ascii="宋体" w:hAnsi="宋体"/>
          <w:sz w:val="30"/>
        </w:rPr>
        <w:t>第五章  合同主要条款</w:t>
      </w:r>
    </w:p>
    <w:p>
      <w:pPr>
        <w:spacing w:before="120" w:beforeLines="50" w:line="480" w:lineRule="exact"/>
        <w:rPr>
          <w:rFonts w:ascii="宋体" w:hAnsi="宋体"/>
          <w:sz w:val="30"/>
          <w:szCs w:val="20"/>
        </w:rPr>
      </w:pPr>
      <w:r>
        <w:rPr>
          <w:rFonts w:hint="eastAsia" w:ascii="宋体" w:hAnsi="宋体"/>
          <w:sz w:val="30"/>
        </w:rPr>
        <w:t>第六章  投标文件格式</w:t>
      </w:r>
    </w:p>
    <w:p>
      <w:pPr>
        <w:pStyle w:val="26"/>
        <w:snapToGrid w:val="0"/>
        <w:spacing w:before="120" w:after="120" w:line="360" w:lineRule="auto"/>
        <w:jc w:val="center"/>
        <w:outlineLvl w:val="0"/>
        <w:rPr>
          <w:rFonts w:hAnsi="宋体"/>
          <w:sz w:val="30"/>
          <w:szCs w:val="30"/>
        </w:rPr>
      </w:pPr>
      <w:r>
        <w:rPr>
          <w:rFonts w:hAnsi="宋体"/>
        </w:rPr>
        <w:br w:type="page"/>
      </w:r>
      <w:r>
        <w:rPr>
          <w:rFonts w:hAnsi="宋体"/>
          <w:sz w:val="30"/>
          <w:szCs w:val="30"/>
        </w:rPr>
        <w:t>第一章  公开招标采购公告</w:t>
      </w:r>
    </w:p>
    <w:p>
      <w:pPr>
        <w:pStyle w:val="56"/>
        <w:widowControl w:val="0"/>
        <w:spacing w:after="120" w:line="360" w:lineRule="auto"/>
        <w:ind w:firstLine="480"/>
        <w:rPr>
          <w:rFonts w:ascii="宋体" w:hAnsi="宋体"/>
          <w:szCs w:val="24"/>
        </w:rPr>
      </w:pPr>
      <w:r>
        <w:rPr>
          <w:rFonts w:hint="eastAsia" w:ascii="宋体" w:hAnsi="宋体"/>
          <w:szCs w:val="24"/>
        </w:rPr>
        <w:t>根据《中华人民共和国招标投标法》等相关法律、法规规定，台州市产权交易所有限公司就</w:t>
      </w:r>
      <w:r>
        <w:rPr>
          <w:rFonts w:hint="eastAsia" w:ascii="宋体" w:hAnsi="宋体"/>
          <w:szCs w:val="24"/>
          <w:u w:val="single"/>
        </w:rPr>
        <w:t>台州公交巴士5.9米级新能源公交车采购项目</w:t>
      </w:r>
      <w:r>
        <w:rPr>
          <w:rFonts w:ascii="宋体" w:hAnsi="宋体"/>
          <w:szCs w:val="24"/>
        </w:rPr>
        <w:t>进行公开招标</w:t>
      </w:r>
      <w:r>
        <w:rPr>
          <w:rFonts w:hint="eastAsia" w:ascii="宋体" w:hAnsi="宋体"/>
          <w:szCs w:val="24"/>
        </w:rPr>
        <w:t>。凡具备本项目投标资格要求且能够及时提供本项目服务的供应商均可参加。</w:t>
      </w:r>
    </w:p>
    <w:p>
      <w:pPr>
        <w:snapToGrid w:val="0"/>
        <w:spacing w:line="360" w:lineRule="auto"/>
        <w:ind w:firstLine="482" w:firstLineChars="200"/>
        <w:rPr>
          <w:rFonts w:ascii="宋体" w:hAnsi="宋体" w:cs="Arial"/>
          <w:sz w:val="24"/>
        </w:rPr>
      </w:pPr>
      <w:r>
        <w:rPr>
          <w:rFonts w:hint="eastAsia" w:ascii="宋体" w:hAnsi="宋体" w:cs="Arial"/>
          <w:b/>
          <w:sz w:val="24"/>
        </w:rPr>
        <w:t>一、项目编号：</w:t>
      </w:r>
      <w:r>
        <w:rPr>
          <w:rFonts w:hint="eastAsia" w:ascii="宋体" w:hAnsi="宋体" w:cs="Arial"/>
          <w:b/>
          <w:bCs/>
          <w:sz w:val="24"/>
        </w:rPr>
        <w:t>台交所招〔2023〕2号</w:t>
      </w:r>
    </w:p>
    <w:p>
      <w:pPr>
        <w:snapToGrid w:val="0"/>
        <w:spacing w:line="360" w:lineRule="auto"/>
        <w:ind w:firstLine="482" w:firstLineChars="200"/>
        <w:rPr>
          <w:rFonts w:ascii="宋体" w:hAnsi="宋体" w:cs="Arial"/>
          <w:sz w:val="24"/>
          <w:szCs w:val="20"/>
        </w:rPr>
      </w:pPr>
      <w:r>
        <w:rPr>
          <w:rFonts w:hint="eastAsia" w:ascii="宋体" w:hAnsi="宋体" w:cs="Arial"/>
          <w:b/>
          <w:sz w:val="24"/>
        </w:rPr>
        <w:t>二、采购方式：</w:t>
      </w:r>
      <w:r>
        <w:rPr>
          <w:rFonts w:hint="eastAsia" w:ascii="宋体" w:hAnsi="宋体" w:cs="Arial"/>
          <w:sz w:val="24"/>
        </w:rPr>
        <w:t>公开招标</w:t>
      </w:r>
    </w:p>
    <w:p>
      <w:pPr>
        <w:snapToGrid w:val="0"/>
        <w:spacing w:line="360" w:lineRule="auto"/>
        <w:ind w:firstLine="482" w:firstLineChars="200"/>
        <w:rPr>
          <w:rFonts w:ascii="宋体" w:hAnsi="宋体" w:cs="Arial"/>
          <w:b/>
          <w:bCs/>
          <w:sz w:val="24"/>
          <w:szCs w:val="20"/>
        </w:rPr>
      </w:pPr>
      <w:r>
        <w:rPr>
          <w:rFonts w:hint="eastAsia" w:ascii="宋体" w:hAnsi="宋体" w:cs="Arial"/>
          <w:b/>
          <w:sz w:val="24"/>
        </w:rPr>
        <w:t>三、</w:t>
      </w:r>
      <w:r>
        <w:rPr>
          <w:rFonts w:hint="eastAsia" w:ascii="宋体" w:hAnsi="宋体" w:cs="Arial"/>
          <w:b/>
          <w:bCs/>
          <w:sz w:val="24"/>
        </w:rPr>
        <w:t>采购内容及数量</w:t>
      </w:r>
    </w:p>
    <w:tbl>
      <w:tblPr>
        <w:tblStyle w:val="4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50"/>
        <w:gridCol w:w="1232"/>
        <w:gridCol w:w="769"/>
        <w:gridCol w:w="770"/>
        <w:gridCol w:w="1232"/>
        <w:gridCol w:w="107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71"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标段号</w:t>
            </w:r>
          </w:p>
        </w:tc>
        <w:tc>
          <w:tcPr>
            <w:tcW w:w="1950"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标段名称</w:t>
            </w:r>
          </w:p>
        </w:tc>
        <w:tc>
          <w:tcPr>
            <w:tcW w:w="1232"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规格型号</w:t>
            </w:r>
          </w:p>
        </w:tc>
        <w:tc>
          <w:tcPr>
            <w:tcW w:w="769"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数量</w:t>
            </w:r>
          </w:p>
        </w:tc>
        <w:tc>
          <w:tcPr>
            <w:tcW w:w="770"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单位</w:t>
            </w:r>
          </w:p>
        </w:tc>
        <w:tc>
          <w:tcPr>
            <w:tcW w:w="1232"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预算</w:t>
            </w:r>
          </w:p>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（万元）</w:t>
            </w:r>
          </w:p>
        </w:tc>
        <w:tc>
          <w:tcPr>
            <w:tcW w:w="1077"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交货期</w:t>
            </w:r>
          </w:p>
        </w:tc>
        <w:tc>
          <w:tcPr>
            <w:tcW w:w="1232"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一</w:t>
            </w:r>
          </w:p>
        </w:tc>
        <w:tc>
          <w:tcPr>
            <w:tcW w:w="195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5.9米城市无站立式公交客车（电机额定功率≥60KW）</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6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118</w:t>
            </w:r>
          </w:p>
        </w:tc>
        <w:tc>
          <w:tcPr>
            <w:tcW w:w="77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7</w:t>
            </w:r>
            <w:r>
              <w:rPr>
                <w:rFonts w:ascii="宋体" w:hAnsi="宋体" w:cs="仿宋"/>
                <w:kern w:val="0"/>
                <w:sz w:val="22"/>
                <w:szCs w:val="22"/>
              </w:rPr>
              <w:t>080</w:t>
            </w:r>
          </w:p>
        </w:tc>
        <w:tc>
          <w:tcPr>
            <w:tcW w:w="1077"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232" w:type="dxa"/>
            <w:vMerge w:val="restart"/>
            <w:vAlign w:val="center"/>
          </w:tcPr>
          <w:p>
            <w:pPr>
              <w:tabs>
                <w:tab w:val="left" w:pos="8280"/>
              </w:tabs>
              <w:autoSpaceDE w:val="0"/>
              <w:autoSpaceDN w:val="0"/>
              <w:adjustRightInd w:val="0"/>
              <w:jc w:val="center"/>
              <w:rPr>
                <w:rFonts w:ascii="宋体" w:hAnsi="宋体"/>
                <w:b/>
                <w:sz w:val="24"/>
              </w:rPr>
            </w:pPr>
            <w:r>
              <w:rPr>
                <w:rFonts w:hint="eastAsia" w:ascii="宋体" w:hAnsi="宋体" w:cs="仿宋"/>
                <w:sz w:val="24"/>
              </w:rPr>
              <w:t>台州市公交巴士有限公司指定地点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二</w:t>
            </w:r>
          </w:p>
        </w:tc>
        <w:tc>
          <w:tcPr>
            <w:tcW w:w="195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5.9米级城市无站立式公交客车（电机额定功率≥80KW）</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6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47</w:t>
            </w:r>
          </w:p>
        </w:tc>
        <w:tc>
          <w:tcPr>
            <w:tcW w:w="77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2</w:t>
            </w:r>
            <w:r>
              <w:rPr>
                <w:rFonts w:ascii="宋体" w:hAnsi="宋体" w:cs="仿宋"/>
                <w:kern w:val="0"/>
                <w:sz w:val="22"/>
                <w:szCs w:val="22"/>
              </w:rPr>
              <w:t>820</w:t>
            </w:r>
          </w:p>
        </w:tc>
        <w:tc>
          <w:tcPr>
            <w:tcW w:w="1077"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232" w:type="dxa"/>
            <w:vMerge w:val="continue"/>
            <w:vAlign w:val="center"/>
          </w:tcPr>
          <w:p>
            <w:pPr>
              <w:tabs>
                <w:tab w:val="left" w:pos="8280"/>
              </w:tabs>
              <w:autoSpaceDE w:val="0"/>
              <w:autoSpaceDN w:val="0"/>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1"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三</w:t>
            </w:r>
          </w:p>
        </w:tc>
        <w:tc>
          <w:tcPr>
            <w:tcW w:w="195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5.9米级城市公交客车（微公交）</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6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48</w:t>
            </w:r>
          </w:p>
        </w:tc>
        <w:tc>
          <w:tcPr>
            <w:tcW w:w="770"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232"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2</w:t>
            </w:r>
            <w:r>
              <w:rPr>
                <w:rFonts w:ascii="宋体" w:hAnsi="宋体" w:cs="仿宋"/>
                <w:kern w:val="0"/>
                <w:sz w:val="22"/>
                <w:szCs w:val="22"/>
              </w:rPr>
              <w:t>640</w:t>
            </w:r>
          </w:p>
        </w:tc>
        <w:tc>
          <w:tcPr>
            <w:tcW w:w="1077"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232" w:type="dxa"/>
            <w:vMerge w:val="continue"/>
            <w:vAlign w:val="center"/>
          </w:tcPr>
          <w:p>
            <w:pPr>
              <w:tabs>
                <w:tab w:val="left" w:pos="8280"/>
              </w:tabs>
              <w:autoSpaceDE w:val="0"/>
              <w:autoSpaceDN w:val="0"/>
              <w:adjustRightInd w:val="0"/>
              <w:jc w:val="center"/>
              <w:rPr>
                <w:rFonts w:ascii="宋体" w:hAnsi="宋体"/>
                <w:kern w:val="0"/>
                <w:sz w:val="24"/>
              </w:rPr>
            </w:pPr>
          </w:p>
        </w:tc>
      </w:tr>
    </w:tbl>
    <w:p>
      <w:pPr>
        <w:snapToGrid w:val="0"/>
        <w:spacing w:line="360" w:lineRule="auto"/>
        <w:ind w:firstLine="480" w:firstLineChars="200"/>
        <w:rPr>
          <w:rFonts w:ascii="宋体" w:hAnsi="宋体" w:cs="Arial"/>
          <w:sz w:val="24"/>
        </w:rPr>
      </w:pPr>
      <w:r>
        <w:rPr>
          <w:rFonts w:hint="eastAsia" w:ascii="宋体" w:hAnsi="宋体" w:cs="Arial"/>
          <w:sz w:val="24"/>
        </w:rPr>
        <w:t>（投标人可根据自身情况对三个标段中的任一标段或多个标段进行投标）</w:t>
      </w:r>
    </w:p>
    <w:p>
      <w:pPr>
        <w:snapToGrid w:val="0"/>
        <w:spacing w:line="360" w:lineRule="auto"/>
        <w:ind w:firstLine="482" w:firstLineChars="200"/>
        <w:rPr>
          <w:rFonts w:ascii="宋体" w:hAnsi="宋体" w:cs="Arial"/>
          <w:b/>
          <w:bCs/>
          <w:sz w:val="24"/>
        </w:rPr>
      </w:pPr>
      <w:r>
        <w:rPr>
          <w:rFonts w:hint="eastAsia" w:ascii="宋体" w:hAnsi="宋体" w:cs="Arial"/>
          <w:b/>
          <w:sz w:val="24"/>
        </w:rPr>
        <w:t>四</w:t>
      </w:r>
      <w:r>
        <w:rPr>
          <w:rFonts w:hint="eastAsia" w:ascii="宋体" w:hAnsi="宋体" w:cs="Arial"/>
          <w:sz w:val="24"/>
        </w:rPr>
        <w:t>、</w:t>
      </w:r>
      <w:r>
        <w:rPr>
          <w:rFonts w:hint="eastAsia" w:ascii="宋体" w:hAnsi="宋体" w:cs="Arial"/>
          <w:b/>
          <w:bCs/>
          <w:sz w:val="24"/>
        </w:rPr>
        <w:t>合格供应商的资格要求：</w:t>
      </w:r>
    </w:p>
    <w:p>
      <w:pPr>
        <w:spacing w:line="360" w:lineRule="auto"/>
        <w:ind w:firstLine="560"/>
        <w:rPr>
          <w:rFonts w:ascii="宋体" w:hAnsi="宋体" w:cs="宋体"/>
          <w:sz w:val="24"/>
        </w:rPr>
      </w:pPr>
      <w:r>
        <w:rPr>
          <w:rFonts w:hint="eastAsia" w:ascii="宋体" w:hAnsi="宋体" w:cs="宋体"/>
          <w:sz w:val="24"/>
        </w:rPr>
        <w:t>（一）具有独立承担民事责任的能力；</w:t>
      </w:r>
    </w:p>
    <w:p>
      <w:pPr>
        <w:spacing w:line="360" w:lineRule="auto"/>
        <w:ind w:firstLine="560"/>
        <w:rPr>
          <w:rFonts w:ascii="宋体" w:hAnsi="宋体" w:cs="宋体"/>
          <w:sz w:val="24"/>
        </w:rPr>
      </w:pPr>
      <w:r>
        <w:rPr>
          <w:rFonts w:hint="eastAsia" w:ascii="宋体" w:hAnsi="宋体" w:cs="宋体"/>
          <w:sz w:val="24"/>
        </w:rPr>
        <w:t>（二）具有良好的商业信誉和健全的财务会计制度；</w:t>
      </w:r>
    </w:p>
    <w:p>
      <w:pPr>
        <w:spacing w:line="360" w:lineRule="auto"/>
        <w:ind w:firstLine="560"/>
        <w:rPr>
          <w:rFonts w:ascii="宋体" w:hAnsi="宋体" w:cs="宋体"/>
          <w:sz w:val="24"/>
        </w:rPr>
      </w:pPr>
      <w:r>
        <w:rPr>
          <w:rFonts w:hint="eastAsia" w:ascii="宋体" w:hAnsi="宋体" w:cs="宋体"/>
          <w:sz w:val="24"/>
        </w:rPr>
        <w:t>（三）具有履行合同所必需的设备和专业技术能力；</w:t>
      </w:r>
    </w:p>
    <w:p>
      <w:pPr>
        <w:spacing w:line="360" w:lineRule="auto"/>
        <w:ind w:firstLine="560"/>
        <w:rPr>
          <w:rFonts w:ascii="宋体" w:hAnsi="宋体" w:cs="宋体"/>
          <w:sz w:val="24"/>
        </w:rPr>
      </w:pPr>
      <w:r>
        <w:rPr>
          <w:rFonts w:hint="eastAsia" w:ascii="宋体" w:hAnsi="宋体" w:cs="宋体"/>
          <w:sz w:val="24"/>
        </w:rPr>
        <w:t>（四）有依法缴纳税收和社会保障资金的良好记录；</w:t>
      </w:r>
    </w:p>
    <w:p>
      <w:pPr>
        <w:spacing w:line="360" w:lineRule="auto"/>
        <w:ind w:firstLine="560"/>
        <w:rPr>
          <w:rFonts w:ascii="宋体" w:hAnsi="宋体" w:cs="宋体"/>
          <w:sz w:val="24"/>
        </w:rPr>
      </w:pPr>
      <w:r>
        <w:rPr>
          <w:rFonts w:hint="eastAsia" w:ascii="宋体" w:hAnsi="宋体" w:cs="宋体"/>
          <w:sz w:val="24"/>
        </w:rPr>
        <w:t>（五）参加采购活动前三年内，在经营活动中没有重大违法记录；</w:t>
      </w:r>
    </w:p>
    <w:p>
      <w:pPr>
        <w:spacing w:line="360" w:lineRule="auto"/>
        <w:ind w:firstLine="560"/>
        <w:rPr>
          <w:rFonts w:ascii="宋体" w:hAnsi="宋体" w:cs="宋体"/>
          <w:sz w:val="24"/>
        </w:rPr>
      </w:pPr>
      <w:r>
        <w:rPr>
          <w:rFonts w:hint="eastAsia" w:ascii="宋体" w:hAnsi="宋体" w:cs="宋体"/>
          <w:sz w:val="24"/>
        </w:rPr>
        <w:t>（六）法律、行政法规规定的其他条件。</w:t>
      </w:r>
    </w:p>
    <w:p>
      <w:pPr>
        <w:spacing w:line="360" w:lineRule="auto"/>
        <w:ind w:firstLine="426"/>
        <w:rPr>
          <w:rFonts w:ascii="宋体" w:hAnsi="宋体" w:cs="宋体"/>
          <w:sz w:val="24"/>
        </w:rPr>
      </w:pPr>
      <w:r>
        <w:rPr>
          <w:rFonts w:hint="eastAsia" w:ascii="宋体" w:hAnsi="宋体" w:cs="宋体"/>
          <w:sz w:val="24"/>
        </w:rPr>
        <w:t xml:space="preserve">  （七）本项目供应商特定条件：</w:t>
      </w:r>
    </w:p>
    <w:p>
      <w:pPr>
        <w:spacing w:line="360" w:lineRule="auto"/>
        <w:ind w:firstLine="560"/>
        <w:rPr>
          <w:rFonts w:ascii="宋体" w:hAnsi="宋体" w:cs="宋体"/>
          <w:sz w:val="24"/>
        </w:rPr>
      </w:pPr>
      <w:r>
        <w:rPr>
          <w:rFonts w:hint="eastAsia" w:ascii="宋体" w:hAnsi="宋体" w:cs="宋体"/>
          <w:sz w:val="24"/>
        </w:rPr>
        <w:t xml:space="preserve">   1、投标人必须是所投货物的生产制造厂家；</w:t>
      </w:r>
    </w:p>
    <w:p>
      <w:pPr>
        <w:spacing w:line="360" w:lineRule="auto"/>
        <w:ind w:firstLine="560"/>
        <w:rPr>
          <w:rFonts w:ascii="宋体" w:hAnsi="宋体" w:cs="宋体"/>
          <w:sz w:val="24"/>
        </w:rPr>
      </w:pPr>
      <w:r>
        <w:rPr>
          <w:rFonts w:hint="eastAsia" w:ascii="宋体" w:hAnsi="宋体" w:cs="宋体"/>
          <w:sz w:val="24"/>
        </w:rPr>
        <w:t>2、本项目不接受联合体投标。</w:t>
      </w:r>
    </w:p>
    <w:p>
      <w:pPr>
        <w:snapToGrid w:val="0"/>
        <w:spacing w:line="360" w:lineRule="auto"/>
        <w:ind w:firstLine="542" w:firstLineChars="225"/>
        <w:rPr>
          <w:rFonts w:ascii="宋体" w:hAnsi="宋体" w:cs="Arial"/>
          <w:sz w:val="24"/>
          <w:szCs w:val="20"/>
        </w:rPr>
      </w:pPr>
      <w:r>
        <w:rPr>
          <w:rFonts w:hint="eastAsia" w:ascii="宋体" w:hAnsi="宋体" w:cs="Arial"/>
          <w:b/>
          <w:bCs/>
          <w:sz w:val="24"/>
        </w:rPr>
        <w:t>五、招标文件的获取</w:t>
      </w:r>
    </w:p>
    <w:p>
      <w:pPr>
        <w:snapToGrid w:val="0"/>
        <w:spacing w:line="360" w:lineRule="auto"/>
        <w:ind w:firstLine="480" w:firstLineChars="200"/>
        <w:rPr>
          <w:rFonts w:ascii="宋体" w:hAnsi="宋体" w:cs="Arial"/>
          <w:sz w:val="24"/>
        </w:rPr>
      </w:pPr>
      <w:r>
        <w:rPr>
          <w:rFonts w:hint="eastAsia" w:ascii="宋体" w:hAnsi="宋体" w:cs="Arial"/>
          <w:sz w:val="24"/>
        </w:rPr>
        <w:t>本次招标文件的获取由各供应商自行到台州市公共资源交易网（http://tzztb.zjtz.gov.cn/）或台州市产权交易网（http://www.tzpre.com）下载获取。请各供应商密切关注台州市公共资源交易网或台州市产权交易网对本项目的答疑和澄清，由于投标人未及时了解答疑和澄清造成的后果，招标人、招标代理及产交所概不负责。</w:t>
      </w:r>
    </w:p>
    <w:p>
      <w:pPr>
        <w:snapToGrid w:val="0"/>
        <w:spacing w:line="360" w:lineRule="auto"/>
        <w:rPr>
          <w:rFonts w:ascii="宋体" w:hAnsi="宋体" w:cs="Arial"/>
          <w:sz w:val="24"/>
          <w:szCs w:val="20"/>
        </w:rPr>
      </w:pPr>
      <w:r>
        <w:rPr>
          <w:rFonts w:hint="eastAsia" w:ascii="宋体" w:hAnsi="宋体" w:cs="Arial"/>
          <w:b/>
          <w:bCs/>
          <w:sz w:val="24"/>
        </w:rPr>
        <w:t xml:space="preserve">    六、投标截止时间和地点</w:t>
      </w:r>
      <w:r>
        <w:rPr>
          <w:rFonts w:hint="eastAsia" w:ascii="宋体" w:hAnsi="宋体" w:cs="Arial"/>
          <w:sz w:val="24"/>
        </w:rPr>
        <w:t>：</w:t>
      </w:r>
    </w:p>
    <w:p>
      <w:pPr>
        <w:pStyle w:val="57"/>
        <w:tabs>
          <w:tab w:val="left" w:pos="567"/>
        </w:tabs>
        <w:adjustRightInd w:val="0"/>
        <w:snapToGrid w:val="0"/>
        <w:ind w:firstLine="480"/>
        <w:rPr>
          <w:rFonts w:ascii="宋体"/>
          <w:szCs w:val="21"/>
        </w:rPr>
      </w:pPr>
      <w:r>
        <w:rPr>
          <w:rFonts w:hint="eastAsia" w:ascii="宋体"/>
          <w:szCs w:val="21"/>
        </w:rPr>
        <w:t>1</w:t>
      </w:r>
      <w:r>
        <w:rPr>
          <w:rFonts w:ascii="宋体"/>
          <w:szCs w:val="21"/>
        </w:rPr>
        <w:t>.</w:t>
      </w:r>
      <w:r>
        <w:rPr>
          <w:rFonts w:hint="eastAsia" w:ascii="宋体"/>
          <w:szCs w:val="21"/>
        </w:rPr>
        <w:t>递交截止时间：2023年</w:t>
      </w:r>
      <w:r>
        <w:rPr>
          <w:rFonts w:ascii="宋体"/>
          <w:szCs w:val="21"/>
          <w:u w:val="single"/>
        </w:rPr>
        <w:t>3</w:t>
      </w:r>
      <w:r>
        <w:rPr>
          <w:rFonts w:hint="eastAsia" w:ascii="宋体"/>
          <w:szCs w:val="21"/>
        </w:rPr>
        <w:t>月</w:t>
      </w:r>
      <w:r>
        <w:rPr>
          <w:rFonts w:ascii="宋体"/>
          <w:szCs w:val="21"/>
          <w:u w:val="single"/>
        </w:rPr>
        <w:t>15</w:t>
      </w:r>
      <w:r>
        <w:rPr>
          <w:rFonts w:hint="eastAsia" w:ascii="宋体"/>
          <w:szCs w:val="21"/>
        </w:rPr>
        <w:t>日9时30分（北京时间）</w:t>
      </w:r>
    </w:p>
    <w:p>
      <w:pPr>
        <w:pStyle w:val="57"/>
        <w:tabs>
          <w:tab w:val="left" w:pos="567"/>
        </w:tabs>
        <w:adjustRightInd w:val="0"/>
        <w:snapToGrid w:val="0"/>
        <w:ind w:left="280" w:leftChars="100" w:firstLine="240" w:firstLineChars="100"/>
        <w:rPr>
          <w:rFonts w:ascii="宋体"/>
          <w:szCs w:val="21"/>
        </w:rPr>
      </w:pPr>
      <w:r>
        <w:rPr>
          <w:rFonts w:hint="eastAsia" w:ascii="宋体"/>
          <w:szCs w:val="21"/>
        </w:rPr>
        <w:t>2</w:t>
      </w:r>
      <w:r>
        <w:rPr>
          <w:rFonts w:ascii="宋体"/>
          <w:szCs w:val="21"/>
        </w:rPr>
        <w:t>.</w:t>
      </w:r>
      <w:r>
        <w:rPr>
          <w:rFonts w:hint="eastAsia" w:ascii="宋体"/>
          <w:szCs w:val="21"/>
        </w:rPr>
        <w:t>电子投标文件的递交：</w:t>
      </w:r>
    </w:p>
    <w:p>
      <w:pPr>
        <w:pStyle w:val="57"/>
        <w:tabs>
          <w:tab w:val="left" w:pos="567"/>
        </w:tabs>
        <w:adjustRightInd w:val="0"/>
        <w:snapToGrid w:val="0"/>
        <w:ind w:left="280" w:leftChars="100" w:firstLine="720" w:firstLineChars="300"/>
        <w:rPr>
          <w:rFonts w:ascii="宋体"/>
          <w:szCs w:val="21"/>
        </w:rPr>
      </w:pPr>
      <w:r>
        <w:rPr>
          <w:rFonts w:hint="eastAsia" w:ascii="宋体"/>
          <w:szCs w:val="21"/>
        </w:rPr>
        <w:t>1)登录台州市产权电子交易平台（网址：https://ggzy.tzztb.zjtz.gov.cn/t9/）；</w:t>
      </w:r>
    </w:p>
    <w:p>
      <w:pPr>
        <w:pStyle w:val="57"/>
        <w:tabs>
          <w:tab w:val="left" w:pos="567"/>
        </w:tabs>
        <w:adjustRightInd w:val="0"/>
        <w:snapToGrid w:val="0"/>
        <w:ind w:left="280" w:leftChars="100" w:firstLine="720" w:firstLineChars="300"/>
        <w:rPr>
          <w:rFonts w:ascii="宋体"/>
          <w:szCs w:val="21"/>
        </w:rPr>
      </w:pPr>
      <w:r>
        <w:rPr>
          <w:rFonts w:hint="eastAsia" w:ascii="宋体"/>
          <w:szCs w:val="21"/>
        </w:rPr>
        <w:t>2)选择投标项目，</w:t>
      </w:r>
      <w:r>
        <w:rPr>
          <w:rFonts w:hint="eastAsia" w:ascii="宋体"/>
          <w:b/>
          <w:bCs/>
          <w:szCs w:val="21"/>
        </w:rPr>
        <w:t>输入MD5码</w:t>
      </w:r>
      <w:r>
        <w:rPr>
          <w:rFonts w:hint="eastAsia" w:ascii="宋体"/>
          <w:szCs w:val="21"/>
        </w:rPr>
        <w:t>，点击“上传标书”；</w:t>
      </w:r>
    </w:p>
    <w:p>
      <w:pPr>
        <w:pStyle w:val="57"/>
        <w:tabs>
          <w:tab w:val="left" w:pos="567"/>
        </w:tabs>
        <w:adjustRightInd w:val="0"/>
        <w:snapToGrid w:val="0"/>
        <w:ind w:left="280" w:leftChars="100" w:firstLine="720" w:firstLineChars="300"/>
        <w:rPr>
          <w:rFonts w:ascii="宋体"/>
          <w:szCs w:val="21"/>
        </w:rPr>
      </w:pPr>
      <w:r>
        <w:rPr>
          <w:rFonts w:hint="eastAsia" w:ascii="宋体"/>
          <w:szCs w:val="21"/>
        </w:rPr>
        <w:t>3）电子投标文件上传完成。</w:t>
      </w:r>
    </w:p>
    <w:p>
      <w:pPr>
        <w:pStyle w:val="57"/>
        <w:tabs>
          <w:tab w:val="left" w:pos="567"/>
        </w:tabs>
        <w:adjustRightInd w:val="0"/>
        <w:snapToGrid w:val="0"/>
        <w:ind w:left="280" w:leftChars="100" w:firstLine="720" w:firstLineChars="300"/>
        <w:rPr>
          <w:rFonts w:ascii="宋体"/>
          <w:szCs w:val="21"/>
        </w:rPr>
      </w:pPr>
      <w:r>
        <w:rPr>
          <w:rFonts w:hint="eastAsia" w:ascii="宋体"/>
          <w:szCs w:val="21"/>
        </w:rPr>
        <w:t>投标人应在投标截止时间前上传完成电子投标文件。电子投标工具安装包下载地址及具体操作步骤见《台州产权系统应用操作说明及工具安装包》</w:t>
      </w:r>
    </w:p>
    <w:p>
      <w:pPr>
        <w:pStyle w:val="57"/>
        <w:tabs>
          <w:tab w:val="left" w:pos="567"/>
        </w:tabs>
        <w:adjustRightInd w:val="0"/>
        <w:snapToGrid w:val="0"/>
        <w:ind w:left="280" w:leftChars="100" w:firstLine="0" w:firstLineChars="0"/>
        <w:rPr>
          <w:rFonts w:ascii="宋体"/>
          <w:szCs w:val="21"/>
        </w:rPr>
      </w:pPr>
      <w:r>
        <w:rPr>
          <w:rFonts w:hint="eastAsia" w:ascii="宋体"/>
          <w:szCs w:val="21"/>
        </w:rPr>
        <w:t>网址：</w:t>
      </w:r>
      <w:r>
        <w:rPr>
          <w:rFonts w:ascii="宋体"/>
          <w:szCs w:val="21"/>
        </w:rPr>
        <w:t>https://tzztb.zjtz.gov.cn/art/2022/10/18/art_1229679816_3032.html</w:t>
      </w:r>
    </w:p>
    <w:p>
      <w:pPr>
        <w:snapToGrid w:val="0"/>
        <w:spacing w:line="360" w:lineRule="auto"/>
        <w:ind w:firstLine="480" w:firstLineChars="200"/>
        <w:rPr>
          <w:rFonts w:ascii="宋体"/>
          <w:szCs w:val="21"/>
        </w:rPr>
      </w:pPr>
      <w:r>
        <w:rPr>
          <w:rFonts w:hint="eastAsia" w:ascii="宋体"/>
          <w:sz w:val="24"/>
          <w:szCs w:val="21"/>
        </w:rPr>
        <w:t>3.电子投标文件未在投标文件递交截止时间前递交至台州市产权电子交易平台将被拒绝，后果由各供应商自行承担。</w:t>
      </w:r>
    </w:p>
    <w:p>
      <w:pPr>
        <w:snapToGrid w:val="0"/>
        <w:spacing w:line="360" w:lineRule="auto"/>
        <w:ind w:firstLine="482" w:firstLineChars="200"/>
        <w:rPr>
          <w:rFonts w:ascii="宋体" w:hAnsi="宋体" w:cs="Arial"/>
          <w:sz w:val="24"/>
        </w:rPr>
      </w:pPr>
      <w:r>
        <w:rPr>
          <w:rFonts w:hint="eastAsia" w:ascii="宋体" w:hAnsi="宋体" w:cs="Arial"/>
          <w:b/>
          <w:bCs/>
          <w:sz w:val="24"/>
        </w:rPr>
        <w:t>七、开标时间</w:t>
      </w:r>
      <w:r>
        <w:rPr>
          <w:rFonts w:hint="eastAsia" w:ascii="宋体" w:hAnsi="宋体" w:cs="Arial"/>
          <w:sz w:val="24"/>
        </w:rPr>
        <w:t>：</w:t>
      </w:r>
      <w:r>
        <w:rPr>
          <w:rFonts w:hint="eastAsia" w:ascii="宋体" w:hAnsi="宋体" w:cs="Arial"/>
          <w:sz w:val="24"/>
          <w:u w:val="single"/>
        </w:rPr>
        <w:t>2023年</w:t>
      </w:r>
      <w:r>
        <w:rPr>
          <w:rFonts w:ascii="宋体" w:hAnsi="宋体" w:cs="Arial"/>
          <w:sz w:val="24"/>
          <w:u w:val="single"/>
        </w:rPr>
        <w:t>3</w:t>
      </w:r>
      <w:r>
        <w:rPr>
          <w:rFonts w:hint="eastAsia" w:ascii="宋体" w:hAnsi="宋体"/>
          <w:sz w:val="24"/>
          <w:u w:val="single"/>
        </w:rPr>
        <w:t>月</w:t>
      </w:r>
      <w:r>
        <w:rPr>
          <w:rFonts w:ascii="宋体" w:hAnsi="宋体"/>
          <w:sz w:val="24"/>
          <w:u w:val="single"/>
        </w:rPr>
        <w:t>15</w:t>
      </w:r>
      <w:r>
        <w:rPr>
          <w:rFonts w:hint="eastAsia" w:ascii="宋体" w:hAnsi="宋体"/>
          <w:sz w:val="24"/>
          <w:u w:val="single"/>
        </w:rPr>
        <w:t>日9</w:t>
      </w:r>
      <w:r>
        <w:rPr>
          <w:rFonts w:hint="eastAsia" w:ascii="宋体" w:hAnsi="宋体" w:cs="Arial"/>
          <w:sz w:val="24"/>
          <w:u w:val="single"/>
        </w:rPr>
        <w:t>时30分</w:t>
      </w:r>
      <w:r>
        <w:rPr>
          <w:rFonts w:hint="eastAsia" w:ascii="宋体" w:hAnsi="宋体"/>
          <w:sz w:val="24"/>
        </w:rPr>
        <w:t>（北京时间）</w:t>
      </w:r>
      <w:r>
        <w:rPr>
          <w:rFonts w:hint="eastAsia" w:ascii="宋体" w:hAnsi="宋体" w:cs="Arial"/>
          <w:sz w:val="24"/>
        </w:rPr>
        <w:t>。</w:t>
      </w:r>
    </w:p>
    <w:p>
      <w:pPr>
        <w:snapToGrid w:val="0"/>
        <w:spacing w:line="360" w:lineRule="auto"/>
        <w:ind w:firstLine="482" w:firstLineChars="200"/>
        <w:rPr>
          <w:rFonts w:ascii="宋体" w:hAnsi="宋体" w:cs="Arial"/>
          <w:sz w:val="24"/>
          <w:szCs w:val="20"/>
        </w:rPr>
      </w:pPr>
      <w:r>
        <w:rPr>
          <w:rFonts w:hint="eastAsia" w:ascii="宋体" w:hAnsi="宋体" w:cs="Arial"/>
          <w:b/>
          <w:bCs/>
          <w:sz w:val="24"/>
        </w:rPr>
        <w:t>八、开标地点</w:t>
      </w:r>
      <w:r>
        <w:rPr>
          <w:rFonts w:hint="eastAsia" w:ascii="宋体" w:hAnsi="宋体" w:cs="Arial"/>
          <w:sz w:val="24"/>
        </w:rPr>
        <w:t>：本项目开评标环节实行全流程电子化，投标人可自行登录不见面开标大厅观看。（https://ggzy.tzztb.zjtz.gov.cn/auth2/toLogin.do）</w:t>
      </w:r>
    </w:p>
    <w:p>
      <w:pPr>
        <w:snapToGrid w:val="0"/>
        <w:spacing w:line="360" w:lineRule="auto"/>
        <w:ind w:firstLine="482" w:firstLineChars="200"/>
        <w:rPr>
          <w:rFonts w:ascii="宋体" w:hAnsi="宋体" w:cs="Arial"/>
          <w:sz w:val="24"/>
          <w:szCs w:val="20"/>
        </w:rPr>
      </w:pPr>
      <w:r>
        <w:rPr>
          <w:rFonts w:hint="eastAsia" w:ascii="宋体" w:hAnsi="宋体" w:cs="Arial"/>
          <w:b/>
          <w:bCs/>
          <w:sz w:val="24"/>
        </w:rPr>
        <w:t>九、投标保证金</w:t>
      </w:r>
      <w:r>
        <w:rPr>
          <w:rFonts w:hint="eastAsia" w:ascii="宋体" w:hAnsi="宋体" w:cs="Arial"/>
          <w:sz w:val="24"/>
        </w:rPr>
        <w:t>：</w:t>
      </w:r>
    </w:p>
    <w:p>
      <w:pPr>
        <w:snapToGrid w:val="0"/>
        <w:spacing w:line="360" w:lineRule="auto"/>
        <w:ind w:firstLine="480" w:firstLineChars="200"/>
        <w:rPr>
          <w:rFonts w:ascii="宋体" w:hAnsi="宋体" w:cs="Arial"/>
          <w:sz w:val="24"/>
        </w:rPr>
      </w:pPr>
      <w:r>
        <w:rPr>
          <w:rFonts w:hint="eastAsia" w:ascii="宋体" w:hAnsi="宋体" w:cs="Arial"/>
          <w:sz w:val="24"/>
        </w:rPr>
        <w:t>供应商应于</w:t>
      </w:r>
      <w:r>
        <w:rPr>
          <w:rFonts w:hint="eastAsia" w:ascii="宋体" w:hAnsi="宋体" w:cs="Arial"/>
          <w:sz w:val="24"/>
          <w:u w:val="single"/>
        </w:rPr>
        <w:t>2023年</w:t>
      </w:r>
      <w:r>
        <w:rPr>
          <w:rFonts w:ascii="宋体" w:hAnsi="宋体"/>
          <w:sz w:val="24"/>
          <w:u w:val="single"/>
        </w:rPr>
        <w:t>3</w:t>
      </w:r>
      <w:r>
        <w:rPr>
          <w:rFonts w:hint="eastAsia" w:ascii="宋体" w:hAnsi="宋体"/>
          <w:sz w:val="24"/>
          <w:u w:val="single"/>
        </w:rPr>
        <w:t>月</w:t>
      </w:r>
      <w:r>
        <w:rPr>
          <w:rFonts w:ascii="宋体" w:hAnsi="宋体"/>
          <w:sz w:val="24"/>
          <w:u w:val="single"/>
        </w:rPr>
        <w:t>15</w:t>
      </w:r>
      <w:r>
        <w:rPr>
          <w:rFonts w:hint="eastAsia" w:ascii="宋体" w:hAnsi="宋体"/>
          <w:sz w:val="24"/>
          <w:u w:val="single"/>
        </w:rPr>
        <w:t>日9</w:t>
      </w:r>
      <w:r>
        <w:rPr>
          <w:rFonts w:hint="eastAsia" w:ascii="宋体" w:hAnsi="宋体" w:cs="Arial"/>
          <w:sz w:val="24"/>
          <w:u w:val="single"/>
        </w:rPr>
        <w:t>时30分</w:t>
      </w:r>
      <w:r>
        <w:rPr>
          <w:rFonts w:hint="eastAsia" w:ascii="宋体" w:hAnsi="宋体"/>
          <w:sz w:val="24"/>
        </w:rPr>
        <w:t>（北京时间）前将投标保证金以投标单位的银行账户转账或电汇的形式交至台州市产权交易所有限公司（收款单位名称）。（以到账时间为准）</w:t>
      </w:r>
    </w:p>
    <w:p>
      <w:pPr>
        <w:snapToGrid w:val="0"/>
        <w:spacing w:line="360" w:lineRule="auto"/>
        <w:ind w:firstLine="482" w:firstLineChars="200"/>
        <w:rPr>
          <w:rFonts w:ascii="宋体" w:hAnsi="宋体" w:cs="宋体"/>
          <w:bCs/>
          <w:sz w:val="24"/>
        </w:rPr>
      </w:pPr>
      <w:r>
        <w:rPr>
          <w:rFonts w:hint="eastAsia" w:ascii="宋体" w:hAnsi="宋体" w:cs="宋体"/>
          <w:b/>
          <w:sz w:val="24"/>
        </w:rPr>
        <w:t>保证金金额：</w:t>
      </w:r>
      <w:r>
        <w:rPr>
          <w:rFonts w:hint="eastAsia" w:ascii="宋体" w:hAnsi="宋体"/>
          <w:kern w:val="0"/>
          <w:sz w:val="24"/>
        </w:rPr>
        <w:t>标段1：</w:t>
      </w:r>
      <w:r>
        <w:rPr>
          <w:rFonts w:ascii="宋体" w:hAnsi="宋体"/>
          <w:sz w:val="24"/>
          <w:u w:val="single"/>
        </w:rPr>
        <w:t>80万</w:t>
      </w:r>
      <w:r>
        <w:rPr>
          <w:rFonts w:hint="eastAsia" w:ascii="宋体" w:hAnsi="宋体"/>
          <w:sz w:val="24"/>
        </w:rPr>
        <w:t>元人民币</w:t>
      </w:r>
      <w:r>
        <w:rPr>
          <w:rFonts w:hint="eastAsia" w:ascii="宋体" w:hAnsi="宋体" w:cs="Arial"/>
          <w:sz w:val="24"/>
        </w:rPr>
        <w:t>；标段2：</w:t>
      </w:r>
      <w:r>
        <w:rPr>
          <w:rFonts w:ascii="宋体" w:hAnsi="宋体"/>
          <w:sz w:val="24"/>
          <w:u w:val="single"/>
        </w:rPr>
        <w:t>50万</w:t>
      </w:r>
      <w:r>
        <w:rPr>
          <w:rFonts w:hint="eastAsia" w:ascii="宋体" w:hAnsi="宋体"/>
          <w:sz w:val="24"/>
        </w:rPr>
        <w:t>元人民币；标段3：</w:t>
      </w:r>
      <w:r>
        <w:rPr>
          <w:rFonts w:ascii="宋体" w:hAnsi="宋体"/>
          <w:sz w:val="24"/>
          <w:u w:val="single"/>
        </w:rPr>
        <w:t>50万</w:t>
      </w:r>
      <w:r>
        <w:rPr>
          <w:rFonts w:hint="eastAsia" w:ascii="宋体" w:hAnsi="宋体"/>
          <w:sz w:val="24"/>
        </w:rPr>
        <w:t>元人民币。</w:t>
      </w:r>
    </w:p>
    <w:p>
      <w:pPr>
        <w:snapToGrid w:val="0"/>
        <w:spacing w:line="360" w:lineRule="auto"/>
        <w:ind w:firstLine="482" w:firstLineChars="200"/>
        <w:rPr>
          <w:rFonts w:ascii="宋体" w:hAnsi="宋体" w:cs="宋体"/>
          <w:b/>
          <w:sz w:val="24"/>
        </w:rPr>
      </w:pPr>
      <w:r>
        <w:rPr>
          <w:rFonts w:hint="eastAsia" w:ascii="宋体" w:hAnsi="宋体" w:cs="宋体"/>
          <w:b/>
          <w:sz w:val="24"/>
        </w:rPr>
        <w:t>保证金形式：银行转帐或电汇（以其它形式提供的一律拒收）；</w:t>
      </w:r>
    </w:p>
    <w:p>
      <w:pPr>
        <w:snapToGrid w:val="0"/>
        <w:spacing w:line="360" w:lineRule="auto"/>
        <w:ind w:firstLine="540" w:firstLineChars="225"/>
        <w:rPr>
          <w:rFonts w:ascii="宋体" w:hAnsi="宋体" w:cs="宋体"/>
          <w:sz w:val="24"/>
        </w:rPr>
      </w:pPr>
      <w:r>
        <w:rPr>
          <w:rFonts w:hint="eastAsia" w:ascii="宋体" w:hAnsi="宋体" w:cs="宋体"/>
          <w:sz w:val="24"/>
        </w:rPr>
        <w:t>户名：台州市产权交易所有限公司；</w:t>
      </w:r>
    </w:p>
    <w:p>
      <w:pPr>
        <w:snapToGrid w:val="0"/>
        <w:spacing w:line="360" w:lineRule="auto"/>
        <w:ind w:firstLine="540" w:firstLineChars="225"/>
        <w:rPr>
          <w:rFonts w:ascii="宋体" w:hAnsi="宋体" w:cs="宋体"/>
          <w:sz w:val="24"/>
        </w:rPr>
      </w:pPr>
      <w:r>
        <w:rPr>
          <w:rFonts w:hint="eastAsia" w:ascii="宋体" w:hAnsi="宋体" w:cs="宋体"/>
          <w:sz w:val="24"/>
        </w:rPr>
        <w:t>开户行：浙江民泰商业银行股份有限公司台州椒江支行；</w:t>
      </w:r>
    </w:p>
    <w:p>
      <w:pPr>
        <w:snapToGrid w:val="0"/>
        <w:spacing w:line="360" w:lineRule="auto"/>
        <w:ind w:firstLine="540" w:firstLineChars="225"/>
        <w:rPr>
          <w:rFonts w:ascii="宋体" w:hAnsi="宋体" w:cs="宋体"/>
          <w:sz w:val="24"/>
        </w:rPr>
      </w:pPr>
      <w:r>
        <w:rPr>
          <w:rFonts w:hint="eastAsia" w:ascii="宋体" w:hAnsi="宋体" w:cs="宋体"/>
          <w:sz w:val="24"/>
        </w:rPr>
        <w:t>账号：583016260800015；</w:t>
      </w:r>
    </w:p>
    <w:p>
      <w:pPr>
        <w:snapToGrid w:val="0"/>
        <w:spacing w:line="360" w:lineRule="auto"/>
        <w:ind w:firstLine="480" w:firstLineChars="200"/>
        <w:rPr>
          <w:rFonts w:ascii="宋体" w:hAnsi="宋体" w:cs="Arial"/>
          <w:sz w:val="24"/>
        </w:rPr>
      </w:pPr>
      <w:r>
        <w:rPr>
          <w:rFonts w:hint="eastAsia" w:ascii="宋体" w:hAnsi="宋体" w:cs="宋体"/>
          <w:sz w:val="24"/>
        </w:rPr>
        <w:t>用途：投标保证金。</w:t>
      </w:r>
    </w:p>
    <w:p>
      <w:pPr>
        <w:snapToGrid w:val="0"/>
        <w:spacing w:line="360" w:lineRule="auto"/>
        <w:ind w:firstLine="542" w:firstLineChars="225"/>
        <w:rPr>
          <w:rFonts w:ascii="宋体" w:hAnsi="宋体" w:cs="宋体"/>
          <w:b/>
          <w:bCs/>
          <w:sz w:val="24"/>
        </w:rPr>
      </w:pPr>
      <w:r>
        <w:rPr>
          <w:rFonts w:hint="eastAsia" w:ascii="宋体" w:hAnsi="宋体" w:cs="宋体"/>
          <w:b/>
          <w:sz w:val="24"/>
        </w:rPr>
        <w:t>十、</w:t>
      </w:r>
      <w:r>
        <w:rPr>
          <w:rFonts w:hint="eastAsia" w:ascii="宋体" w:hAnsi="宋体" w:cs="宋体"/>
          <w:b/>
          <w:bCs/>
          <w:sz w:val="24"/>
        </w:rPr>
        <w:t>公告、公示媒体：</w:t>
      </w:r>
    </w:p>
    <w:p>
      <w:pPr>
        <w:snapToGrid w:val="0"/>
        <w:spacing w:line="360" w:lineRule="auto"/>
        <w:ind w:firstLine="480" w:firstLineChars="200"/>
        <w:rPr>
          <w:rFonts w:ascii="宋体" w:hAnsi="宋体" w:cs="Arial"/>
          <w:b/>
          <w:sz w:val="24"/>
        </w:rPr>
      </w:pPr>
      <w:r>
        <w:rPr>
          <w:rFonts w:hint="eastAsia" w:ascii="宋体" w:hAnsi="宋体" w:cs="宋体"/>
          <w:sz w:val="24"/>
        </w:rPr>
        <w:t>台州市公共资源交易网(http://tzztb.zjtz.gov.cn/)、台州市产权交易网（http://www.tzpre.com）。</w:t>
      </w:r>
    </w:p>
    <w:p>
      <w:pPr>
        <w:snapToGrid w:val="0"/>
        <w:spacing w:line="360" w:lineRule="auto"/>
        <w:ind w:firstLine="482" w:firstLineChars="200"/>
        <w:rPr>
          <w:rFonts w:ascii="宋体" w:hAnsi="宋体" w:cs="Arial"/>
          <w:b/>
          <w:sz w:val="24"/>
          <w:szCs w:val="20"/>
        </w:rPr>
      </w:pPr>
      <w:r>
        <w:rPr>
          <w:rFonts w:hint="eastAsia" w:ascii="宋体" w:hAnsi="宋体" w:cs="Arial"/>
          <w:b/>
          <w:sz w:val="24"/>
        </w:rPr>
        <w:t>十一、联系方式：</w:t>
      </w:r>
    </w:p>
    <w:p>
      <w:pPr>
        <w:spacing w:line="360" w:lineRule="auto"/>
        <w:ind w:firstLine="600" w:firstLineChars="250"/>
        <w:rPr>
          <w:rFonts w:hAnsi="宋体" w:cs="宋体"/>
          <w:b/>
          <w:bCs/>
        </w:rPr>
      </w:pPr>
      <w:r>
        <w:rPr>
          <w:rFonts w:hint="eastAsia" w:ascii="宋体" w:hAnsi="宋体" w:cs="宋体"/>
          <w:sz w:val="24"/>
        </w:rPr>
        <w:t>采购</w:t>
      </w:r>
      <w:r>
        <w:rPr>
          <w:rFonts w:hint="eastAsia" w:ascii="宋体" w:hAnsi="宋体" w:cs="宋体"/>
          <w:kern w:val="0"/>
          <w:sz w:val="24"/>
        </w:rPr>
        <w:t>单位：台州市公交巴士有限公司</w:t>
      </w:r>
    </w:p>
    <w:p>
      <w:pPr>
        <w:snapToGrid w:val="0"/>
        <w:spacing w:line="360" w:lineRule="auto"/>
        <w:ind w:firstLine="600" w:firstLineChars="250"/>
        <w:rPr>
          <w:rFonts w:ascii="宋体" w:hAnsi="宋体" w:cs="宋体"/>
          <w:sz w:val="24"/>
        </w:rPr>
      </w:pPr>
      <w:r>
        <w:rPr>
          <w:rFonts w:hint="eastAsia" w:ascii="宋体" w:hAnsi="宋体" w:cs="宋体"/>
          <w:sz w:val="24"/>
        </w:rPr>
        <w:t>联系人：陈先生    电话：</w:t>
      </w:r>
      <w:r>
        <w:rPr>
          <w:rFonts w:ascii="宋体" w:hAnsi="宋体" w:cs="宋体"/>
          <w:sz w:val="24"/>
        </w:rPr>
        <w:t>13867657332</w:t>
      </w:r>
      <w:r>
        <w:rPr>
          <w:rFonts w:hint="eastAsia" w:ascii="宋体" w:hAnsi="宋体" w:cs="宋体"/>
          <w:sz w:val="24"/>
        </w:rPr>
        <w:t xml:space="preserve"> </w:t>
      </w:r>
    </w:p>
    <w:p>
      <w:pPr>
        <w:widowControl/>
        <w:spacing w:line="360" w:lineRule="auto"/>
        <w:ind w:firstLine="600" w:firstLineChars="250"/>
        <w:jc w:val="left"/>
        <w:rPr>
          <w:rFonts w:ascii="宋体" w:hAnsi="宋体" w:cs="宋体"/>
          <w:kern w:val="0"/>
          <w:sz w:val="24"/>
        </w:rPr>
      </w:pPr>
      <w:r>
        <w:rPr>
          <w:rFonts w:hint="eastAsia" w:ascii="宋体" w:hAnsi="宋体" w:cs="宋体"/>
          <w:kern w:val="0"/>
          <w:sz w:val="24"/>
        </w:rPr>
        <w:t>代理机构：建经投资咨询有限公司</w:t>
      </w:r>
    </w:p>
    <w:p>
      <w:pPr>
        <w:widowControl/>
        <w:spacing w:line="360" w:lineRule="auto"/>
        <w:ind w:firstLine="600" w:firstLineChars="250"/>
        <w:jc w:val="left"/>
        <w:rPr>
          <w:rFonts w:ascii="宋体" w:hAnsi="宋体" w:cs="宋体"/>
          <w:sz w:val="24"/>
        </w:rPr>
      </w:pPr>
      <w:r>
        <w:rPr>
          <w:rFonts w:hint="eastAsia" w:ascii="宋体" w:hAnsi="宋体" w:cs="宋体"/>
          <w:kern w:val="0"/>
          <w:sz w:val="24"/>
        </w:rPr>
        <w:t>联系人：</w:t>
      </w:r>
      <w:r>
        <w:rPr>
          <w:rFonts w:hint="eastAsia" w:ascii="宋体" w:hAnsi="宋体" w:cs="宋体"/>
          <w:sz w:val="24"/>
        </w:rPr>
        <w:t xml:space="preserve">金梦瑶      </w:t>
      </w:r>
      <w:r>
        <w:rPr>
          <w:rFonts w:hint="eastAsia" w:ascii="宋体" w:hAnsi="宋体" w:cs="宋体"/>
          <w:kern w:val="0"/>
          <w:sz w:val="24"/>
        </w:rPr>
        <w:t>电  话：</w:t>
      </w:r>
      <w:r>
        <w:rPr>
          <w:rFonts w:ascii="宋体" w:hAnsi="宋体" w:cs="宋体"/>
          <w:sz w:val="24"/>
        </w:rPr>
        <w:t>0576-88550030</w:t>
      </w:r>
      <w:r>
        <w:rPr>
          <w:rFonts w:hint="eastAsia" w:ascii="宋体" w:hAnsi="宋体" w:cs="宋体"/>
          <w:sz w:val="24"/>
        </w:rPr>
        <w:t>，1</w:t>
      </w:r>
      <w:r>
        <w:rPr>
          <w:rFonts w:ascii="宋体" w:hAnsi="宋体" w:cs="宋体"/>
          <w:sz w:val="24"/>
        </w:rPr>
        <w:t>3588825324</w:t>
      </w:r>
    </w:p>
    <w:p>
      <w:pPr>
        <w:snapToGrid w:val="0"/>
        <w:spacing w:line="360" w:lineRule="auto"/>
        <w:ind w:firstLine="559" w:firstLineChars="233"/>
        <w:rPr>
          <w:rFonts w:ascii="宋体" w:hAnsi="宋体" w:cs="宋体"/>
          <w:kern w:val="0"/>
          <w:sz w:val="24"/>
        </w:rPr>
      </w:pPr>
      <w:r>
        <w:rPr>
          <w:rFonts w:hint="eastAsia" w:ascii="宋体" w:hAnsi="宋体" w:cs="宋体"/>
          <w:sz w:val="24"/>
        </w:rPr>
        <w:t>台州市产权交易所有限公司</w:t>
      </w:r>
    </w:p>
    <w:p>
      <w:pPr>
        <w:widowControl/>
        <w:spacing w:line="360" w:lineRule="auto"/>
        <w:ind w:firstLine="600" w:firstLineChars="250"/>
        <w:jc w:val="left"/>
        <w:rPr>
          <w:rFonts w:ascii="宋体" w:hAnsi="宋体" w:cs="宋体"/>
          <w:sz w:val="24"/>
        </w:rPr>
      </w:pPr>
      <w:r>
        <w:rPr>
          <w:rFonts w:hint="eastAsia" w:ascii="宋体" w:hAnsi="宋体" w:cs="宋体"/>
          <w:kern w:val="0"/>
          <w:sz w:val="24"/>
        </w:rPr>
        <w:t>地址：</w:t>
      </w:r>
      <w:r>
        <w:rPr>
          <w:rFonts w:hint="eastAsia" w:ascii="宋体" w:hAnsi="宋体" w:cs="宋体"/>
          <w:sz w:val="24"/>
        </w:rPr>
        <w:t>浙江省台州市市府大道777号浙江民泰商业银行五楼511室</w:t>
      </w:r>
    </w:p>
    <w:p>
      <w:pPr>
        <w:widowControl/>
        <w:spacing w:line="360" w:lineRule="auto"/>
        <w:ind w:firstLine="600" w:firstLineChars="250"/>
        <w:jc w:val="left"/>
        <w:rPr>
          <w:rFonts w:ascii="宋体" w:hAnsi="宋体" w:cs="宋体"/>
          <w:sz w:val="24"/>
        </w:rPr>
      </w:pPr>
      <w:r>
        <w:rPr>
          <w:rFonts w:hint="eastAsia" w:ascii="宋体" w:hAnsi="宋体" w:cs="宋体"/>
          <w:kern w:val="0"/>
          <w:sz w:val="24"/>
        </w:rPr>
        <w:t>联系人：</w:t>
      </w:r>
      <w:r>
        <w:rPr>
          <w:rFonts w:hint="eastAsia" w:ascii="宋体" w:hAnsi="宋体" w:cs="宋体"/>
          <w:sz w:val="24"/>
        </w:rPr>
        <w:t xml:space="preserve">陈敏雅       </w:t>
      </w:r>
      <w:r>
        <w:rPr>
          <w:rFonts w:hint="eastAsia" w:ascii="宋体" w:hAnsi="宋体" w:cs="宋体"/>
          <w:kern w:val="0"/>
          <w:sz w:val="24"/>
        </w:rPr>
        <w:t>电  话：</w:t>
      </w:r>
      <w:r>
        <w:rPr>
          <w:rFonts w:hint="eastAsia" w:ascii="宋体" w:hAnsi="宋体" w:cs="宋体"/>
          <w:sz w:val="24"/>
        </w:rPr>
        <w:t>0576-88685180</w:t>
      </w:r>
    </w:p>
    <w:p>
      <w:pPr>
        <w:snapToGrid w:val="0"/>
        <w:spacing w:line="360" w:lineRule="auto"/>
        <w:jc w:val="right"/>
        <w:rPr>
          <w:rFonts w:ascii="宋体" w:hAnsi="宋体" w:cs="宋体"/>
          <w:bCs/>
          <w:sz w:val="24"/>
        </w:rPr>
      </w:pPr>
    </w:p>
    <w:p>
      <w:pPr>
        <w:snapToGrid w:val="0"/>
        <w:spacing w:line="360" w:lineRule="auto"/>
        <w:jc w:val="right"/>
        <w:rPr>
          <w:rFonts w:ascii="宋体" w:hAnsi="宋体" w:cs="宋体"/>
          <w:sz w:val="24"/>
        </w:rPr>
      </w:pPr>
      <w:r>
        <w:rPr>
          <w:rFonts w:hint="eastAsia" w:ascii="宋体" w:hAnsi="宋体" w:cs="宋体"/>
          <w:bCs/>
          <w:sz w:val="24"/>
        </w:rPr>
        <w:t>台州市公交巴士有限公司</w:t>
      </w:r>
    </w:p>
    <w:p>
      <w:pPr>
        <w:snapToGrid w:val="0"/>
        <w:spacing w:line="360" w:lineRule="auto"/>
        <w:jc w:val="right"/>
        <w:rPr>
          <w:rFonts w:ascii="宋体" w:hAnsi="宋体" w:cs="宋体"/>
          <w:sz w:val="24"/>
        </w:rPr>
      </w:pPr>
      <w:r>
        <w:rPr>
          <w:rFonts w:hint="eastAsia" w:ascii="宋体" w:hAnsi="宋体" w:cs="宋体"/>
          <w:sz w:val="24"/>
        </w:rPr>
        <w:t>建经投资咨询有限公司</w:t>
      </w:r>
    </w:p>
    <w:p>
      <w:pPr>
        <w:snapToGrid w:val="0"/>
        <w:spacing w:line="360" w:lineRule="auto"/>
        <w:jc w:val="right"/>
        <w:rPr>
          <w:rFonts w:ascii="宋体" w:hAnsi="宋体" w:cs="宋体"/>
          <w:sz w:val="24"/>
        </w:rPr>
      </w:pPr>
      <w:r>
        <w:rPr>
          <w:rFonts w:hint="eastAsia" w:ascii="宋体" w:hAnsi="宋体" w:cs="宋体"/>
          <w:sz w:val="24"/>
        </w:rPr>
        <w:t>台州市产权交易所有限公司</w:t>
      </w:r>
    </w:p>
    <w:p>
      <w:pPr>
        <w:snapToGrid w:val="0"/>
        <w:spacing w:line="360" w:lineRule="auto"/>
        <w:ind w:left="238" w:firstLine="4980" w:firstLineChars="2075"/>
        <w:jc w:val="right"/>
        <w:rPr>
          <w:rFonts w:ascii="宋体" w:hAnsi="宋体" w:cs="宋体"/>
          <w:sz w:val="24"/>
        </w:rPr>
      </w:pPr>
      <w:r>
        <w:rPr>
          <w:rFonts w:hint="eastAsia" w:ascii="宋体" w:hAnsi="宋体" w:cs="宋体"/>
          <w:sz w:val="24"/>
        </w:rPr>
        <w:t xml:space="preserve">     2023年</w:t>
      </w:r>
      <w:r>
        <w:rPr>
          <w:rFonts w:ascii="宋体" w:hAnsi="宋体" w:cs="宋体"/>
          <w:sz w:val="24"/>
        </w:rPr>
        <w:t>2</w:t>
      </w:r>
      <w:r>
        <w:rPr>
          <w:rFonts w:hint="eastAsia" w:ascii="宋体" w:hAnsi="宋体" w:cs="宋体"/>
          <w:sz w:val="24"/>
        </w:rPr>
        <w:t>月</w:t>
      </w:r>
      <w:r>
        <w:rPr>
          <w:rFonts w:ascii="宋体" w:hAnsi="宋体" w:cs="宋体"/>
          <w:sz w:val="24"/>
        </w:rPr>
        <w:t>22</w:t>
      </w:r>
      <w:r>
        <w:rPr>
          <w:rFonts w:hint="eastAsia" w:ascii="宋体" w:hAnsi="宋体" w:cs="宋体"/>
          <w:sz w:val="24"/>
        </w:rPr>
        <w:t>日</w:t>
      </w:r>
    </w:p>
    <w:p>
      <w:pPr>
        <w:pStyle w:val="26"/>
        <w:tabs>
          <w:tab w:val="left" w:pos="1620"/>
        </w:tabs>
        <w:snapToGrid w:val="0"/>
        <w:spacing w:before="120" w:after="120" w:line="360" w:lineRule="auto"/>
        <w:jc w:val="center"/>
        <w:rPr>
          <w:rFonts w:hAnsi="宋体"/>
          <w:sz w:val="30"/>
          <w:szCs w:val="30"/>
        </w:rPr>
        <w:sectPr>
          <w:footerReference r:id="rId3" w:type="default"/>
          <w:footnotePr>
            <w:numRestart w:val="eachPage"/>
          </w:footnotePr>
          <w:endnotePr>
            <w:numRestart w:val="eachSect"/>
          </w:endnotePr>
          <w:pgSz w:w="11907" w:h="16840"/>
          <w:pgMar w:top="1247" w:right="1361" w:bottom="1247" w:left="1361" w:header="851" w:footer="824" w:gutter="0"/>
          <w:pgNumType w:start="1"/>
          <w:cols w:space="720" w:num="1"/>
          <w:docGrid w:linePitch="435" w:charSpace="-6554"/>
        </w:sectPr>
      </w:pPr>
    </w:p>
    <w:p>
      <w:pPr>
        <w:pStyle w:val="26"/>
        <w:tabs>
          <w:tab w:val="left" w:pos="1620"/>
        </w:tabs>
        <w:snapToGrid w:val="0"/>
        <w:spacing w:before="120" w:after="120" w:line="360" w:lineRule="auto"/>
        <w:jc w:val="center"/>
        <w:rPr>
          <w:rFonts w:hAnsi="宋体"/>
          <w:sz w:val="30"/>
          <w:szCs w:val="30"/>
        </w:rPr>
      </w:pPr>
      <w:r>
        <w:rPr>
          <w:rFonts w:hint="eastAsia" w:hAnsi="宋体"/>
          <w:sz w:val="36"/>
          <w:szCs w:val="36"/>
        </w:rPr>
        <w:t xml:space="preserve">第二章  </w:t>
      </w:r>
      <w:r>
        <w:rPr>
          <w:rFonts w:hint="eastAsia" w:hAnsi="宋体"/>
          <w:sz w:val="30"/>
          <w:szCs w:val="30"/>
        </w:rPr>
        <w:t xml:space="preserve"> </w:t>
      </w:r>
      <w:r>
        <w:rPr>
          <w:rFonts w:hint="eastAsia" w:hAnsi="宋体"/>
          <w:sz w:val="36"/>
          <w:szCs w:val="36"/>
        </w:rPr>
        <w:t>招标需求</w:t>
      </w:r>
    </w:p>
    <w:p>
      <w:pPr>
        <w:snapToGrid w:val="0"/>
        <w:spacing w:before="156" w:after="156" w:line="312" w:lineRule="auto"/>
        <w:rPr>
          <w:rFonts w:ascii="宋体" w:hAnsi="宋体" w:cs="宋体"/>
          <w:sz w:val="24"/>
        </w:rPr>
      </w:pPr>
      <w:r>
        <w:rPr>
          <w:rFonts w:hint="eastAsia" w:ascii="宋体" w:hAnsi="宋体" w:cs="宋体"/>
          <w:sz w:val="24"/>
        </w:rPr>
        <w:t>一、本次招标共</w:t>
      </w:r>
      <w:r>
        <w:rPr>
          <w:rFonts w:hint="eastAsia" w:ascii="宋体" w:hAnsi="宋体" w:cs="宋体"/>
          <w:sz w:val="24"/>
          <w:u w:val="single"/>
        </w:rPr>
        <w:t xml:space="preserve"> 3 </w:t>
      </w:r>
      <w:r>
        <w:rPr>
          <w:rFonts w:hint="eastAsia" w:ascii="宋体" w:hAnsi="宋体" w:cs="宋体"/>
          <w:sz w:val="24"/>
        </w:rPr>
        <w:t>个标段，具体内容如下表：</w:t>
      </w:r>
    </w:p>
    <w:tbl>
      <w:tblPr>
        <w:tblStyle w:val="4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95"/>
        <w:gridCol w:w="1134"/>
        <w:gridCol w:w="708"/>
        <w:gridCol w:w="709"/>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94" w:type="dxa"/>
            <w:vAlign w:val="center"/>
          </w:tcPr>
          <w:p>
            <w:pPr>
              <w:widowControl/>
              <w:spacing w:line="500" w:lineRule="exact"/>
              <w:jc w:val="center"/>
              <w:outlineLvl w:val="0"/>
              <w:rPr>
                <w:rFonts w:ascii="宋体" w:hAnsi="宋体" w:cs="仿宋"/>
                <w:b/>
                <w:kern w:val="0"/>
                <w:sz w:val="22"/>
                <w:szCs w:val="22"/>
              </w:rPr>
            </w:pPr>
            <w:bookmarkStart w:id="0" w:name="_Toc101790326"/>
            <w:bookmarkStart w:id="1" w:name="_Toc118829056"/>
            <w:bookmarkStart w:id="2" w:name="_Hlk68781219"/>
            <w:r>
              <w:rPr>
                <w:rFonts w:hint="eastAsia" w:ascii="宋体" w:hAnsi="宋体" w:cs="仿宋"/>
                <w:b/>
                <w:kern w:val="0"/>
                <w:sz w:val="22"/>
                <w:szCs w:val="22"/>
              </w:rPr>
              <w:t>标段号</w:t>
            </w:r>
          </w:p>
        </w:tc>
        <w:tc>
          <w:tcPr>
            <w:tcW w:w="1795"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标段名称</w:t>
            </w:r>
          </w:p>
        </w:tc>
        <w:tc>
          <w:tcPr>
            <w:tcW w:w="1134"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规格型号</w:t>
            </w:r>
          </w:p>
        </w:tc>
        <w:tc>
          <w:tcPr>
            <w:tcW w:w="708"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数量</w:t>
            </w:r>
          </w:p>
        </w:tc>
        <w:tc>
          <w:tcPr>
            <w:tcW w:w="709"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单位</w:t>
            </w:r>
          </w:p>
        </w:tc>
        <w:tc>
          <w:tcPr>
            <w:tcW w:w="1134"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预算</w:t>
            </w:r>
          </w:p>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（万元）</w:t>
            </w:r>
          </w:p>
        </w:tc>
        <w:tc>
          <w:tcPr>
            <w:tcW w:w="992"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交货期</w:t>
            </w:r>
          </w:p>
        </w:tc>
        <w:tc>
          <w:tcPr>
            <w:tcW w:w="1134" w:type="dxa"/>
            <w:vAlign w:val="center"/>
          </w:tcPr>
          <w:p>
            <w:pPr>
              <w:widowControl/>
              <w:spacing w:line="500" w:lineRule="exact"/>
              <w:jc w:val="center"/>
              <w:outlineLvl w:val="0"/>
              <w:rPr>
                <w:rFonts w:ascii="宋体" w:hAnsi="宋体" w:cs="仿宋"/>
                <w:b/>
                <w:kern w:val="0"/>
                <w:sz w:val="22"/>
                <w:szCs w:val="22"/>
              </w:rPr>
            </w:pPr>
            <w:r>
              <w:rPr>
                <w:rFonts w:hint="eastAsia" w:ascii="宋体" w:hAnsi="宋体" w:cs="仿宋"/>
                <w:b/>
                <w:kern w:val="0"/>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一</w:t>
            </w:r>
          </w:p>
        </w:tc>
        <w:tc>
          <w:tcPr>
            <w:tcW w:w="1795"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5.9米城市无站立式公交客车（电机额定功率≥60KW）</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08"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118</w:t>
            </w:r>
          </w:p>
        </w:tc>
        <w:tc>
          <w:tcPr>
            <w:tcW w:w="70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7080</w:t>
            </w:r>
          </w:p>
        </w:tc>
        <w:tc>
          <w:tcPr>
            <w:tcW w:w="992"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134" w:type="dxa"/>
            <w:vMerge w:val="restart"/>
            <w:vAlign w:val="center"/>
          </w:tcPr>
          <w:p>
            <w:pPr>
              <w:tabs>
                <w:tab w:val="left" w:pos="8280"/>
              </w:tabs>
              <w:autoSpaceDE w:val="0"/>
              <w:autoSpaceDN w:val="0"/>
              <w:adjustRightInd w:val="0"/>
              <w:jc w:val="center"/>
              <w:rPr>
                <w:rFonts w:ascii="宋体" w:hAnsi="宋体"/>
                <w:b/>
                <w:sz w:val="24"/>
              </w:rPr>
            </w:pPr>
            <w:r>
              <w:rPr>
                <w:rFonts w:hint="eastAsia" w:ascii="宋体" w:hAnsi="宋体" w:cs="仿宋"/>
                <w:sz w:val="24"/>
              </w:rPr>
              <w:t>台州市公交巴士有限公司指定地点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二</w:t>
            </w:r>
          </w:p>
        </w:tc>
        <w:tc>
          <w:tcPr>
            <w:tcW w:w="1795"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5.9米级城市无站立式公交客车（电机额定功率≥80KW）</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08"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47</w:t>
            </w:r>
          </w:p>
        </w:tc>
        <w:tc>
          <w:tcPr>
            <w:tcW w:w="70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2820</w:t>
            </w:r>
          </w:p>
        </w:tc>
        <w:tc>
          <w:tcPr>
            <w:tcW w:w="992"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134" w:type="dxa"/>
            <w:vMerge w:val="continue"/>
            <w:vAlign w:val="center"/>
          </w:tcPr>
          <w:p>
            <w:pPr>
              <w:tabs>
                <w:tab w:val="left" w:pos="8280"/>
              </w:tabs>
              <w:autoSpaceDE w:val="0"/>
              <w:autoSpaceDN w:val="0"/>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三</w:t>
            </w:r>
          </w:p>
        </w:tc>
        <w:tc>
          <w:tcPr>
            <w:tcW w:w="1795"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5.9米级城市公交客车（微公交）</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详见技术需求</w:t>
            </w:r>
          </w:p>
        </w:tc>
        <w:tc>
          <w:tcPr>
            <w:tcW w:w="708"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48</w:t>
            </w:r>
          </w:p>
        </w:tc>
        <w:tc>
          <w:tcPr>
            <w:tcW w:w="709"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辆</w:t>
            </w:r>
          </w:p>
        </w:tc>
        <w:tc>
          <w:tcPr>
            <w:tcW w:w="1134" w:type="dxa"/>
            <w:vAlign w:val="center"/>
          </w:tcPr>
          <w:p>
            <w:pPr>
              <w:widowControl/>
              <w:spacing w:line="500" w:lineRule="exact"/>
              <w:jc w:val="center"/>
              <w:rPr>
                <w:rFonts w:ascii="宋体" w:hAnsi="宋体" w:cs="仿宋"/>
                <w:kern w:val="0"/>
                <w:sz w:val="22"/>
                <w:szCs w:val="22"/>
              </w:rPr>
            </w:pPr>
            <w:r>
              <w:rPr>
                <w:rFonts w:hint="eastAsia" w:ascii="宋体" w:hAnsi="宋体" w:cs="仿宋"/>
                <w:kern w:val="0"/>
                <w:sz w:val="22"/>
                <w:szCs w:val="22"/>
              </w:rPr>
              <w:t>2640</w:t>
            </w:r>
          </w:p>
        </w:tc>
        <w:tc>
          <w:tcPr>
            <w:tcW w:w="992" w:type="dxa"/>
            <w:vAlign w:val="center"/>
          </w:tcPr>
          <w:p>
            <w:pPr>
              <w:widowControl/>
              <w:spacing w:line="500" w:lineRule="exact"/>
              <w:jc w:val="center"/>
              <w:rPr>
                <w:rFonts w:ascii="宋体" w:hAnsi="宋体" w:cs="仿宋"/>
                <w:kern w:val="0"/>
                <w:sz w:val="22"/>
                <w:szCs w:val="22"/>
              </w:rPr>
            </w:pPr>
            <w:r>
              <w:rPr>
                <w:rFonts w:ascii="宋体" w:hAnsi="宋体" w:cs="仿宋"/>
                <w:kern w:val="0"/>
                <w:sz w:val="22"/>
                <w:szCs w:val="22"/>
              </w:rPr>
              <w:t>45</w:t>
            </w:r>
            <w:r>
              <w:rPr>
                <w:rFonts w:hint="eastAsia" w:ascii="宋体" w:hAnsi="宋体" w:cs="仿宋"/>
                <w:kern w:val="0"/>
                <w:sz w:val="22"/>
                <w:szCs w:val="22"/>
              </w:rPr>
              <w:t>天</w:t>
            </w:r>
          </w:p>
        </w:tc>
        <w:tc>
          <w:tcPr>
            <w:tcW w:w="1134" w:type="dxa"/>
            <w:vMerge w:val="continue"/>
            <w:vAlign w:val="center"/>
          </w:tcPr>
          <w:p>
            <w:pPr>
              <w:tabs>
                <w:tab w:val="left" w:pos="8280"/>
              </w:tabs>
              <w:autoSpaceDE w:val="0"/>
              <w:autoSpaceDN w:val="0"/>
              <w:adjustRightInd w:val="0"/>
              <w:jc w:val="center"/>
              <w:rPr>
                <w:rFonts w:ascii="宋体" w:hAnsi="宋体"/>
                <w:kern w:val="0"/>
                <w:sz w:val="24"/>
              </w:rPr>
            </w:pPr>
          </w:p>
        </w:tc>
      </w:tr>
      <w:bookmarkEnd w:id="0"/>
      <w:bookmarkEnd w:id="1"/>
      <w:bookmarkEnd w:id="2"/>
    </w:tbl>
    <w:p>
      <w:pPr>
        <w:tabs>
          <w:tab w:val="left" w:pos="8280"/>
        </w:tabs>
        <w:autoSpaceDE w:val="0"/>
        <w:autoSpaceDN w:val="0"/>
        <w:adjustRightInd w:val="0"/>
        <w:spacing w:line="360" w:lineRule="auto"/>
        <w:ind w:right="25"/>
        <w:rPr>
          <w:rFonts w:ascii="宋体" w:hAnsi="宋体" w:cs="仿宋"/>
          <w:b/>
          <w:sz w:val="24"/>
        </w:rPr>
      </w:pPr>
      <w:r>
        <w:rPr>
          <w:rFonts w:hint="eastAsia" w:ascii="宋体" w:hAnsi="宋体" w:cs="仿宋"/>
          <w:b/>
          <w:sz w:val="24"/>
        </w:rPr>
        <w:t>二、技术需求</w:t>
      </w:r>
    </w:p>
    <w:p>
      <w:pPr>
        <w:spacing w:line="360" w:lineRule="auto"/>
        <w:ind w:firstLine="482" w:firstLineChars="200"/>
        <w:rPr>
          <w:rFonts w:ascii="宋体" w:hAnsi="宋体" w:cs="仿宋"/>
          <w:b/>
          <w:bCs/>
          <w:sz w:val="24"/>
        </w:rPr>
      </w:pPr>
      <w:r>
        <w:rPr>
          <w:rFonts w:hint="eastAsia" w:ascii="宋体" w:hAnsi="宋体" w:cs="仿宋"/>
          <w:b/>
          <w:bCs/>
          <w:sz w:val="24"/>
        </w:rPr>
        <w:t>（一）项目概况</w:t>
      </w:r>
    </w:p>
    <w:p>
      <w:pPr>
        <w:spacing w:line="360" w:lineRule="auto"/>
        <w:ind w:firstLine="480" w:firstLineChars="200"/>
        <w:rPr>
          <w:rFonts w:ascii="宋体" w:hAnsi="宋体" w:cs="仿宋"/>
          <w:sz w:val="24"/>
        </w:rPr>
      </w:pPr>
      <w:r>
        <w:rPr>
          <w:rFonts w:hint="eastAsia" w:ascii="宋体" w:hAnsi="宋体" w:cs="仿宋"/>
          <w:sz w:val="24"/>
        </w:rPr>
        <w:t>本次台州市公交巴士有限公司车辆招标共需招标采购213辆，其中118辆5.9米级无站立式纯电动城市客车（电机额定功率≥60KW），47辆5.9米级无站立式纯电动城市客车（电机额定功率≥80KW），48辆5.9米级城市公交客车（微公交）。</w:t>
      </w:r>
    </w:p>
    <w:p>
      <w:pPr>
        <w:autoSpaceDE w:val="0"/>
        <w:autoSpaceDN w:val="0"/>
        <w:adjustRightInd w:val="0"/>
        <w:spacing w:line="360" w:lineRule="auto"/>
        <w:ind w:firstLine="482" w:firstLineChars="200"/>
        <w:rPr>
          <w:rFonts w:ascii="宋体" w:hAnsi="宋体" w:cs="仿宋"/>
          <w:spacing w:val="8"/>
          <w:sz w:val="24"/>
        </w:rPr>
      </w:pPr>
      <w:r>
        <w:rPr>
          <w:rFonts w:hint="eastAsia" w:ascii="宋体" w:hAnsi="宋体" w:cs="仿宋"/>
          <w:b/>
          <w:sz w:val="24"/>
        </w:rPr>
        <w:t>（二）项目总体要求</w:t>
      </w:r>
    </w:p>
    <w:p>
      <w:pPr>
        <w:autoSpaceDE w:val="0"/>
        <w:autoSpaceDN w:val="0"/>
        <w:adjustRightInd w:val="0"/>
        <w:spacing w:line="360" w:lineRule="auto"/>
        <w:ind w:firstLine="512" w:firstLineChars="200"/>
        <w:rPr>
          <w:rFonts w:ascii="宋体" w:hAnsi="宋体" w:cs="仿宋"/>
          <w:b/>
          <w:kern w:val="0"/>
          <w:sz w:val="24"/>
        </w:rPr>
      </w:pPr>
      <w:r>
        <w:rPr>
          <w:rFonts w:hint="eastAsia" w:ascii="宋体" w:hAnsi="宋体" w:cs="仿宋"/>
          <w:spacing w:val="8"/>
          <w:sz w:val="24"/>
        </w:rPr>
        <w:t>1、整车设计车辆性能安全可靠，节能环保，外形美观大方。力求在技术性能、结构和外观上达到国内一流、接近国际先进水平，并充分考虑台州公交线路运营的特点。</w:t>
      </w:r>
    </w:p>
    <w:p>
      <w:pPr>
        <w:autoSpaceDE w:val="0"/>
        <w:autoSpaceDN w:val="0"/>
        <w:adjustRightInd w:val="0"/>
        <w:spacing w:line="360" w:lineRule="auto"/>
        <w:ind w:firstLine="512" w:firstLineChars="200"/>
        <w:rPr>
          <w:rFonts w:ascii="宋体" w:hAnsi="宋体" w:cs="仿宋"/>
          <w:b/>
          <w:kern w:val="0"/>
          <w:sz w:val="24"/>
        </w:rPr>
      </w:pPr>
      <w:r>
        <w:rPr>
          <w:rFonts w:hint="eastAsia" w:ascii="宋体" w:hAnsi="宋体" w:cs="仿宋"/>
          <w:spacing w:val="8"/>
          <w:sz w:val="24"/>
        </w:rPr>
        <w:t>2、车辆必须具有国家汽车产品公告的要求，符合台州环保要求。</w:t>
      </w:r>
    </w:p>
    <w:p>
      <w:pPr>
        <w:widowControl/>
        <w:overflowPunct w:val="0"/>
        <w:autoSpaceDE w:val="0"/>
        <w:autoSpaceDN w:val="0"/>
        <w:adjustRightInd w:val="0"/>
        <w:snapToGrid w:val="0"/>
        <w:spacing w:line="360" w:lineRule="auto"/>
        <w:ind w:firstLine="501" w:firstLineChars="196"/>
        <w:jc w:val="left"/>
        <w:textAlignment w:val="baseline"/>
        <w:outlineLvl w:val="0"/>
        <w:rPr>
          <w:rFonts w:ascii="宋体" w:hAnsi="宋体" w:cs="仿宋"/>
          <w:spacing w:val="8"/>
          <w:kern w:val="0"/>
          <w:sz w:val="24"/>
        </w:rPr>
      </w:pPr>
      <w:r>
        <w:rPr>
          <w:rFonts w:hint="eastAsia" w:ascii="宋体" w:hAnsi="宋体" w:cs="仿宋"/>
          <w:spacing w:val="8"/>
          <w:kern w:val="0"/>
          <w:sz w:val="24"/>
        </w:rPr>
        <w:t>3、整车设计全过程应严格执行现行《机动车运行安全技术条件》及相关国家标准及行业标准和要求。</w:t>
      </w:r>
    </w:p>
    <w:p>
      <w:pPr>
        <w:widowControl/>
        <w:overflowPunct w:val="0"/>
        <w:autoSpaceDE w:val="0"/>
        <w:autoSpaceDN w:val="0"/>
        <w:adjustRightInd w:val="0"/>
        <w:snapToGrid w:val="0"/>
        <w:spacing w:line="360" w:lineRule="auto"/>
        <w:ind w:firstLine="480"/>
        <w:jc w:val="left"/>
        <w:textAlignment w:val="baseline"/>
        <w:outlineLvl w:val="0"/>
        <w:rPr>
          <w:rFonts w:ascii="宋体" w:hAnsi="宋体" w:cs="仿宋"/>
          <w:b/>
          <w:bCs/>
          <w:kern w:val="0"/>
          <w:sz w:val="24"/>
        </w:rPr>
      </w:pPr>
      <w:r>
        <w:rPr>
          <w:rFonts w:hint="eastAsia" w:ascii="宋体" w:hAnsi="宋体" w:cs="仿宋"/>
          <w:b/>
          <w:bCs/>
          <w:kern w:val="0"/>
          <w:sz w:val="24"/>
        </w:rPr>
        <w:t>4、</w:t>
      </w:r>
      <w:r>
        <w:rPr>
          <w:rFonts w:hint="eastAsia" w:ascii="宋体" w:hAnsi="宋体" w:cs="仿宋"/>
          <w:kern w:val="0"/>
          <w:sz w:val="24"/>
        </w:rPr>
        <w:t>中标后供应的客车颜色及图案（色彩）由台州市公交巴士有限公司确定，中标单位不能增加任何费用。</w:t>
      </w:r>
    </w:p>
    <w:p>
      <w:pPr>
        <w:spacing w:line="360" w:lineRule="auto"/>
        <w:ind w:firstLine="480" w:firstLineChars="200"/>
        <w:rPr>
          <w:rFonts w:ascii="宋体" w:hAnsi="宋体" w:cs="仿宋"/>
          <w:bCs/>
          <w:sz w:val="24"/>
        </w:rPr>
      </w:pPr>
      <w:r>
        <w:rPr>
          <w:rFonts w:hint="eastAsia" w:ascii="宋体" w:hAnsi="宋体" w:cs="仿宋"/>
          <w:bCs/>
          <w:sz w:val="24"/>
        </w:rPr>
        <w:t>5、投标客车的总成等重要部件，投标文件中须注明产地，并满足《客车配置要求》，所有客车应带助力方向装置。</w:t>
      </w:r>
    </w:p>
    <w:p>
      <w:pPr>
        <w:spacing w:line="360" w:lineRule="auto"/>
        <w:ind w:firstLine="480" w:firstLineChars="200"/>
        <w:rPr>
          <w:rFonts w:ascii="宋体" w:hAnsi="宋体" w:cs="仿宋"/>
          <w:bCs/>
          <w:sz w:val="24"/>
        </w:rPr>
      </w:pPr>
      <w:r>
        <w:rPr>
          <w:rFonts w:hint="eastAsia" w:ascii="宋体" w:hAnsi="宋体" w:cs="仿宋"/>
          <w:bCs/>
          <w:sz w:val="24"/>
        </w:rPr>
        <w:t>6、投标人需按技术规格书的要求完成产品的设计、制造及质量管理，并负责交付车辆的运输、装卸、</w:t>
      </w:r>
      <w:r>
        <w:rPr>
          <w:rFonts w:hint="eastAsia" w:ascii="宋体" w:hAnsi="宋体" w:cs="仿宋"/>
          <w:sz w:val="24"/>
        </w:rPr>
        <w:t>现场</w:t>
      </w:r>
      <w:r>
        <w:rPr>
          <w:rFonts w:hint="eastAsia" w:ascii="宋体" w:hAnsi="宋体" w:cs="仿宋"/>
          <w:bCs/>
          <w:sz w:val="24"/>
        </w:rPr>
        <w:t>试驾、上牌服务等，积极配合有关行业专管部门对车辆的验收，做好培训及售后服务。</w:t>
      </w:r>
    </w:p>
    <w:p>
      <w:pPr>
        <w:spacing w:line="360" w:lineRule="auto"/>
        <w:ind w:firstLine="480" w:firstLineChars="200"/>
        <w:rPr>
          <w:rFonts w:ascii="宋体" w:hAnsi="宋体" w:cs="仿宋"/>
          <w:sz w:val="24"/>
        </w:rPr>
      </w:pPr>
      <w:r>
        <w:rPr>
          <w:rFonts w:hint="eastAsia" w:ascii="宋体" w:hAnsi="宋体" w:cs="仿宋"/>
          <w:sz w:val="24"/>
        </w:rPr>
        <w:t>7、所有车型的城市客车和公路型客车的基本参数、技术性能、发动机类型、排放标准必须满足该车型的采购要求，并符合国家和行业的有关标准，与中华人民共和国工业和信息化部的汽车公告参数一致。</w:t>
      </w:r>
    </w:p>
    <w:p>
      <w:pPr>
        <w:widowControl/>
        <w:overflowPunct w:val="0"/>
        <w:autoSpaceDE w:val="0"/>
        <w:autoSpaceDN w:val="0"/>
        <w:adjustRightInd w:val="0"/>
        <w:snapToGrid w:val="0"/>
        <w:spacing w:line="360" w:lineRule="auto"/>
        <w:ind w:firstLine="512" w:firstLineChars="200"/>
        <w:jc w:val="left"/>
        <w:textAlignment w:val="baseline"/>
        <w:outlineLvl w:val="0"/>
        <w:rPr>
          <w:rFonts w:ascii="宋体" w:hAnsi="宋体" w:cs="仿宋"/>
          <w:spacing w:val="8"/>
          <w:kern w:val="0"/>
          <w:sz w:val="24"/>
        </w:rPr>
      </w:pPr>
      <w:r>
        <w:rPr>
          <w:rFonts w:hint="eastAsia" w:ascii="宋体" w:hAnsi="宋体" w:cs="仿宋"/>
          <w:spacing w:val="8"/>
          <w:kern w:val="0"/>
          <w:sz w:val="24"/>
        </w:rPr>
        <w:t>8、新能源汽车投标：</w:t>
      </w:r>
    </w:p>
    <w:p>
      <w:pPr>
        <w:spacing w:line="360" w:lineRule="auto"/>
        <w:ind w:firstLine="480" w:firstLineChars="200"/>
        <w:rPr>
          <w:rFonts w:ascii="宋体" w:hAnsi="宋体" w:cs="仿宋"/>
          <w:bCs/>
          <w:sz w:val="24"/>
        </w:rPr>
      </w:pPr>
      <w:r>
        <w:rPr>
          <w:rFonts w:hint="eastAsia" w:ascii="宋体" w:hAnsi="宋体" w:cs="仿宋"/>
          <w:bCs/>
          <w:sz w:val="24"/>
        </w:rPr>
        <w:t>▲（1）投标人所投的车型列入《道路机动车辆生产企业及产品公告》、《新能源汽车示范推广应用工程推荐车型目录》、《免征车辆购置税的新能源汽车车型目录》、《汽车动力蓄电池行业规范条件》。</w:t>
      </w:r>
    </w:p>
    <w:p>
      <w:pPr>
        <w:spacing w:line="360" w:lineRule="auto"/>
        <w:ind w:firstLine="480" w:firstLineChars="200"/>
        <w:rPr>
          <w:rFonts w:ascii="宋体" w:hAnsi="宋体" w:cs="仿宋"/>
          <w:b/>
          <w:bCs/>
          <w:sz w:val="24"/>
        </w:rPr>
      </w:pPr>
      <w:r>
        <w:rPr>
          <w:rFonts w:hint="eastAsia" w:ascii="宋体" w:hAnsi="宋体" w:cs="仿宋"/>
          <w:bCs/>
          <w:sz w:val="24"/>
        </w:rPr>
        <w:t>▲（2）纯电动车辆实行车、电分离模式，车辆“三电部分”（包括但不仅限于电池系统、驱动电机系统、控制系统、充电系统及相关的易损件）质保期八年；“三电部分”日常维护由中标方负责（含工时、易损易耗件），因日常维护未到位造成的一切后果由中标方负责。</w:t>
      </w:r>
      <w:r>
        <w:rPr>
          <w:rFonts w:hint="eastAsia" w:ascii="宋体" w:hAnsi="宋体" w:cs="仿宋"/>
          <w:b/>
          <w:bCs/>
          <w:sz w:val="24"/>
        </w:rPr>
        <w:t>（上述承诺在标书内提供书面承诺）</w:t>
      </w:r>
    </w:p>
    <w:p>
      <w:pPr>
        <w:spacing w:line="360" w:lineRule="auto"/>
        <w:ind w:firstLine="480" w:firstLineChars="200"/>
        <w:rPr>
          <w:rFonts w:ascii="宋体" w:hAnsi="宋体" w:cs="仿宋"/>
          <w:bCs/>
          <w:sz w:val="24"/>
        </w:rPr>
      </w:pPr>
      <w:r>
        <w:rPr>
          <w:rFonts w:hint="eastAsia" w:ascii="宋体" w:hAnsi="宋体" w:cs="仿宋"/>
          <w:sz w:val="24"/>
        </w:rPr>
        <w:t>（3）电池箱和电池仓均安装具有高温预警及自动灭火功能的专用自动灭火装置，能够自动监测箱内锂电池及仓内早期火灾并自动报</w:t>
      </w:r>
      <w:r>
        <w:rPr>
          <w:rFonts w:hint="eastAsia" w:ascii="宋体" w:hAnsi="宋体" w:cs="仿宋"/>
          <w:bCs/>
          <w:sz w:val="24"/>
        </w:rPr>
        <w:t>警，实现自动灭火并持续抑制复燃，具有自动巡检诊断故障及报警功能，产品应符合国家消防产品准入制度要求（强制认证或技术鉴定）。免费质保8年。电池箱及电池仓自动灭火装置需有8年商业保险，电池箱单次事故保额不小于200万，电池仓单次事故保额不小于100万，承诺非人为损坏和失效的免费更换。如因装用不合格的电池箱或电池仓灭火装置引起的各种损失及责任，由中标人承担。投标人须在中标后10天内提交保单和质保期承诺书，质保期承诺须由配套产品厂家和车辆制造厂家共同承诺。</w:t>
      </w:r>
    </w:p>
    <w:p>
      <w:pPr>
        <w:spacing w:line="360" w:lineRule="auto"/>
        <w:ind w:firstLine="480" w:firstLineChars="200"/>
        <w:rPr>
          <w:rFonts w:ascii="宋体" w:hAnsi="宋体" w:cs="仿宋"/>
          <w:bCs/>
          <w:sz w:val="24"/>
        </w:rPr>
      </w:pPr>
      <w:r>
        <w:rPr>
          <w:rFonts w:hint="eastAsia" w:ascii="宋体" w:hAnsi="宋体" w:cs="仿宋"/>
          <w:bCs/>
          <w:sz w:val="24"/>
        </w:rPr>
        <w:t>（4）车辆首次保养由中标商承担、负责。</w:t>
      </w:r>
    </w:p>
    <w:p>
      <w:pPr>
        <w:spacing w:line="360" w:lineRule="auto"/>
        <w:ind w:firstLine="480" w:firstLineChars="200"/>
        <w:rPr>
          <w:rFonts w:ascii="宋体" w:hAnsi="宋体" w:cs="仿宋"/>
          <w:bCs/>
          <w:sz w:val="24"/>
        </w:rPr>
      </w:pPr>
      <w:r>
        <w:rPr>
          <w:rFonts w:hint="eastAsia" w:ascii="宋体" w:hAnsi="宋体" w:cs="仿宋"/>
          <w:bCs/>
          <w:sz w:val="24"/>
        </w:rPr>
        <w:t>（5）车辆后台技术数据免费向采购人无条件开放</w:t>
      </w:r>
      <w:r>
        <w:rPr>
          <w:rFonts w:hint="eastAsia" w:ascii="宋体" w:hAnsi="宋体" w:cs="仿宋"/>
          <w:b/>
          <w:bCs/>
          <w:sz w:val="24"/>
        </w:rPr>
        <w:t>(在标书内提供书面承诺)。</w:t>
      </w:r>
    </w:p>
    <w:p>
      <w:pPr>
        <w:spacing w:line="360" w:lineRule="auto"/>
        <w:ind w:firstLine="480" w:firstLineChars="200"/>
        <w:rPr>
          <w:rFonts w:ascii="宋体" w:hAnsi="宋体" w:cs="仿宋"/>
          <w:bCs/>
          <w:sz w:val="24"/>
        </w:rPr>
      </w:pPr>
      <w:r>
        <w:rPr>
          <w:rFonts w:hint="eastAsia" w:ascii="宋体" w:hAnsi="宋体" w:cs="仿宋"/>
          <w:bCs/>
          <w:sz w:val="24"/>
        </w:rPr>
        <w:t>▲</w:t>
      </w:r>
      <w:r>
        <w:rPr>
          <w:rFonts w:hint="eastAsia" w:ascii="宋体" w:hAnsi="宋体" w:cs="仿宋"/>
          <w:spacing w:val="8"/>
          <w:sz w:val="24"/>
        </w:rPr>
        <w:t>9、售后</w:t>
      </w:r>
      <w:r>
        <w:rPr>
          <w:rFonts w:hint="eastAsia" w:ascii="宋体" w:hAnsi="宋体" w:cs="仿宋"/>
          <w:bCs/>
          <w:sz w:val="24"/>
        </w:rPr>
        <w:t>维修服务要求24小时内响应，72小时内派人到现场，一星期内修复，未按时间修复的，自停运之日开始每天赔偿500元；需承诺保障车辆后续配件供应，中标方需自采购方向其提出采购需求1个工作日内响应，3个工作日内回复，7个工作日内提供采购方所需的配件，逾期未提供造成车辆停运的，自停运之日开始每天赔偿300元</w:t>
      </w:r>
      <w:r>
        <w:rPr>
          <w:rFonts w:hint="eastAsia" w:ascii="宋体" w:hAnsi="宋体" w:cs="仿宋"/>
          <w:b/>
          <w:bCs/>
          <w:sz w:val="24"/>
        </w:rPr>
        <w:t>（在标书内提供书面承诺）</w:t>
      </w:r>
      <w:r>
        <w:rPr>
          <w:rFonts w:hint="eastAsia" w:ascii="宋体" w:hAnsi="宋体" w:cs="仿宋"/>
          <w:bCs/>
          <w:sz w:val="24"/>
        </w:rPr>
        <w:t>。</w:t>
      </w:r>
    </w:p>
    <w:p>
      <w:pPr>
        <w:spacing w:line="360" w:lineRule="auto"/>
        <w:ind w:firstLine="480" w:firstLineChars="200"/>
        <w:rPr>
          <w:rFonts w:ascii="宋体" w:hAnsi="宋体" w:cs="仿宋"/>
          <w:bCs/>
          <w:sz w:val="24"/>
        </w:rPr>
      </w:pPr>
      <w:r>
        <w:rPr>
          <w:rFonts w:hint="eastAsia" w:ascii="宋体" w:hAnsi="宋体" w:cs="仿宋"/>
          <w:bCs/>
          <w:sz w:val="24"/>
        </w:rPr>
        <w:t>▲10、发生以下情况的，采购方有权要求中标方以8年平均分摊车价的方式回购剩余使用年限（按8年计算）的车辆：质保范围内，纯电动车辆故障一个月内不能修复的；中标方无法提供车辆配件或车辆配件停产中标方无替代配件造成车辆一个月内不能修复的</w:t>
      </w:r>
      <w:r>
        <w:rPr>
          <w:rFonts w:hint="eastAsia" w:ascii="宋体" w:hAnsi="宋体" w:cs="仿宋"/>
          <w:b/>
          <w:bCs/>
          <w:sz w:val="24"/>
        </w:rPr>
        <w:t>（在标书内提供书面承诺）</w:t>
      </w:r>
      <w:r>
        <w:rPr>
          <w:rFonts w:hint="eastAsia" w:ascii="宋体" w:hAnsi="宋体" w:cs="仿宋"/>
          <w:bCs/>
          <w:sz w:val="24"/>
        </w:rPr>
        <w:t>。</w:t>
      </w:r>
    </w:p>
    <w:p>
      <w:pPr>
        <w:spacing w:line="360" w:lineRule="auto"/>
        <w:ind w:firstLine="360" w:firstLineChars="150"/>
        <w:rPr>
          <w:rFonts w:ascii="宋体" w:hAnsi="宋体" w:cs="仿宋"/>
          <w:bCs/>
          <w:sz w:val="24"/>
        </w:rPr>
      </w:pPr>
      <w:r>
        <w:rPr>
          <w:rFonts w:hint="eastAsia" w:ascii="宋体" w:hAnsi="宋体" w:cs="仿宋"/>
          <w:bCs/>
          <w:sz w:val="24"/>
        </w:rPr>
        <w:t>11、车辆空调要求：</w:t>
      </w:r>
    </w:p>
    <w:p>
      <w:pPr>
        <w:spacing w:line="360" w:lineRule="auto"/>
        <w:ind w:firstLine="240" w:firstLineChars="100"/>
        <w:rPr>
          <w:rFonts w:ascii="宋体" w:hAnsi="宋体" w:cs="仿宋"/>
          <w:bCs/>
          <w:sz w:val="24"/>
        </w:rPr>
      </w:pPr>
      <w:r>
        <w:rPr>
          <w:rFonts w:hint="eastAsia" w:ascii="宋体" w:hAnsi="宋体" w:cs="仿宋"/>
          <w:bCs/>
          <w:sz w:val="24"/>
        </w:rPr>
        <w:t>（1）所有车辆均采用独立式纯电制冷空调，制冷降温速率高、制冷效果显著。</w:t>
      </w:r>
    </w:p>
    <w:p>
      <w:pPr>
        <w:spacing w:line="360" w:lineRule="auto"/>
        <w:ind w:firstLine="240" w:firstLineChars="100"/>
        <w:rPr>
          <w:rFonts w:ascii="宋体" w:hAnsi="宋体" w:cs="仿宋"/>
          <w:bCs/>
          <w:sz w:val="24"/>
        </w:rPr>
      </w:pPr>
      <w:r>
        <w:rPr>
          <w:rFonts w:hint="eastAsia" w:ascii="宋体" w:hAnsi="宋体" w:cs="仿宋"/>
          <w:bCs/>
          <w:sz w:val="24"/>
        </w:rPr>
        <w:t>（2）采用按钮式或旋钮式操纵器，液晶显示屏。且低、中、高、自动四个速度可以迅速转换。</w:t>
      </w:r>
    </w:p>
    <w:p>
      <w:pPr>
        <w:spacing w:line="360" w:lineRule="auto"/>
        <w:ind w:firstLine="240" w:firstLineChars="100"/>
        <w:rPr>
          <w:rFonts w:ascii="宋体" w:hAnsi="宋体" w:cs="仿宋"/>
          <w:bCs/>
          <w:sz w:val="24"/>
        </w:rPr>
      </w:pPr>
      <w:r>
        <w:rPr>
          <w:rFonts w:hint="eastAsia" w:ascii="宋体" w:hAnsi="宋体" w:cs="仿宋"/>
          <w:bCs/>
          <w:sz w:val="24"/>
        </w:rPr>
        <w:t>（3）空调机组品牌选用国产优质品牌，要求八年保修，包含但不仅限于工时费、材料费、变频器、DC/DC电源、压缩机及其他易损件。</w:t>
      </w:r>
      <w:r>
        <w:rPr>
          <w:rFonts w:hint="eastAsia" w:ascii="宋体" w:hAnsi="宋体" w:cs="仿宋"/>
          <w:b/>
          <w:spacing w:val="6"/>
          <w:sz w:val="24"/>
        </w:rPr>
        <w:t>（由空调生产厂家和车辆制造厂家在标书内共同书面承诺）</w:t>
      </w:r>
      <w:r>
        <w:rPr>
          <w:rFonts w:hint="eastAsia" w:ascii="宋体" w:hAnsi="宋体" w:cs="仿宋"/>
          <w:spacing w:val="6"/>
          <w:sz w:val="24"/>
        </w:rPr>
        <w:t>。</w:t>
      </w:r>
    </w:p>
    <w:p>
      <w:pPr>
        <w:spacing w:line="360" w:lineRule="auto"/>
        <w:ind w:firstLine="480" w:firstLineChars="200"/>
        <w:rPr>
          <w:rFonts w:ascii="宋体" w:hAnsi="宋体" w:cs="仿宋"/>
          <w:bCs/>
          <w:sz w:val="24"/>
        </w:rPr>
      </w:pPr>
      <w:r>
        <w:rPr>
          <w:rFonts w:hint="eastAsia" w:ascii="宋体" w:hAnsi="宋体" w:cs="仿宋"/>
          <w:bCs/>
          <w:sz w:val="24"/>
        </w:rPr>
        <w:t>12、车长要求：</w:t>
      </w:r>
    </w:p>
    <w:p>
      <w:pPr>
        <w:spacing w:line="360" w:lineRule="auto"/>
        <w:ind w:firstLine="360" w:firstLineChars="150"/>
        <w:rPr>
          <w:rFonts w:ascii="宋体" w:hAnsi="宋体" w:cs="仿宋"/>
          <w:bCs/>
          <w:sz w:val="24"/>
        </w:rPr>
      </w:pPr>
      <w:r>
        <w:rPr>
          <w:rFonts w:hint="eastAsia" w:ascii="宋体" w:hAnsi="宋体" w:cs="仿宋"/>
          <w:bCs/>
          <w:sz w:val="24"/>
        </w:rPr>
        <w:t>（1）第一标段车辆总长：5800mm（含本数）--5999mm（含本数）；</w:t>
      </w:r>
    </w:p>
    <w:p>
      <w:pPr>
        <w:spacing w:line="360" w:lineRule="auto"/>
        <w:ind w:firstLine="360" w:firstLineChars="150"/>
        <w:rPr>
          <w:rFonts w:ascii="宋体" w:hAnsi="宋体" w:cs="仿宋"/>
          <w:bCs/>
          <w:sz w:val="24"/>
        </w:rPr>
      </w:pPr>
      <w:r>
        <w:rPr>
          <w:rFonts w:hint="eastAsia" w:ascii="宋体" w:hAnsi="宋体" w:cs="仿宋"/>
          <w:bCs/>
          <w:sz w:val="24"/>
        </w:rPr>
        <w:t>（2）第二标段车辆总长：5800mm（含本数）--5999mm（含本数）；</w:t>
      </w:r>
    </w:p>
    <w:p>
      <w:pPr>
        <w:spacing w:line="360" w:lineRule="auto"/>
        <w:ind w:firstLine="360" w:firstLineChars="150"/>
        <w:rPr>
          <w:rFonts w:ascii="宋体" w:hAnsi="宋体" w:cs="仿宋"/>
          <w:sz w:val="21"/>
        </w:rPr>
      </w:pPr>
      <w:r>
        <w:rPr>
          <w:rFonts w:hint="eastAsia" w:ascii="宋体" w:hAnsi="宋体" w:cs="仿宋"/>
          <w:bCs/>
          <w:sz w:val="24"/>
        </w:rPr>
        <w:t xml:space="preserve">（3）第三标段车辆总长：5800mm（含本数）--5999mm（含本数）； </w:t>
      </w:r>
      <w:r>
        <w:rPr>
          <w:rFonts w:hint="eastAsia" w:ascii="宋体" w:hAnsi="宋体" w:cs="仿宋"/>
          <w:bCs/>
          <w:szCs w:val="28"/>
        </w:rPr>
        <w:t xml:space="preserve">       </w:t>
      </w:r>
    </w:p>
    <w:p>
      <w:pPr>
        <w:autoSpaceDE w:val="0"/>
        <w:autoSpaceDN w:val="0"/>
        <w:adjustRightInd w:val="0"/>
        <w:spacing w:line="360" w:lineRule="auto"/>
        <w:ind w:firstLine="482" w:firstLineChars="200"/>
        <w:rPr>
          <w:rFonts w:ascii="宋体" w:hAnsi="宋体" w:cs="仿宋"/>
          <w:b/>
          <w:sz w:val="24"/>
        </w:rPr>
      </w:pPr>
      <w:r>
        <w:rPr>
          <w:rFonts w:hint="eastAsia" w:ascii="宋体" w:hAnsi="宋体" w:cs="仿宋"/>
          <w:b/>
          <w:sz w:val="24"/>
        </w:rPr>
        <w:t>（三）项目具体技术需求</w:t>
      </w:r>
    </w:p>
    <w:p>
      <w:pPr>
        <w:widowControl/>
        <w:overflowPunct w:val="0"/>
        <w:autoSpaceDE w:val="0"/>
        <w:autoSpaceDN w:val="0"/>
        <w:adjustRightInd w:val="0"/>
        <w:snapToGrid w:val="0"/>
        <w:spacing w:line="360" w:lineRule="auto"/>
        <w:jc w:val="left"/>
        <w:textAlignment w:val="baseline"/>
        <w:outlineLvl w:val="0"/>
        <w:rPr>
          <w:rFonts w:ascii="宋体" w:hAnsi="宋体" w:cs="仿宋"/>
          <w:b/>
          <w:kern w:val="0"/>
          <w:sz w:val="24"/>
        </w:rPr>
      </w:pPr>
      <w:r>
        <w:rPr>
          <w:rFonts w:hint="eastAsia" w:ascii="宋体" w:hAnsi="宋体" w:cs="仿宋"/>
          <w:b/>
          <w:kern w:val="0"/>
          <w:sz w:val="24"/>
        </w:rPr>
        <w:t>第一标段配置：5米9级无站立纯电动城市客车118台，具体技术参数及需求配置如下表:</w:t>
      </w:r>
    </w:p>
    <w:tbl>
      <w:tblPr>
        <w:tblStyle w:val="42"/>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2261" w:type="dxa"/>
            <w:tcBorders>
              <w:tl2br w:val="single" w:color="auto" w:sz="4" w:space="0"/>
            </w:tcBorders>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 xml:space="preserve">      车   型</w:t>
            </w:r>
          </w:p>
          <w:p>
            <w:pPr>
              <w:adjustRightInd w:val="0"/>
              <w:snapToGrid w:val="0"/>
              <w:spacing w:line="360" w:lineRule="exact"/>
              <w:rPr>
                <w:rFonts w:ascii="宋体" w:hAnsi="宋体" w:cs="仿宋"/>
                <w:b/>
                <w:sz w:val="24"/>
              </w:rPr>
            </w:pPr>
            <w:r>
              <w:rPr>
                <w:rFonts w:hint="eastAsia" w:ascii="宋体" w:hAnsi="宋体" w:cs="仿宋"/>
                <w:b/>
                <w:sz w:val="24"/>
              </w:rPr>
              <w:t>项      目</w:t>
            </w:r>
          </w:p>
        </w:tc>
        <w:tc>
          <w:tcPr>
            <w:tcW w:w="7135" w:type="dxa"/>
            <w:vAlign w:val="center"/>
          </w:tcPr>
          <w:p>
            <w:pPr>
              <w:adjustRightInd w:val="0"/>
              <w:snapToGrid w:val="0"/>
              <w:spacing w:line="320" w:lineRule="exact"/>
              <w:ind w:right="113"/>
              <w:jc w:val="center"/>
              <w:rPr>
                <w:rFonts w:ascii="宋体" w:hAnsi="宋体" w:cs="仿宋"/>
                <w:bCs/>
                <w:sz w:val="24"/>
              </w:rPr>
            </w:pPr>
            <w:r>
              <w:rPr>
                <w:rFonts w:hint="eastAsia" w:ascii="宋体" w:hAnsi="宋体" w:cs="仿宋"/>
                <w:b/>
                <w:sz w:val="24"/>
              </w:rPr>
              <w:t>5米9级无站立式纯电动城市客车（电机额定功率≥60KW）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1" w:type="dxa"/>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特      征</w:t>
            </w:r>
          </w:p>
        </w:tc>
        <w:tc>
          <w:tcPr>
            <w:tcW w:w="7135" w:type="dxa"/>
            <w:vAlign w:val="center"/>
          </w:tcPr>
          <w:p>
            <w:pPr>
              <w:adjustRightInd w:val="0"/>
              <w:snapToGrid w:val="0"/>
              <w:spacing w:line="360" w:lineRule="exact"/>
              <w:jc w:val="center"/>
              <w:rPr>
                <w:rFonts w:ascii="宋体" w:hAnsi="宋体" w:cs="仿宋"/>
                <w:b/>
                <w:sz w:val="24"/>
              </w:rPr>
            </w:pPr>
            <w:r>
              <w:rPr>
                <w:rFonts w:hint="eastAsia" w:ascii="宋体" w:hAnsi="宋体" w:cs="仿宋"/>
                <w:bCs/>
                <w:sz w:val="24"/>
              </w:rPr>
              <w:t>纯电动</w:t>
            </w:r>
            <w:r>
              <w:rPr>
                <w:rFonts w:hint="eastAsia" w:ascii="宋体" w:hAnsi="宋体" w:cs="仿宋"/>
                <w:bCs/>
                <w:spacing w:val="-8"/>
                <w:sz w:val="24"/>
              </w:rPr>
              <w:t>、</w:t>
            </w:r>
            <w:r>
              <w:rPr>
                <w:rFonts w:hint="eastAsia" w:ascii="宋体" w:hAnsi="宋体" w:cs="仿宋"/>
                <w:bCs/>
                <w:sz w:val="24"/>
              </w:rPr>
              <w:t>电动空调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 xml:space="preserve">一．主要技术参数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1．尺寸参数（mm）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长 (mm)</w:t>
            </w:r>
          </w:p>
        </w:tc>
        <w:tc>
          <w:tcPr>
            <w:tcW w:w="7135" w:type="dxa"/>
            <w:vAlign w:val="center"/>
          </w:tcPr>
          <w:p>
            <w:pPr>
              <w:adjustRightInd w:val="0"/>
              <w:snapToGrid w:val="0"/>
              <w:spacing w:line="360" w:lineRule="exact"/>
              <w:jc w:val="center"/>
              <w:rPr>
                <w:rFonts w:ascii="宋体" w:hAnsi="宋体" w:cs="仿宋"/>
                <w:bCs/>
                <w:sz w:val="24"/>
              </w:rPr>
            </w:pPr>
            <w:r>
              <w:rPr>
                <w:rFonts w:hint="eastAsia" w:ascii="宋体" w:hAnsi="宋体" w:cs="仿宋"/>
                <w:bCs/>
                <w:sz w:val="24"/>
              </w:rPr>
              <w:t>5800mm（含本数）--5999mm（含本数）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宽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 xml:space="preserve"> ≥2100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高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≥2800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jc w:val="left"/>
              <w:rPr>
                <w:rFonts w:ascii="宋体" w:hAnsi="宋体" w:cs="仿宋"/>
                <w:b/>
                <w:bCs/>
                <w:sz w:val="24"/>
              </w:rPr>
            </w:pPr>
            <w:r>
              <w:rPr>
                <w:rFonts w:hint="eastAsia" w:ascii="宋体" w:hAnsi="宋体" w:cs="仿宋"/>
                <w:b/>
                <w:bCs/>
                <w:sz w:val="24"/>
              </w:rPr>
              <w:t>2．载客数人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最大载客数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≤19人（以投标车型工信部公告目录为准）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最大座位数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按投标车型工信部公告目录为准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3．性  能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出厂最高车速    km/h</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最大爬度    ％</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最大制动距离（满载30km/h初速）m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驻坡能力</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整车应可靠地在15%坡道上停稳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61" w:type="dxa"/>
            <w:vAlign w:val="center"/>
          </w:tcPr>
          <w:p>
            <w:pPr>
              <w:jc w:val="left"/>
              <w:rPr>
                <w:rFonts w:ascii="宋体" w:hAnsi="宋体" w:cs="仿宋"/>
                <w:sz w:val="24"/>
              </w:rPr>
            </w:pPr>
            <w:r>
              <w:rPr>
                <w:rFonts w:hint="eastAsia" w:ascii="宋体" w:hAnsi="宋体" w:cs="仿宋"/>
                <w:sz w:val="24"/>
              </w:rPr>
              <w:t>一级踏步离地高度(mm)</w:t>
            </w:r>
          </w:p>
        </w:tc>
        <w:tc>
          <w:tcPr>
            <w:tcW w:w="7135" w:type="dxa"/>
            <w:vAlign w:val="center"/>
          </w:tcPr>
          <w:p>
            <w:pPr>
              <w:ind w:firstLine="105"/>
              <w:jc w:val="center"/>
              <w:rPr>
                <w:rFonts w:ascii="宋体" w:hAnsi="宋体" w:cs="仿宋"/>
                <w:sz w:val="24"/>
              </w:rPr>
            </w:pPr>
            <w:r>
              <w:rPr>
                <w:rFonts w:hint="eastAsia" w:ascii="宋体" w:hAnsi="宋体" w:cs="仿宋"/>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jc w:val="left"/>
              <w:rPr>
                <w:rFonts w:ascii="宋体" w:hAnsi="宋体" w:cs="仿宋"/>
                <w:sz w:val="24"/>
              </w:rPr>
            </w:pPr>
            <w:r>
              <w:rPr>
                <w:rFonts w:hint="eastAsia" w:ascii="宋体" w:hAnsi="宋体" w:cs="仿宋"/>
                <w:sz w:val="24"/>
              </w:rPr>
              <w:t>整车安全涉水深度（mm)</w:t>
            </w:r>
          </w:p>
        </w:tc>
        <w:tc>
          <w:tcPr>
            <w:tcW w:w="7135" w:type="dxa"/>
            <w:vAlign w:val="center"/>
          </w:tcPr>
          <w:p>
            <w:pPr>
              <w:jc w:val="center"/>
              <w:rPr>
                <w:rFonts w:ascii="宋体" w:hAnsi="宋体" w:cs="仿宋"/>
                <w:sz w:val="24"/>
              </w:rPr>
            </w:pPr>
            <w:r>
              <w:rPr>
                <w:rFonts w:hint="eastAsia" w:ascii="宋体" w:hAnsi="宋体" w:cs="仿宋"/>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二、主要总成和系统的结构特征与参数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1.三电系统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bCs/>
                <w:sz w:val="24"/>
              </w:rPr>
              <w:t>▲</w:t>
            </w:r>
            <w:r>
              <w:rPr>
                <w:rFonts w:hint="eastAsia" w:ascii="宋体" w:hAnsi="宋体" w:cs="仿宋"/>
                <w:sz w:val="24"/>
              </w:rPr>
              <w:t>动力电池</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1.提供投标车型的电池容量。以投标车型《新能源汽车推广应用推荐车型目录》技术参数数据为准。</w:t>
            </w:r>
          </w:p>
          <w:p>
            <w:pPr>
              <w:adjustRightInd w:val="0"/>
              <w:snapToGrid w:val="0"/>
              <w:spacing w:line="320" w:lineRule="exact"/>
              <w:jc w:val="left"/>
              <w:rPr>
                <w:rFonts w:ascii="宋体" w:hAnsi="宋体" w:cs="仿宋"/>
                <w:sz w:val="24"/>
              </w:rPr>
            </w:pPr>
            <w:r>
              <w:rPr>
                <w:rFonts w:hint="eastAsia" w:ascii="宋体" w:hAnsi="宋体" w:cs="仿宋"/>
                <w:sz w:val="24"/>
              </w:rPr>
              <w:t>2.采用磷酸铁锂电极材料的行业知名品牌。</w:t>
            </w:r>
          </w:p>
          <w:p>
            <w:pPr>
              <w:adjustRightInd w:val="0"/>
              <w:snapToGrid w:val="0"/>
              <w:spacing w:line="320" w:lineRule="exact"/>
              <w:jc w:val="left"/>
              <w:rPr>
                <w:rFonts w:ascii="宋体" w:hAnsi="宋体" w:cs="仿宋"/>
                <w:sz w:val="24"/>
              </w:rPr>
            </w:pPr>
            <w:r>
              <w:rPr>
                <w:rFonts w:hint="eastAsia" w:ascii="宋体" w:hAnsi="宋体" w:cs="仿宋"/>
                <w:sz w:val="24"/>
              </w:rPr>
              <w:t>3.电池冷却采用液冷模式。</w:t>
            </w:r>
          </w:p>
          <w:p>
            <w:pPr>
              <w:adjustRightInd w:val="0"/>
              <w:snapToGrid w:val="0"/>
              <w:spacing w:line="320" w:lineRule="exact"/>
              <w:jc w:val="left"/>
              <w:rPr>
                <w:rFonts w:ascii="宋体" w:hAnsi="宋体" w:cs="仿宋"/>
                <w:sz w:val="24"/>
              </w:rPr>
            </w:pPr>
            <w:r>
              <w:rPr>
                <w:rFonts w:hint="eastAsia" w:ascii="宋体" w:hAnsi="宋体" w:cs="仿宋"/>
                <w:sz w:val="24"/>
              </w:rPr>
              <w:t>4.动力电池电芯和电池PACK为同一品牌产品。</w:t>
            </w:r>
          </w:p>
          <w:p>
            <w:pPr>
              <w:adjustRightInd w:val="0"/>
              <w:snapToGrid w:val="0"/>
              <w:spacing w:line="320" w:lineRule="exact"/>
              <w:jc w:val="left"/>
              <w:rPr>
                <w:rFonts w:ascii="宋体" w:hAnsi="宋体" w:cs="仿宋"/>
                <w:sz w:val="24"/>
              </w:rPr>
            </w:pPr>
            <w:r>
              <w:rPr>
                <w:rFonts w:hint="eastAsia" w:ascii="宋体" w:hAnsi="宋体" w:cs="仿宋"/>
                <w:sz w:val="24"/>
              </w:rPr>
              <w:t>5.采用直流充电模式，符合国家相关规定，与采购人现有充电桩对接，充电自动识别车辆功能。</w:t>
            </w:r>
          </w:p>
          <w:p>
            <w:pPr>
              <w:adjustRightInd w:val="0"/>
              <w:snapToGrid w:val="0"/>
              <w:spacing w:line="320" w:lineRule="exact"/>
              <w:ind w:left="240" w:hanging="240" w:hangingChars="100"/>
              <w:jc w:val="left"/>
              <w:rPr>
                <w:rFonts w:ascii="宋体" w:hAnsi="宋体" w:cs="仿宋"/>
                <w:sz w:val="24"/>
              </w:rPr>
            </w:pPr>
            <w:r>
              <w:rPr>
                <w:rFonts w:hint="eastAsia" w:ascii="宋体" w:hAnsi="宋体" w:cs="仿宋"/>
                <w:sz w:val="24"/>
              </w:rPr>
              <w:t>6.符合国家安全性，并</w:t>
            </w:r>
            <w:r>
              <w:rPr>
                <w:rFonts w:hint="eastAsia" w:ascii="宋体" w:hAnsi="宋体" w:cs="仿宋"/>
                <w:b/>
                <w:bCs/>
                <w:sz w:val="24"/>
              </w:rPr>
              <w:t>在投标文件中提供试验检测合格报告，符合相关标准和规范</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7.整个电池系统及每组电池箱安装快断器，并设有故障报警装置。安装防撞保护装置，保护电池不因挤压发变形影响安全。</w:t>
            </w:r>
          </w:p>
          <w:p>
            <w:pPr>
              <w:adjustRightInd w:val="0"/>
              <w:snapToGrid w:val="0"/>
              <w:spacing w:line="320" w:lineRule="exact"/>
              <w:jc w:val="left"/>
              <w:rPr>
                <w:rFonts w:ascii="宋体" w:hAnsi="宋体" w:cs="仿宋"/>
                <w:sz w:val="24"/>
              </w:rPr>
            </w:pPr>
            <w:r>
              <w:rPr>
                <w:rFonts w:hint="eastAsia" w:ascii="宋体" w:hAnsi="宋体" w:cs="仿宋"/>
                <w:sz w:val="24"/>
              </w:rPr>
              <w:t>8.电池具备持续充电≥1C能力动力电池温度特性好，动力电池箱设置有效的散热机制，满足气温温度在-20℃～50℃之间及雨水多的天气使用环境要求。</w:t>
            </w:r>
          </w:p>
          <w:p>
            <w:pPr>
              <w:adjustRightInd w:val="0"/>
              <w:snapToGrid w:val="0"/>
              <w:spacing w:line="320" w:lineRule="exact"/>
              <w:jc w:val="left"/>
              <w:rPr>
                <w:rFonts w:ascii="宋体" w:hAnsi="宋体" w:cs="仿宋"/>
                <w:sz w:val="24"/>
              </w:rPr>
            </w:pPr>
            <w:r>
              <w:rPr>
                <w:rFonts w:hint="eastAsia" w:ascii="宋体" w:hAnsi="宋体" w:cs="仿宋"/>
                <w:sz w:val="24"/>
              </w:rPr>
              <w:t>9.采用新型电池系统均衡供电回路，依托电池系统唤醒功能，实现上电状态和停车下状态均可进行均衡，通过智能均衡策略在电池需要均衡且条件满足时，BMS自动执行均衡，每次均衡时间由BMS根据实际需求确定。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261" w:type="dxa"/>
            <w:vAlign w:val="center"/>
          </w:tcPr>
          <w:p>
            <w:pPr>
              <w:jc w:val="center"/>
              <w:rPr>
                <w:rFonts w:ascii="宋体" w:hAnsi="宋体" w:cs="仿宋"/>
                <w:sz w:val="24"/>
              </w:rPr>
            </w:pPr>
            <w:r>
              <w:rPr>
                <w:rFonts w:hint="eastAsia" w:ascii="宋体" w:hAnsi="宋体" w:cs="仿宋"/>
                <w:sz w:val="24"/>
              </w:rPr>
              <w:t>电池总容量及续航里程</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整车电池总容量≥140kwh，满足招标方公交线路运行需求，在预留20%的电池安全电量后，在台州地区综合路况的情况下，空调开启制冷模式、车辆满载情况下实际续航里程≥220km。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电池布置形式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电池合理布置，做好车辆重量重心的均衡分布；与整车隔离，绝缘、防火隔热设计，多重熔断保护，整车高压分级预警系统，高压快断装置。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w:t>
            </w:r>
            <w:r>
              <w:rPr>
                <w:rFonts w:hint="eastAsia" w:ascii="宋体" w:hAnsi="宋体" w:cs="仿宋"/>
                <w:sz w:val="24"/>
              </w:rPr>
              <w:t>电池系统能量密度</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投标车型的电池系统能量密度≥159wh/kg（投标方以投标车型《新能源汽车推广应用推荐车型目录》技术参数数据为准，</w:t>
            </w:r>
            <w:r>
              <w:rPr>
                <w:rFonts w:hint="eastAsia" w:ascii="宋体" w:hAnsi="宋体" w:cs="仿宋"/>
                <w:b/>
                <w:sz w:val="24"/>
              </w:rPr>
              <w:t>并在投标文件中</w:t>
            </w:r>
            <w:r>
              <w:rPr>
                <w:rFonts w:hint="eastAsia" w:ascii="宋体" w:hAnsi="宋体" w:cs="仿宋"/>
                <w:b/>
                <w:bCs/>
                <w:sz w:val="24"/>
              </w:rPr>
              <w:t>提供目录</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能量衰减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1.在质保期内投标人应委托电池原厂执行专业规范的电池定期维保服务，包括但不限于安全检查及性能检测、电池均衡保养等，并对有问题的电池进行临时检测，8年或60万公里内电池容量衰减超过20%，则须无条件免费更换原品牌新电池</w:t>
            </w:r>
            <w:r>
              <w:rPr>
                <w:rFonts w:hint="eastAsia" w:ascii="宋体" w:hAnsi="宋体" w:cs="仿宋"/>
                <w:bCs/>
                <w:sz w:val="24"/>
              </w:rPr>
              <w:t>（</w:t>
            </w:r>
            <w:r>
              <w:rPr>
                <w:rFonts w:hint="eastAsia" w:ascii="宋体" w:hAnsi="宋体" w:cs="仿宋"/>
                <w:b/>
                <w:sz w:val="24"/>
              </w:rPr>
              <w:t>由配套产品厂家和车辆制造厂家在标书内共同书面承诺，产生费用由中标方负责</w:t>
            </w:r>
            <w:r>
              <w:rPr>
                <w:rFonts w:hint="eastAsia" w:ascii="宋体" w:hAnsi="宋体" w:cs="仿宋"/>
                <w:bCs/>
                <w:sz w:val="24"/>
              </w:rPr>
              <w:t>）。</w:t>
            </w:r>
          </w:p>
          <w:p>
            <w:pPr>
              <w:adjustRightInd w:val="0"/>
              <w:snapToGrid w:val="0"/>
              <w:spacing w:line="320" w:lineRule="exact"/>
              <w:jc w:val="left"/>
              <w:rPr>
                <w:rFonts w:ascii="宋体" w:hAnsi="宋体" w:cs="仿宋"/>
                <w:sz w:val="24"/>
              </w:rPr>
            </w:pPr>
            <w:r>
              <w:rPr>
                <w:rFonts w:hint="eastAsia" w:ascii="宋体" w:hAnsi="宋体" w:cs="仿宋"/>
                <w:sz w:val="24"/>
              </w:rPr>
              <w:t>2.电池、充放电系统和充电插座总成等免费质保8年（含工时、易损、易耗件）。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动力电池回收模式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人和动力电池厂家必须根据国家相关政策和环保法规对维修更换和车辆报废动力电池（含维修等所有费用）进行免费环保回收处理（如车辆报废时有专门要求的除外），采购人根据车辆使用报废情况通知投标人，投标人应当在接到通知30日内回收处理并提供环保处理证明。采购人保留动力电池的最终处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控制系统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1.高压电控系统（包括但不限于高压配电柜、DC/DC、电动助力转向控制器、驱动电机控制器、空压机控制器）均采用优质控制器，质保8年（含工时、易损、易耗件）。</w:t>
            </w:r>
          </w:p>
          <w:p>
            <w:pPr>
              <w:adjustRightInd w:val="0"/>
              <w:snapToGrid w:val="0"/>
              <w:spacing w:line="320" w:lineRule="exact"/>
              <w:jc w:val="left"/>
              <w:rPr>
                <w:rFonts w:ascii="宋体" w:hAnsi="宋体" w:cs="仿宋"/>
                <w:sz w:val="24"/>
              </w:rPr>
            </w:pPr>
            <w:r>
              <w:rPr>
                <w:rFonts w:hint="eastAsia" w:ascii="宋体" w:hAnsi="宋体" w:cs="仿宋"/>
                <w:sz w:val="24"/>
              </w:rPr>
              <w:t>2.提供投标车型的控制系统详细资料。电池管理系统（BMS）可以监控每个单体的电压、电流，并有采用均衡技术，满足各种极端工况要求。采用集成式控制器。</w:t>
            </w:r>
          </w:p>
          <w:p>
            <w:pPr>
              <w:adjustRightInd w:val="0"/>
              <w:snapToGrid w:val="0"/>
              <w:spacing w:line="320" w:lineRule="exact"/>
              <w:jc w:val="left"/>
              <w:rPr>
                <w:rFonts w:ascii="宋体" w:hAnsi="宋体" w:cs="仿宋"/>
                <w:sz w:val="24"/>
              </w:rPr>
            </w:pPr>
            <w:r>
              <w:rPr>
                <w:rFonts w:hint="eastAsia" w:ascii="宋体" w:hAnsi="宋体" w:cs="仿宋"/>
                <w:sz w:val="24"/>
              </w:rPr>
              <w:t>3.高压配电箱采用集中配电方式，具有多路保护电路，内置高压接触器、高压熔断器、绝缘检测板等；须匹配MSD开关，保证维护安全；须具有高压互锁功能，保证端子松动时，能够断开高压；须内置预充电路；须内置绝缘检测电路，具有漏电保护功能；须具有充电保护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整车电气安全性</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高压电缆，采用耐高温的辐照阻燃耐高压电动车辆专用电缆，具有屏蔽层，耐压≥700V。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adjustRightInd w:val="0"/>
              <w:snapToGrid w:val="0"/>
              <w:spacing w:line="320" w:lineRule="exact"/>
              <w:ind w:right="113"/>
              <w:jc w:val="center"/>
              <w:rPr>
                <w:rFonts w:ascii="宋体" w:hAnsi="宋体" w:cs="仿宋"/>
                <w:b/>
                <w:bCs/>
                <w:sz w:val="24"/>
              </w:rPr>
            </w:pPr>
            <w:r>
              <w:rPr>
                <w:rFonts w:hint="eastAsia" w:ascii="宋体" w:hAnsi="宋体" w:cs="仿宋"/>
                <w:sz w:val="24"/>
              </w:rPr>
              <w:t>驱动电机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1.采用水冷永磁同步电机，额定功率≥60KW</w:t>
            </w:r>
            <w:r>
              <w:rPr>
                <w:rFonts w:hint="eastAsia" w:ascii="宋体" w:hAnsi="宋体" w:cs="仿宋"/>
                <w:b/>
                <w:sz w:val="24"/>
              </w:rPr>
              <w:t>（在投标文件中提供厂家</w:t>
            </w:r>
            <w:r>
              <w:rPr>
                <w:rFonts w:hint="eastAsia" w:ascii="宋体" w:hAnsi="宋体" w:cs="仿宋"/>
                <w:b/>
                <w:bCs/>
                <w:sz w:val="24"/>
              </w:rPr>
              <w:t>车辆公告页</w:t>
            </w:r>
            <w:r>
              <w:rPr>
                <w:rFonts w:hint="eastAsia" w:ascii="宋体" w:hAnsi="宋体" w:cs="仿宋"/>
                <w:b/>
                <w:sz w:val="24"/>
              </w:rPr>
              <w:t>）</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2. 电机直驱，无级变速，驱动电机具备缓速功能，同时具有能量回收功能。</w:t>
            </w:r>
          </w:p>
          <w:p>
            <w:pPr>
              <w:adjustRightInd w:val="0"/>
              <w:snapToGrid w:val="0"/>
              <w:spacing w:line="320" w:lineRule="exact"/>
              <w:jc w:val="left"/>
              <w:rPr>
                <w:rFonts w:ascii="宋体" w:hAnsi="宋体" w:cs="仿宋"/>
                <w:sz w:val="24"/>
              </w:rPr>
            </w:pPr>
            <w:r>
              <w:rPr>
                <w:rFonts w:hint="eastAsia" w:ascii="宋体" w:hAnsi="宋体" w:cs="仿宋"/>
                <w:sz w:val="24"/>
              </w:rPr>
              <w:t>3.电机防护等级：IP67或以上防护等级。</w:t>
            </w:r>
          </w:p>
          <w:p>
            <w:pPr>
              <w:adjustRightInd w:val="0"/>
              <w:snapToGrid w:val="0"/>
              <w:spacing w:line="320" w:lineRule="exact"/>
              <w:jc w:val="left"/>
              <w:rPr>
                <w:rFonts w:ascii="宋体" w:hAnsi="宋体" w:cs="仿宋"/>
                <w:sz w:val="24"/>
              </w:rPr>
            </w:pPr>
            <w:r>
              <w:rPr>
                <w:rFonts w:hint="eastAsia" w:ascii="宋体" w:hAnsi="宋体" w:cs="仿宋"/>
                <w:sz w:val="24"/>
              </w:rPr>
              <w:t>4.电机冷却系统采用电子智能冷却控制系统。</w:t>
            </w:r>
          </w:p>
          <w:p>
            <w:pPr>
              <w:adjustRightInd w:val="0"/>
              <w:snapToGrid w:val="0"/>
              <w:spacing w:line="320" w:lineRule="exact"/>
              <w:jc w:val="left"/>
              <w:rPr>
                <w:rFonts w:ascii="宋体" w:hAnsi="宋体" w:cs="仿宋"/>
                <w:sz w:val="24"/>
              </w:rPr>
            </w:pPr>
            <w:r>
              <w:rPr>
                <w:rFonts w:hint="eastAsia" w:ascii="宋体" w:hAnsi="宋体" w:cs="仿宋"/>
                <w:sz w:val="24"/>
              </w:rPr>
              <w:t>5.免费质保8年（含工时及易损、易耗件）。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2.小三电系统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sz w:val="24"/>
              </w:rPr>
              <w:t>冷却系统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1.配纯电动专用ATS智能冷却系统，采用进口无刷电机、风扇，CAN总线读取ECU等相关车辆信息，带系统应急启动插头，铜质或铝质散热器。</w:t>
            </w:r>
          </w:p>
          <w:p>
            <w:pPr>
              <w:adjustRightInd w:val="0"/>
              <w:snapToGrid w:val="0"/>
              <w:spacing w:line="320" w:lineRule="exact"/>
              <w:jc w:val="left"/>
              <w:rPr>
                <w:rFonts w:ascii="宋体" w:hAnsi="宋体" w:cs="仿宋"/>
                <w:sz w:val="24"/>
              </w:rPr>
            </w:pPr>
            <w:r>
              <w:rPr>
                <w:rFonts w:hint="eastAsia" w:ascii="宋体" w:hAnsi="宋体" w:cs="仿宋"/>
                <w:sz w:val="24"/>
              </w:rPr>
              <w:t>2.采用电子水泵，功率满足车辆使用。</w:t>
            </w:r>
          </w:p>
          <w:p>
            <w:pPr>
              <w:adjustRightInd w:val="0"/>
              <w:snapToGrid w:val="0"/>
              <w:spacing w:line="320" w:lineRule="exact"/>
              <w:jc w:val="left"/>
              <w:rPr>
                <w:rFonts w:ascii="宋体" w:hAnsi="宋体" w:cs="仿宋"/>
                <w:sz w:val="24"/>
              </w:rPr>
            </w:pPr>
            <w:r>
              <w:rPr>
                <w:rFonts w:hint="eastAsia" w:ascii="宋体" w:hAnsi="宋体" w:cs="仿宋"/>
                <w:sz w:val="24"/>
              </w:rPr>
              <w:t>3.免费质保8年（含工时及易损、易耗件）。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1" w:type="dxa"/>
            <w:vAlign w:val="center"/>
          </w:tcPr>
          <w:p>
            <w:pPr>
              <w:jc w:val="center"/>
              <w:rPr>
                <w:rFonts w:ascii="宋体" w:hAnsi="宋体" w:cs="仿宋"/>
                <w:sz w:val="24"/>
              </w:rPr>
            </w:pPr>
            <w:r>
              <w:rPr>
                <w:rFonts w:hint="eastAsia" w:ascii="宋体" w:hAnsi="宋体" w:cs="仿宋"/>
                <w:bCs/>
                <w:sz w:val="24"/>
              </w:rPr>
              <w:t>电驱空气压缩机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1.无油活塞式空压机、轻量、环保静音。</w:t>
            </w:r>
          </w:p>
          <w:p>
            <w:pPr>
              <w:adjustRightInd w:val="0"/>
              <w:snapToGrid w:val="0"/>
              <w:spacing w:line="320" w:lineRule="exact"/>
              <w:jc w:val="left"/>
              <w:rPr>
                <w:rFonts w:ascii="宋体" w:hAnsi="宋体" w:cs="仿宋"/>
                <w:sz w:val="24"/>
              </w:rPr>
            </w:pPr>
            <w:r>
              <w:rPr>
                <w:rFonts w:hint="eastAsia" w:ascii="宋体" w:hAnsi="宋体" w:cs="仿宋"/>
                <w:sz w:val="24"/>
              </w:rPr>
              <w:t>2.采用板簧悬架的，要求空压机额定功率≥1.8KW，采用空气悬架的，要求空压机额定功率≥2.2KW，满足车辆需求。</w:t>
            </w:r>
          </w:p>
          <w:p>
            <w:pPr>
              <w:adjustRightInd w:val="0"/>
              <w:snapToGrid w:val="0"/>
              <w:spacing w:line="320" w:lineRule="exact"/>
              <w:jc w:val="left"/>
              <w:rPr>
                <w:rFonts w:ascii="宋体" w:hAnsi="宋体" w:cs="仿宋"/>
                <w:sz w:val="24"/>
              </w:rPr>
            </w:pPr>
            <w:r>
              <w:rPr>
                <w:rFonts w:hint="eastAsia" w:ascii="宋体" w:hAnsi="宋体" w:cs="仿宋"/>
                <w:sz w:val="24"/>
              </w:rPr>
              <w:t>3.IP68防护等级认证， EMC电磁干扰认证。</w:t>
            </w:r>
          </w:p>
          <w:p>
            <w:pPr>
              <w:adjustRightInd w:val="0"/>
              <w:snapToGrid w:val="0"/>
              <w:spacing w:line="320" w:lineRule="exact"/>
              <w:jc w:val="left"/>
              <w:rPr>
                <w:rFonts w:ascii="宋体" w:hAnsi="宋体" w:cs="仿宋"/>
                <w:sz w:val="24"/>
              </w:rPr>
            </w:pPr>
            <w:r>
              <w:rPr>
                <w:rFonts w:hint="eastAsia" w:ascii="宋体" w:hAnsi="宋体" w:cs="仿宋"/>
                <w:sz w:val="24"/>
              </w:rPr>
              <w:t>4.免费质保8年（含保养及维修工时、易损、易耗件、空气滤芯等）。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jc w:val="center"/>
              <w:rPr>
                <w:rFonts w:ascii="宋体" w:hAnsi="宋体" w:cs="仿宋"/>
                <w:bCs/>
                <w:sz w:val="24"/>
              </w:rPr>
            </w:pPr>
            <w:r>
              <w:rPr>
                <w:rFonts w:hint="eastAsia" w:ascii="宋体" w:hAnsi="宋体" w:cs="仿宋"/>
                <w:bCs/>
                <w:sz w:val="24"/>
              </w:rPr>
              <w:t>应急保障</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1.确保动力电池发生突发故障时，蓄电池能够应急供电不小于30秒，具备CAN诊断故障功能（包括电动转向电机、液压油泵、控制器）。</w:t>
            </w:r>
          </w:p>
          <w:p>
            <w:pPr>
              <w:adjustRightInd w:val="0"/>
              <w:snapToGrid w:val="0"/>
              <w:spacing w:line="320" w:lineRule="exact"/>
              <w:jc w:val="left"/>
              <w:rPr>
                <w:rFonts w:ascii="宋体" w:hAnsi="宋体" w:cs="仿宋"/>
                <w:sz w:val="24"/>
              </w:rPr>
            </w:pPr>
            <w:r>
              <w:rPr>
                <w:rFonts w:hint="eastAsia" w:ascii="宋体" w:hAnsi="宋体" w:cs="仿宋"/>
                <w:sz w:val="24"/>
              </w:rPr>
              <w:t>2.车辆操作时杜绝系统发生与操作不符导致车辆失控情况，突发高压掉断电时仍可确保转向操作轻便，同时提供紧急报警及应急操作提示，不得出现突发断电致使方向失控或锁死现象。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b/>
                <w:sz w:val="24"/>
              </w:rPr>
            </w:pPr>
            <w:r>
              <w:rPr>
                <w:rFonts w:hint="eastAsia" w:ascii="宋体" w:hAnsi="宋体" w:cs="仿宋"/>
                <w:b/>
                <w:sz w:val="24"/>
              </w:rPr>
              <w:t>3.底盘系统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转向系统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1.采用双源电动液压助力转向系统。</w:t>
            </w:r>
          </w:p>
          <w:p>
            <w:pPr>
              <w:adjustRightInd w:val="0"/>
              <w:snapToGrid w:val="0"/>
              <w:spacing w:line="320" w:lineRule="exact"/>
              <w:jc w:val="left"/>
              <w:rPr>
                <w:rFonts w:ascii="宋体" w:hAnsi="宋体" w:cs="仿宋"/>
                <w:b/>
                <w:bCs/>
                <w:sz w:val="24"/>
              </w:rPr>
            </w:pPr>
            <w:r>
              <w:rPr>
                <w:rFonts w:hint="eastAsia" w:ascii="宋体" w:hAnsi="宋体" w:cs="仿宋"/>
                <w:snapToGrid w:val="0"/>
                <w:kern w:val="0"/>
                <w:sz w:val="24"/>
              </w:rPr>
              <w:t>2.方向机、</w:t>
            </w:r>
            <w:r>
              <w:rPr>
                <w:rFonts w:hint="eastAsia" w:ascii="宋体" w:hAnsi="宋体" w:cs="仿宋"/>
                <w:sz w:val="24"/>
              </w:rPr>
              <w:t>双源电动液压转向助力泵</w:t>
            </w:r>
            <w:r>
              <w:rPr>
                <w:rFonts w:hint="eastAsia" w:ascii="宋体" w:hAnsi="宋体" w:cs="仿宋"/>
                <w:snapToGrid w:val="0"/>
                <w:kern w:val="0"/>
                <w:sz w:val="24"/>
              </w:rPr>
              <w:t>质保8年（含工时及易损、易耗件）</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jc w:val="center"/>
              <w:rPr>
                <w:rFonts w:ascii="宋体" w:hAnsi="宋体" w:cs="仿宋"/>
                <w:sz w:val="24"/>
              </w:rPr>
            </w:pPr>
            <w:r>
              <w:rPr>
                <w:rFonts w:hint="eastAsia" w:ascii="宋体" w:hAnsi="宋体" w:cs="仿宋"/>
                <w:bCs/>
                <w:sz w:val="24"/>
              </w:rPr>
              <w:t>车桥</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1.前桥额定载荷≥3T；盘式制动器；免维护专用车桥，车桥必须与免维护轮毂总成相匹配，便于制动盘、制动蹄铁总成的拆卸和安装。</w:t>
            </w:r>
          </w:p>
          <w:p>
            <w:pPr>
              <w:adjustRightInd w:val="0"/>
              <w:snapToGrid w:val="0"/>
              <w:spacing w:line="320" w:lineRule="exact"/>
              <w:jc w:val="left"/>
              <w:rPr>
                <w:rFonts w:ascii="宋体" w:hAnsi="宋体" w:cs="仿宋"/>
                <w:sz w:val="24"/>
              </w:rPr>
            </w:pPr>
            <w:r>
              <w:rPr>
                <w:rFonts w:hint="eastAsia" w:ascii="宋体" w:hAnsi="宋体" w:cs="仿宋"/>
                <w:sz w:val="24"/>
              </w:rPr>
              <w:t>2.立轴、转向臂、转向节、摇臂等免费质保8年。</w:t>
            </w:r>
          </w:p>
          <w:p>
            <w:pPr>
              <w:adjustRightInd w:val="0"/>
              <w:snapToGrid w:val="0"/>
              <w:spacing w:line="320" w:lineRule="exact"/>
              <w:jc w:val="left"/>
              <w:rPr>
                <w:rFonts w:ascii="宋体" w:hAnsi="宋体" w:cs="仿宋"/>
                <w:sz w:val="24"/>
              </w:rPr>
            </w:pPr>
            <w:r>
              <w:rPr>
                <w:rFonts w:hint="eastAsia" w:ascii="宋体" w:hAnsi="宋体" w:cs="仿宋"/>
                <w:sz w:val="24"/>
              </w:rPr>
              <w:t>3.后桥额定载荷≥4.9T；新能源专用主减，盘式制动器，免维护专用车桥，车桥必须与免维护轮毂总成相匹配，便于制动盘、制动蹄铁的拆卸和安装。</w:t>
            </w:r>
          </w:p>
          <w:p>
            <w:pPr>
              <w:adjustRightInd w:val="0"/>
              <w:snapToGrid w:val="0"/>
              <w:spacing w:line="320" w:lineRule="exact"/>
              <w:jc w:val="left"/>
              <w:rPr>
                <w:rFonts w:ascii="宋体" w:hAnsi="宋体" w:cs="仿宋"/>
                <w:sz w:val="24"/>
              </w:rPr>
            </w:pPr>
            <w:r>
              <w:rPr>
                <w:rFonts w:hint="eastAsia" w:ascii="宋体" w:hAnsi="宋体" w:cs="仿宋"/>
                <w:sz w:val="24"/>
              </w:rPr>
              <w:t>5.主减器、半轴、桥壳、免维护轮毂总成免费质保8年（含易损件）。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制动系统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1.采用双管路气制动，应有干燥冷却功能，并能自动排气净化油水；制动总阀的制动灯应安装继电器保护开关；要求总泵安装位置拆卸方便。</w:t>
            </w:r>
          </w:p>
          <w:p>
            <w:pPr>
              <w:adjustRightInd w:val="0"/>
              <w:snapToGrid w:val="0"/>
              <w:spacing w:line="320" w:lineRule="exact"/>
              <w:jc w:val="left"/>
              <w:rPr>
                <w:rFonts w:ascii="宋体" w:hAnsi="宋体" w:cs="仿宋"/>
                <w:sz w:val="24"/>
              </w:rPr>
            </w:pPr>
            <w:r>
              <w:rPr>
                <w:rFonts w:hint="eastAsia" w:ascii="宋体" w:hAnsi="宋体" w:cs="仿宋"/>
                <w:sz w:val="24"/>
              </w:rPr>
              <w:t>2.各类阀类采用国内优质品牌，制动管路采用优质钢管或尼龙管。</w:t>
            </w:r>
          </w:p>
          <w:p>
            <w:pPr>
              <w:adjustRightInd w:val="0"/>
              <w:snapToGrid w:val="0"/>
              <w:spacing w:line="320" w:lineRule="exact"/>
              <w:jc w:val="left"/>
              <w:rPr>
                <w:rFonts w:ascii="宋体" w:hAnsi="宋体" w:cs="仿宋"/>
                <w:sz w:val="24"/>
              </w:rPr>
            </w:pPr>
            <w:r>
              <w:rPr>
                <w:rFonts w:hint="eastAsia" w:ascii="宋体" w:hAnsi="宋体" w:cs="仿宋"/>
                <w:sz w:val="24"/>
              </w:rPr>
              <w:t>3.带ABS或EBS防抱死制动系统。</w:t>
            </w:r>
          </w:p>
          <w:p>
            <w:pPr>
              <w:adjustRightInd w:val="0"/>
              <w:snapToGrid w:val="0"/>
              <w:spacing w:line="320" w:lineRule="exact"/>
              <w:jc w:val="left"/>
              <w:rPr>
                <w:rFonts w:ascii="宋体" w:hAnsi="宋体" w:cs="仿宋"/>
                <w:sz w:val="24"/>
              </w:rPr>
            </w:pPr>
            <w:r>
              <w:rPr>
                <w:rFonts w:hint="eastAsia" w:ascii="宋体" w:hAnsi="宋体" w:cs="仿宋"/>
                <w:sz w:val="24"/>
              </w:rPr>
              <w:t>4.制动器采用前后盘式制动。</w:t>
            </w:r>
          </w:p>
          <w:p>
            <w:pPr>
              <w:adjustRightInd w:val="0"/>
              <w:snapToGrid w:val="0"/>
              <w:spacing w:line="320" w:lineRule="exact"/>
              <w:jc w:val="left"/>
              <w:rPr>
                <w:rFonts w:ascii="宋体" w:hAnsi="宋体" w:cs="仿宋"/>
                <w:sz w:val="24"/>
              </w:rPr>
            </w:pPr>
            <w:r>
              <w:rPr>
                <w:rFonts w:hint="eastAsia" w:ascii="宋体" w:hAnsi="宋体" w:cs="仿宋"/>
                <w:sz w:val="24"/>
              </w:rPr>
              <w:t>5.空气干燥罐、储气罐安装自动排水阀。</w:t>
            </w:r>
          </w:p>
          <w:p>
            <w:pPr>
              <w:adjustRightInd w:val="0"/>
              <w:snapToGrid w:val="0"/>
              <w:spacing w:line="320" w:lineRule="exact"/>
              <w:jc w:val="left"/>
              <w:rPr>
                <w:rFonts w:ascii="宋体" w:hAnsi="宋体" w:cs="仿宋"/>
                <w:sz w:val="24"/>
              </w:rPr>
            </w:pPr>
            <w:r>
              <w:rPr>
                <w:rFonts w:hint="eastAsia" w:ascii="宋体" w:hAnsi="宋体" w:cs="仿宋"/>
                <w:sz w:val="24"/>
              </w:rPr>
              <w:t>6.集中润滑系统质保8年（含工时、易损件等）。</w:t>
            </w:r>
          </w:p>
          <w:p>
            <w:pPr>
              <w:adjustRightInd w:val="0"/>
              <w:snapToGrid w:val="0"/>
              <w:spacing w:line="320" w:lineRule="exact"/>
              <w:jc w:val="left"/>
              <w:rPr>
                <w:rFonts w:ascii="宋体" w:hAnsi="宋体" w:cs="仿宋"/>
                <w:sz w:val="24"/>
              </w:rPr>
            </w:pPr>
            <w:r>
              <w:rPr>
                <w:rFonts w:hint="eastAsia" w:ascii="宋体" w:hAnsi="宋体" w:cs="仿宋"/>
                <w:sz w:val="24"/>
              </w:rPr>
              <w:t>7.采用储能弹簧制动器，手控操纵。</w:t>
            </w:r>
          </w:p>
          <w:p>
            <w:pPr>
              <w:adjustRightInd w:val="0"/>
              <w:snapToGrid w:val="0"/>
              <w:spacing w:line="320" w:lineRule="exact"/>
              <w:jc w:val="left"/>
              <w:rPr>
                <w:rFonts w:ascii="宋体" w:hAnsi="宋体" w:cs="仿宋"/>
                <w:sz w:val="24"/>
              </w:rPr>
            </w:pPr>
            <w:r>
              <w:rPr>
                <w:rFonts w:hint="eastAsia" w:ascii="宋体" w:hAnsi="宋体" w:cs="仿宋"/>
                <w:sz w:val="24"/>
              </w:rPr>
              <w:t>8.车辆应有解除储能制动的外接气源快速接口，在车辆无气抛锚时，能方便接进气源，解除储能制动。</w:t>
            </w:r>
          </w:p>
          <w:p>
            <w:pPr>
              <w:adjustRightInd w:val="0"/>
              <w:snapToGrid w:val="0"/>
              <w:spacing w:line="320" w:lineRule="exact"/>
              <w:jc w:val="left"/>
              <w:rPr>
                <w:rFonts w:ascii="宋体" w:hAnsi="宋体" w:cs="仿宋"/>
                <w:sz w:val="24"/>
              </w:rPr>
            </w:pPr>
            <w:r>
              <w:rPr>
                <w:rFonts w:hint="eastAsia" w:ascii="宋体" w:hAnsi="宋体" w:cs="仿宋"/>
                <w:sz w:val="24"/>
              </w:rPr>
              <w:t>9.管路系统应进行保压试验，达到国家标准要求。</w:t>
            </w:r>
          </w:p>
          <w:p>
            <w:pPr>
              <w:adjustRightInd w:val="0"/>
              <w:snapToGrid w:val="0"/>
              <w:spacing w:line="320" w:lineRule="exact"/>
              <w:jc w:val="left"/>
              <w:rPr>
                <w:rFonts w:ascii="宋体" w:hAnsi="宋体" w:cs="仿宋"/>
                <w:sz w:val="24"/>
              </w:rPr>
            </w:pPr>
            <w:r>
              <w:rPr>
                <w:rFonts w:hint="eastAsia" w:ascii="宋体" w:hAnsi="宋体" w:cs="仿宋"/>
                <w:sz w:val="24"/>
              </w:rPr>
              <w:t>10.制动系低压报警灯、蜂鸣器集成于仪表，具备报警功能。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最大总质量、装备质量、载客量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投标车辆的最大总质量、整备质量、额定载客数等数据应与工业与信息化部发布的道路机动车辆生产企业及产品公告一致。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拖 车 钩</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拖车钩应坚固，保证拖车转弯时不碰擦外蒙皮，拖车钩的位置应满足在拖车时保持车辆左右转弯不损伤车体，方便托举和拖动。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悬 架</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悬架系统质保8年（含工时及易损、易耗件）。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轮胎、车轮</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1.公交专用子午线全钢真空胎。</w:t>
            </w:r>
          </w:p>
          <w:p>
            <w:pPr>
              <w:adjustRightInd w:val="0"/>
              <w:snapToGrid w:val="0"/>
              <w:spacing w:line="320" w:lineRule="exact"/>
              <w:jc w:val="left"/>
              <w:rPr>
                <w:rFonts w:ascii="宋体" w:hAnsi="宋体" w:cs="仿宋"/>
                <w:sz w:val="24"/>
              </w:rPr>
            </w:pPr>
            <w:r>
              <w:rPr>
                <w:rFonts w:hint="eastAsia" w:ascii="宋体" w:hAnsi="宋体" w:cs="仿宋"/>
                <w:sz w:val="24"/>
              </w:rPr>
              <w:t>2.轮胎数量要求前二后四。</w:t>
            </w:r>
          </w:p>
          <w:p>
            <w:pPr>
              <w:adjustRightInd w:val="0"/>
              <w:snapToGrid w:val="0"/>
              <w:spacing w:line="320" w:lineRule="exact"/>
              <w:jc w:val="left"/>
              <w:rPr>
                <w:rFonts w:ascii="宋体" w:hAnsi="宋体" w:cs="仿宋"/>
                <w:sz w:val="24"/>
              </w:rPr>
            </w:pPr>
            <w:r>
              <w:rPr>
                <w:rFonts w:hint="eastAsia" w:ascii="宋体" w:hAnsi="宋体" w:cs="仿宋"/>
                <w:sz w:val="24"/>
              </w:rPr>
              <w:t>3.铝合金轮辋（质保8年）。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车辆安全性</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1.要求具备驱动防滑功能，通过调节驱动车轮的牵引力实现对驱动车轮滑转的控制，保持最佳的驱动力。</w:t>
            </w:r>
          </w:p>
          <w:p>
            <w:pPr>
              <w:adjustRightInd w:val="0"/>
              <w:snapToGrid w:val="0"/>
              <w:spacing w:line="320" w:lineRule="exact"/>
              <w:rPr>
                <w:rFonts w:ascii="宋体" w:hAnsi="宋体" w:cs="仿宋"/>
                <w:sz w:val="24"/>
              </w:rPr>
            </w:pPr>
            <w:r>
              <w:rPr>
                <w:rFonts w:hint="eastAsia" w:ascii="宋体" w:hAnsi="宋体" w:cs="仿宋"/>
                <w:sz w:val="24"/>
              </w:rPr>
              <w:t>2.要求具备油门防误踩功能，通过判断油门踏板异常的速度和幅度，有效控制驱动力输出，提升行车安全性。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4.电气系统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电气线路设计安装要求</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整车电路设计符合车辆安全技术要求，所有电路应设置独立保护装置，空调线束和接插件必须使用进口优质线束及防水接插件，各连接线接头安装应确保防火阻燃性能达到国标A-OMM/Min，具体要求如下：</w:t>
            </w:r>
          </w:p>
          <w:p>
            <w:pPr>
              <w:adjustRightInd w:val="0"/>
              <w:snapToGrid w:val="0"/>
              <w:spacing w:line="320" w:lineRule="exact"/>
              <w:jc w:val="left"/>
              <w:rPr>
                <w:rFonts w:ascii="宋体" w:hAnsi="宋体" w:cs="仿宋"/>
                <w:sz w:val="24"/>
              </w:rPr>
            </w:pPr>
            <w:r>
              <w:rPr>
                <w:rFonts w:hint="eastAsia" w:ascii="宋体" w:hAnsi="宋体" w:cs="仿宋"/>
                <w:sz w:val="24"/>
              </w:rPr>
              <w:t>1.采用耐高温辐照阻燃电线（105</w:t>
            </w:r>
            <w:r>
              <w:rPr>
                <w:rFonts w:hint="eastAsia" w:ascii="宋体" w:hAnsi="宋体" w:cs="仿宋"/>
                <w:sz w:val="24"/>
                <w:vertAlign w:val="superscript"/>
              </w:rPr>
              <w:t>O</w:t>
            </w:r>
            <w:r>
              <w:rPr>
                <w:rFonts w:hint="eastAsia" w:ascii="宋体" w:hAnsi="宋体" w:cs="仿宋"/>
                <w:sz w:val="24"/>
              </w:rPr>
              <w:t>C以上）。导线允许的最大电流，要在根据用电设备计算出的最大电流基础上留有足够的安全系数。</w:t>
            </w:r>
          </w:p>
          <w:p>
            <w:pPr>
              <w:adjustRightInd w:val="0"/>
              <w:snapToGrid w:val="0"/>
              <w:spacing w:line="320" w:lineRule="exact"/>
              <w:jc w:val="left"/>
              <w:rPr>
                <w:rFonts w:ascii="宋体" w:hAnsi="宋体" w:cs="仿宋"/>
                <w:sz w:val="24"/>
              </w:rPr>
            </w:pPr>
            <w:r>
              <w:rPr>
                <w:rFonts w:hint="eastAsia" w:ascii="宋体" w:hAnsi="宋体" w:cs="仿宋"/>
                <w:sz w:val="24"/>
              </w:rPr>
              <w:t>2. 各用电器线路设有相应的保险保护系统电气线路走向合理。导线应分色，有线号。线束要捆扎牢靠并有绝缘防护套，打有套号。</w:t>
            </w:r>
          </w:p>
          <w:p>
            <w:pPr>
              <w:adjustRightInd w:val="0"/>
              <w:snapToGrid w:val="0"/>
              <w:spacing w:line="320" w:lineRule="exact"/>
              <w:jc w:val="left"/>
              <w:rPr>
                <w:rFonts w:ascii="宋体" w:hAnsi="宋体" w:cs="仿宋"/>
                <w:sz w:val="24"/>
              </w:rPr>
            </w:pPr>
            <w:r>
              <w:rPr>
                <w:rFonts w:hint="eastAsia" w:ascii="宋体" w:hAnsi="宋体" w:cs="仿宋"/>
                <w:sz w:val="24"/>
              </w:rPr>
              <w:t>3.线束通过梁、板孔时，应有绝缘防护圈，与其它物体固定时要用尼龙扎带，不允许线束与油、气、水管捆扎在一起。</w:t>
            </w:r>
          </w:p>
          <w:p>
            <w:pPr>
              <w:adjustRightInd w:val="0"/>
              <w:snapToGrid w:val="0"/>
              <w:spacing w:line="320" w:lineRule="exact"/>
              <w:jc w:val="left"/>
              <w:rPr>
                <w:rFonts w:ascii="宋体" w:hAnsi="宋体" w:cs="仿宋"/>
                <w:sz w:val="24"/>
              </w:rPr>
            </w:pPr>
            <w:r>
              <w:rPr>
                <w:rFonts w:hint="eastAsia" w:ascii="宋体" w:hAnsi="宋体" w:cs="仿宋"/>
                <w:sz w:val="24"/>
              </w:rPr>
              <w:t>4.采用优质防水型电器插接件，插接件连接可靠，要有防插错措施。</w:t>
            </w:r>
          </w:p>
          <w:p>
            <w:pPr>
              <w:adjustRightInd w:val="0"/>
              <w:snapToGrid w:val="0"/>
              <w:spacing w:line="320" w:lineRule="exact"/>
              <w:jc w:val="left"/>
              <w:rPr>
                <w:rFonts w:ascii="宋体" w:hAnsi="宋体" w:cs="仿宋"/>
                <w:sz w:val="24"/>
              </w:rPr>
            </w:pPr>
            <w:r>
              <w:rPr>
                <w:rFonts w:hint="eastAsia" w:ascii="宋体" w:hAnsi="宋体" w:cs="仿宋"/>
                <w:sz w:val="24"/>
              </w:rPr>
              <w:t>5.保险、开关、继电器、灯泡工作可靠，耐用，开关等表面件还应美观。</w:t>
            </w:r>
          </w:p>
          <w:p>
            <w:pPr>
              <w:adjustRightInd w:val="0"/>
              <w:snapToGrid w:val="0"/>
              <w:spacing w:line="320" w:lineRule="exact"/>
              <w:jc w:val="left"/>
              <w:rPr>
                <w:rFonts w:ascii="宋体" w:hAnsi="宋体" w:cs="仿宋"/>
                <w:sz w:val="24"/>
              </w:rPr>
            </w:pPr>
            <w:r>
              <w:rPr>
                <w:rFonts w:hint="eastAsia" w:ascii="宋体" w:hAnsi="宋体" w:cs="仿宋"/>
                <w:sz w:val="24"/>
              </w:rPr>
              <w:t>6.中控器应防尘防水，安装在车厢内。</w:t>
            </w:r>
          </w:p>
          <w:p>
            <w:pPr>
              <w:adjustRightInd w:val="0"/>
              <w:snapToGrid w:val="0"/>
              <w:spacing w:line="320" w:lineRule="exact"/>
              <w:jc w:val="left"/>
              <w:rPr>
                <w:rFonts w:ascii="宋体" w:hAnsi="宋体" w:cs="仿宋"/>
                <w:sz w:val="24"/>
              </w:rPr>
            </w:pPr>
            <w:r>
              <w:rPr>
                <w:rFonts w:hint="eastAsia" w:ascii="宋体" w:hAnsi="宋体" w:cs="仿宋"/>
                <w:sz w:val="24"/>
              </w:rPr>
              <w:t>7.靠近电瓶处安装便于驾驶员操作的总电源机械开关。</w:t>
            </w:r>
          </w:p>
          <w:p>
            <w:pPr>
              <w:adjustRightInd w:val="0"/>
              <w:snapToGrid w:val="0"/>
              <w:spacing w:line="320" w:lineRule="exact"/>
              <w:jc w:val="left"/>
              <w:rPr>
                <w:rFonts w:ascii="宋体" w:hAnsi="宋体" w:cs="仿宋"/>
                <w:sz w:val="24"/>
              </w:rPr>
            </w:pPr>
            <w:r>
              <w:rPr>
                <w:rFonts w:hint="eastAsia" w:ascii="宋体" w:hAnsi="宋体" w:cs="仿宋"/>
                <w:sz w:val="24"/>
              </w:rPr>
              <w:t>8.全车线束及中央电器控制盒、电瓶线，线芯、阻燃性能符合国家标准。</w:t>
            </w:r>
          </w:p>
          <w:p>
            <w:pPr>
              <w:adjustRightInd w:val="0"/>
              <w:snapToGrid w:val="0"/>
              <w:spacing w:line="320" w:lineRule="exact"/>
              <w:jc w:val="left"/>
              <w:rPr>
                <w:rFonts w:ascii="宋体" w:hAnsi="宋体" w:cs="仿宋"/>
                <w:sz w:val="24"/>
              </w:rPr>
            </w:pPr>
            <w:r>
              <w:rPr>
                <w:rFonts w:hint="eastAsia" w:ascii="宋体" w:hAnsi="宋体" w:cs="仿宋"/>
                <w:sz w:val="24"/>
              </w:rPr>
              <w:t>9.蓄电池采用免维护锂电池，加装大容量熔断器；蓄电池能方便更换，锁止可靠，安装合理，质保8年（含易损易耗件）。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前后大小灯</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美观大方，便于独立维护。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转向指示灯开关</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除在方向盘下的组合开关外，在仪表台上再设一套翘板开关，两套应能并用。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前风窗玻璃刮水器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1.两速及以上雨刮电机。</w:t>
            </w:r>
          </w:p>
          <w:p>
            <w:pPr>
              <w:adjustRightInd w:val="0"/>
              <w:snapToGrid w:val="0"/>
              <w:spacing w:line="320" w:lineRule="exact"/>
              <w:rPr>
                <w:rFonts w:ascii="宋体" w:hAnsi="宋体" w:cs="仿宋"/>
                <w:sz w:val="24"/>
              </w:rPr>
            </w:pPr>
            <w:r>
              <w:rPr>
                <w:rFonts w:hint="eastAsia" w:ascii="宋体" w:hAnsi="宋体" w:cs="仿宋"/>
                <w:sz w:val="24"/>
              </w:rPr>
              <w:t>2.刮臂和刮片长短与前风挡高度匹配良好，工作稳定可靠。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sz w:val="24"/>
              </w:rPr>
              <w:t>5.车身系统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承载要求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全承载，</w:t>
            </w:r>
            <w:r>
              <w:rPr>
                <w:rFonts w:hint="eastAsia" w:ascii="宋体" w:hAnsi="宋体" w:cs="仿宋"/>
                <w:b/>
                <w:bCs/>
                <w:sz w:val="24"/>
              </w:rPr>
              <w:t>在投标文件中提供工信部汽车产品技术参数页</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防腐要求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1.要求整车采用阴极电泳工艺或铝车身材质。</w:t>
            </w:r>
          </w:p>
          <w:p>
            <w:pPr>
              <w:adjustRightInd w:val="0"/>
              <w:snapToGrid w:val="0"/>
              <w:spacing w:line="320" w:lineRule="exact"/>
              <w:rPr>
                <w:rFonts w:ascii="宋体" w:hAnsi="宋体" w:cs="仿宋"/>
                <w:sz w:val="24"/>
              </w:rPr>
            </w:pPr>
            <w:r>
              <w:rPr>
                <w:rFonts w:hint="eastAsia" w:ascii="宋体" w:hAnsi="宋体" w:cs="仿宋"/>
                <w:sz w:val="24"/>
              </w:rPr>
              <w:t>2.整车蒙皮、骨架与地板等接合缝处采用聚氨酯密封胶进行密封防水防锈处理。</w:t>
            </w:r>
          </w:p>
          <w:p>
            <w:pPr>
              <w:adjustRightInd w:val="0"/>
              <w:snapToGrid w:val="0"/>
              <w:spacing w:line="320" w:lineRule="exact"/>
              <w:rPr>
                <w:rFonts w:ascii="宋体" w:hAnsi="宋体" w:cs="仿宋"/>
                <w:sz w:val="24"/>
              </w:rPr>
            </w:pPr>
            <w:r>
              <w:rPr>
                <w:rFonts w:hint="eastAsia" w:ascii="宋体" w:hAnsi="宋体" w:cs="仿宋"/>
                <w:sz w:val="24"/>
              </w:rPr>
              <w:t>3.整车防腐效果达到8年及以上。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车身舱门、前后轮拱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1.车身左右侧边门采用翻开式，机械锁和气压支撑杆检修门结构，并装有胶垫防震、检修门铰链。</w:t>
            </w:r>
          </w:p>
          <w:p>
            <w:pPr>
              <w:adjustRightInd w:val="0"/>
              <w:snapToGrid w:val="0"/>
              <w:spacing w:line="320" w:lineRule="exact"/>
              <w:rPr>
                <w:rFonts w:ascii="宋体" w:hAnsi="宋体" w:cs="仿宋"/>
                <w:sz w:val="24"/>
              </w:rPr>
            </w:pPr>
            <w:r>
              <w:rPr>
                <w:rFonts w:hint="eastAsia" w:ascii="宋体" w:hAnsi="宋体" w:cs="仿宋"/>
                <w:sz w:val="24"/>
              </w:rPr>
              <w:t>2.舱门美观牢固，开启方便，锁止可靠，门与车身蒙皮缝隙均匀，液压撑杆支撑力要满足支撑检修门要求，确保安全稳定，在侧围检修门和客车骨架之间增装保险绳（挂钩或钢丝绳或链）。</w:t>
            </w:r>
          </w:p>
          <w:p>
            <w:pPr>
              <w:adjustRightInd w:val="0"/>
              <w:snapToGrid w:val="0"/>
              <w:spacing w:line="320" w:lineRule="exact"/>
              <w:rPr>
                <w:rFonts w:ascii="宋体" w:hAnsi="宋体" w:cs="仿宋"/>
                <w:sz w:val="24"/>
              </w:rPr>
            </w:pPr>
            <w:r>
              <w:rPr>
                <w:rFonts w:hint="eastAsia" w:ascii="宋体" w:hAnsi="宋体" w:cs="仿宋"/>
                <w:sz w:val="24"/>
              </w:rPr>
              <w:t>3.为方便雨刷器等部件的检修与拆装，在客车前围处设置有专用检修门，凡需检修的部位都应开设工作门或检修窗。</w:t>
            </w:r>
          </w:p>
          <w:p>
            <w:pPr>
              <w:adjustRightInd w:val="0"/>
              <w:snapToGrid w:val="0"/>
              <w:spacing w:line="320" w:lineRule="exact"/>
              <w:rPr>
                <w:rFonts w:ascii="宋体" w:hAnsi="宋体" w:cs="仿宋"/>
                <w:sz w:val="24"/>
              </w:rPr>
            </w:pPr>
            <w:r>
              <w:rPr>
                <w:rFonts w:hint="eastAsia" w:ascii="宋体" w:hAnsi="宋体" w:cs="仿宋"/>
                <w:sz w:val="24"/>
              </w:rPr>
              <w:t>4.前后轮拱区域应有密封防腐处理，保证骨架不外露、不藏水，轮罩和挡泥板均喷阻尼胶。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车身色彩图案</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1.中标后由采购人确定。</w:t>
            </w:r>
          </w:p>
          <w:p>
            <w:pPr>
              <w:adjustRightInd w:val="0"/>
              <w:snapToGrid w:val="0"/>
              <w:spacing w:line="320" w:lineRule="exact"/>
              <w:rPr>
                <w:rFonts w:ascii="宋体" w:hAnsi="宋体" w:cs="仿宋"/>
                <w:sz w:val="24"/>
              </w:rPr>
            </w:pPr>
            <w:r>
              <w:rPr>
                <w:rFonts w:hint="eastAsia" w:ascii="宋体" w:hAnsi="宋体" w:cs="仿宋"/>
                <w:sz w:val="24"/>
              </w:rPr>
              <w:t>2.采用优质金属漆。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2.车前部安装电蜗牛喇叭及外音播报喇叭。</w:t>
            </w:r>
          </w:p>
          <w:p>
            <w:pPr>
              <w:adjustRightInd w:val="0"/>
              <w:snapToGrid w:val="0"/>
              <w:spacing w:line="320" w:lineRule="exact"/>
              <w:rPr>
                <w:rFonts w:ascii="宋体" w:hAnsi="宋体" w:cs="仿宋"/>
                <w:sz w:val="24"/>
              </w:rPr>
            </w:pPr>
            <w:r>
              <w:rPr>
                <w:rFonts w:hint="eastAsia" w:ascii="宋体" w:hAnsi="宋体" w:cs="仿宋"/>
                <w:sz w:val="24"/>
              </w:rPr>
              <w:t>3.前风窗采用双曲面全景夹胶安全玻璃，透光率70%以上，直接粘贴在风窗框上，接缝处粘贴平顺美观。驾驶员侧、前装上下拉遮阳帘。</w:t>
            </w:r>
          </w:p>
          <w:p>
            <w:pPr>
              <w:adjustRightInd w:val="0"/>
              <w:snapToGrid w:val="0"/>
              <w:spacing w:line="320" w:lineRule="exact"/>
              <w:rPr>
                <w:rFonts w:ascii="宋体" w:hAnsi="宋体" w:cs="仿宋"/>
                <w:sz w:val="24"/>
              </w:rPr>
            </w:pPr>
            <w:r>
              <w:rPr>
                <w:rFonts w:hint="eastAsia" w:ascii="宋体" w:hAnsi="宋体" w:cs="仿宋"/>
                <w:sz w:val="24"/>
              </w:rPr>
              <w:t>4.侧窗采用粘贴式内嵌推拉窗。侧窗不配窗帘布，使用浅灰色玻璃。</w:t>
            </w:r>
          </w:p>
          <w:p>
            <w:pPr>
              <w:adjustRightInd w:val="0"/>
              <w:snapToGrid w:val="0"/>
              <w:spacing w:line="320" w:lineRule="exact"/>
              <w:rPr>
                <w:rFonts w:ascii="宋体" w:hAnsi="宋体" w:cs="仿宋"/>
                <w:sz w:val="24"/>
              </w:rPr>
            </w:pPr>
            <w:r>
              <w:rPr>
                <w:rFonts w:hint="eastAsia" w:ascii="宋体" w:hAnsi="宋体" w:cs="仿宋"/>
                <w:sz w:val="24"/>
              </w:rPr>
              <w:t>5.前档遮阳帘：手动单幅下拉自锁式。</w:t>
            </w:r>
          </w:p>
          <w:p>
            <w:pPr>
              <w:adjustRightInd w:val="0"/>
              <w:snapToGrid w:val="0"/>
              <w:spacing w:line="320" w:lineRule="exact"/>
              <w:rPr>
                <w:rFonts w:ascii="宋体" w:hAnsi="宋体" w:cs="仿宋"/>
                <w:sz w:val="24"/>
              </w:rPr>
            </w:pPr>
            <w:r>
              <w:rPr>
                <w:rFonts w:hint="eastAsia" w:ascii="宋体" w:hAnsi="宋体" w:cs="仿宋"/>
                <w:sz w:val="24"/>
              </w:rPr>
              <w:t>6.司机遮阳帘：下拉自锁式司机遮阳帘。</w:t>
            </w:r>
          </w:p>
          <w:p>
            <w:pPr>
              <w:adjustRightInd w:val="0"/>
              <w:snapToGrid w:val="0"/>
              <w:spacing w:line="320" w:lineRule="exact"/>
              <w:rPr>
                <w:rFonts w:ascii="宋体" w:hAnsi="宋体" w:cs="仿宋"/>
                <w:sz w:val="24"/>
              </w:rPr>
            </w:pPr>
            <w:r>
              <w:rPr>
                <w:rFonts w:hint="eastAsia" w:ascii="宋体" w:hAnsi="宋体" w:cs="仿宋"/>
                <w:sz w:val="24"/>
              </w:rPr>
              <w:t>7.车头喷“台州公交”字样、车身侧面喷单位全称、logo及投诉举报电话，标准规范由采购人提供。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2.后挡风玻璃采用钢化玻璃，直接粘贴在风窗框上。后风挡上不加贴或喷涂任何说明。</w:t>
            </w:r>
          </w:p>
          <w:p>
            <w:pPr>
              <w:adjustRightInd w:val="0"/>
              <w:snapToGrid w:val="0"/>
              <w:spacing w:line="320" w:lineRule="exact"/>
              <w:rPr>
                <w:rFonts w:ascii="宋体" w:hAnsi="宋体" w:cs="仿宋"/>
                <w:sz w:val="24"/>
              </w:rPr>
            </w:pPr>
            <w:r>
              <w:rPr>
                <w:rFonts w:hint="eastAsia" w:ascii="宋体" w:hAnsi="宋体" w:cs="仿宋"/>
                <w:sz w:val="24"/>
              </w:rPr>
              <w:t>3.上围风窗框内应考虑后路牌架，使后路牌安装后与后风窗玻璃紧贴配合良好，内下侧安装车尾广告屏，除满足车尾屏电源外，再预留一组备用电源。</w:t>
            </w:r>
          </w:p>
          <w:p>
            <w:pPr>
              <w:adjustRightInd w:val="0"/>
              <w:snapToGrid w:val="0"/>
              <w:spacing w:line="320" w:lineRule="exact"/>
              <w:rPr>
                <w:rFonts w:ascii="宋体" w:hAnsi="宋体" w:cs="仿宋"/>
                <w:sz w:val="24"/>
              </w:rPr>
            </w:pPr>
            <w:r>
              <w:rPr>
                <w:rFonts w:hint="eastAsia" w:ascii="宋体" w:hAnsi="宋体" w:cs="仿宋"/>
                <w:sz w:val="24"/>
              </w:rPr>
              <w:t>4.小膨胀水箱在机仓内布置应方便加注。</w:t>
            </w:r>
          </w:p>
          <w:p>
            <w:pPr>
              <w:adjustRightInd w:val="0"/>
              <w:snapToGrid w:val="0"/>
              <w:spacing w:line="320" w:lineRule="exact"/>
              <w:rPr>
                <w:rFonts w:ascii="宋体" w:hAnsi="宋体" w:cs="仿宋"/>
                <w:sz w:val="24"/>
              </w:rPr>
            </w:pPr>
            <w:r>
              <w:rPr>
                <w:rFonts w:hint="eastAsia" w:ascii="宋体" w:hAnsi="宋体" w:cs="仿宋"/>
                <w:sz w:val="24"/>
              </w:rPr>
              <w:t>5.右后下方配车长牌，具体尺寸由采购方提供。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侧围外蒙皮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1.预应力涨拉蒙皮，蒙皮应做防腐、防锈蚀处理，蒙皮内侧应有隔热减振措施。蒙皮厚度不小于1mm。</w:t>
            </w:r>
          </w:p>
          <w:p>
            <w:pPr>
              <w:adjustRightInd w:val="0"/>
              <w:snapToGrid w:val="0"/>
              <w:spacing w:line="320" w:lineRule="exact"/>
              <w:rPr>
                <w:rFonts w:ascii="宋体" w:hAnsi="宋体" w:cs="仿宋"/>
                <w:sz w:val="24"/>
              </w:rPr>
            </w:pPr>
            <w:r>
              <w:rPr>
                <w:rFonts w:hint="eastAsia" w:ascii="宋体" w:hAnsi="宋体" w:cs="仿宋"/>
                <w:sz w:val="24"/>
              </w:rPr>
              <w:t>2.各种型材应采用国内优质产品并提供供货清单。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骨架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1.骨架质保8年（含蒙皮），</w:t>
            </w:r>
            <w:r>
              <w:rPr>
                <w:rFonts w:hint="eastAsia" w:ascii="宋体" w:hAnsi="宋体" w:cs="仿宋"/>
                <w:b/>
                <w:sz w:val="24"/>
              </w:rPr>
              <w:t>投标人须在标书内提供书面承诺</w:t>
            </w:r>
            <w:r>
              <w:rPr>
                <w:rFonts w:hint="eastAsia" w:ascii="宋体" w:hAnsi="宋体" w:cs="仿宋"/>
                <w:bCs/>
                <w:sz w:val="24"/>
              </w:rPr>
              <w:t>。</w:t>
            </w:r>
          </w:p>
          <w:p>
            <w:pPr>
              <w:adjustRightInd w:val="0"/>
              <w:snapToGrid w:val="0"/>
              <w:spacing w:line="320" w:lineRule="exact"/>
              <w:rPr>
                <w:rFonts w:ascii="宋体" w:hAnsi="宋体" w:cs="仿宋"/>
                <w:strike/>
                <w:sz w:val="24"/>
              </w:rPr>
            </w:pPr>
            <w:r>
              <w:rPr>
                <w:rFonts w:hint="eastAsia" w:ascii="宋体" w:hAnsi="宋体" w:cs="仿宋"/>
                <w:sz w:val="24"/>
              </w:rPr>
              <w:t>2.足够的强度和刚度，焊接可靠，提高整车骨架的防腐、防锈蚀性能。各种型材应采用优质产品。</w:t>
            </w:r>
          </w:p>
          <w:p>
            <w:pPr>
              <w:adjustRightInd w:val="0"/>
              <w:snapToGrid w:val="0"/>
              <w:spacing w:line="320" w:lineRule="exact"/>
              <w:rPr>
                <w:rFonts w:ascii="宋体" w:hAnsi="宋体" w:cs="仿宋"/>
                <w:sz w:val="24"/>
              </w:rPr>
            </w:pPr>
            <w:r>
              <w:rPr>
                <w:rFonts w:hint="eastAsia" w:ascii="宋体" w:hAnsi="宋体" w:cs="仿宋"/>
                <w:sz w:val="24"/>
              </w:rPr>
              <w:t>3.左右侧围骨架、顶盖骨架之间充填A0级阻燃型隔热材料，发泡层均匀厚度不得小于35mm，以保证客车的隔热性能。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安全天窗</w:t>
            </w:r>
          </w:p>
        </w:tc>
        <w:tc>
          <w:tcPr>
            <w:tcW w:w="7135" w:type="dxa"/>
            <w:vAlign w:val="center"/>
          </w:tcPr>
          <w:p>
            <w:pPr>
              <w:rPr>
                <w:rFonts w:ascii="宋体" w:hAnsi="宋体" w:cs="仿宋"/>
                <w:sz w:val="24"/>
              </w:rPr>
            </w:pPr>
            <w:r>
              <w:rPr>
                <w:rFonts w:hint="eastAsia" w:ascii="宋体" w:hAnsi="宋体" w:cs="仿宋"/>
                <w:sz w:val="24"/>
              </w:rPr>
              <w:t>带换气扇安全出口1只。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地板</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1.整车采用大平面环保阻燃PVC或PP蜂窝式地板，厚度不小于18MM，符合JT/T1095等最新标准，安装工艺必须符合地板安装相关技术要求，具有无毒、防水防潮，完全阻燃性达到AO级获得国家3C强制认证。</w:t>
            </w:r>
          </w:p>
          <w:p>
            <w:pPr>
              <w:adjustRightInd w:val="0"/>
              <w:snapToGrid w:val="0"/>
              <w:spacing w:line="320" w:lineRule="exact"/>
              <w:rPr>
                <w:rFonts w:ascii="宋体" w:hAnsi="宋体" w:cs="仿宋"/>
                <w:sz w:val="24"/>
              </w:rPr>
            </w:pPr>
            <w:r>
              <w:rPr>
                <w:rFonts w:hint="eastAsia" w:ascii="宋体" w:hAnsi="宋体" w:cs="仿宋"/>
                <w:sz w:val="24"/>
              </w:rPr>
              <w:t>2.地板与客车底架采用胶水及专用螺栓连接，铺设区客车底架横梁加密、地板及座椅固定螺栓要求连接在横梁或替板上、紧固可靠（8年内不发生地板拱起，螺栓松脱开现象），地板各连接缝、地板与车身的接缝处应涂密封胶。</w:t>
            </w:r>
          </w:p>
          <w:p>
            <w:pPr>
              <w:adjustRightInd w:val="0"/>
              <w:snapToGrid w:val="0"/>
              <w:spacing w:line="320" w:lineRule="exact"/>
              <w:rPr>
                <w:rFonts w:ascii="宋体" w:hAnsi="宋体" w:cs="仿宋"/>
                <w:sz w:val="24"/>
              </w:rPr>
            </w:pPr>
            <w:r>
              <w:rPr>
                <w:rFonts w:hint="eastAsia" w:ascii="宋体" w:hAnsi="宋体" w:cs="仿宋"/>
                <w:sz w:val="24"/>
              </w:rPr>
              <w:t>3.车顶棚骨架等使用防火保温隔热材料，充分考虑当地气候特点，考虑内饰阻燃特性；产品要求防潮、抗菌、防霉、节能环保材料。技术性能必须达到 GB38262-2019《汽车内饰材料燃烧特性》，防火等级A0级。</w:t>
            </w:r>
            <w:r>
              <w:rPr>
                <w:rFonts w:hint="eastAsia" w:ascii="宋体" w:hAnsi="宋体" w:cs="仿宋"/>
                <w:b/>
                <w:sz w:val="24"/>
              </w:rPr>
              <w:t>在投标文件中提供检测报告</w:t>
            </w:r>
            <w:r>
              <w:rPr>
                <w:rFonts w:hint="eastAsia" w:ascii="宋体" w:hAnsi="宋体" w:cs="仿宋"/>
                <w:bCs/>
                <w:sz w:val="24"/>
              </w:rPr>
              <w:t>。</w:t>
            </w:r>
          </w:p>
          <w:p>
            <w:pPr>
              <w:adjustRightInd w:val="0"/>
              <w:snapToGrid w:val="0"/>
              <w:spacing w:line="320" w:lineRule="exact"/>
              <w:rPr>
                <w:rFonts w:ascii="宋体" w:hAnsi="宋体" w:cs="仿宋"/>
                <w:sz w:val="24"/>
              </w:rPr>
            </w:pPr>
            <w:r>
              <w:rPr>
                <w:rFonts w:hint="eastAsia" w:ascii="宋体" w:hAnsi="宋体" w:cs="仿宋"/>
                <w:sz w:val="24"/>
              </w:rPr>
              <w:t>4.客舱使用降噪材料和气凝胶防火材料，电池仓和电机仓、客舱等部分合理铺设使用气凝胶防火材料，符合GB 8624标准“燃烧性能等级，A级不燃”要求；符合JT/T 1095内饰件阻燃特性要求。</w:t>
            </w:r>
          </w:p>
          <w:p>
            <w:pPr>
              <w:adjustRightInd w:val="0"/>
              <w:snapToGrid w:val="0"/>
              <w:spacing w:line="320" w:lineRule="exact"/>
              <w:rPr>
                <w:rFonts w:ascii="宋体" w:hAnsi="宋体" w:cs="仿宋"/>
                <w:sz w:val="24"/>
              </w:rPr>
            </w:pPr>
            <w:r>
              <w:rPr>
                <w:rFonts w:hint="eastAsia" w:ascii="宋体" w:hAnsi="宋体" w:cs="仿宋"/>
                <w:sz w:val="24"/>
              </w:rPr>
              <w:t>5.整车采用耐磨防滑石英沙城市客车专用地板革，符合JT/T1095-2016标准，地板与地板革采用进口高强度防水专用地板革胶粘接，做到不脱胶、不起泡、不开裂。地板革拼接采用焊接工艺，接缝处剔割平整，具有防渗水性能。</w:t>
            </w:r>
          </w:p>
          <w:p>
            <w:pPr>
              <w:adjustRightInd w:val="0"/>
              <w:snapToGrid w:val="0"/>
              <w:spacing w:line="320" w:lineRule="exact"/>
              <w:rPr>
                <w:rFonts w:ascii="宋体" w:hAnsi="宋体" w:cs="仿宋"/>
                <w:sz w:val="24"/>
              </w:rPr>
            </w:pPr>
            <w:r>
              <w:rPr>
                <w:rFonts w:hint="eastAsia" w:ascii="宋体" w:hAnsi="宋体" w:cs="仿宋"/>
                <w:sz w:val="24"/>
              </w:rPr>
              <w:t>6.前后乘客门踏步区域采用黄色踏步专用地板革，并标明“禁止站立”字样。</w:t>
            </w:r>
          </w:p>
          <w:p>
            <w:pPr>
              <w:adjustRightInd w:val="0"/>
              <w:snapToGrid w:val="0"/>
              <w:spacing w:line="320" w:lineRule="exact"/>
              <w:rPr>
                <w:rFonts w:ascii="宋体" w:hAnsi="宋体" w:cs="仿宋"/>
                <w:sz w:val="24"/>
              </w:rPr>
            </w:pPr>
            <w:r>
              <w:rPr>
                <w:rFonts w:hint="eastAsia" w:ascii="宋体" w:hAnsi="宋体" w:cs="仿宋"/>
                <w:sz w:val="24"/>
              </w:rPr>
              <w:t>7.地板应设有检修孔和盖板，检修盖板拉手隐性结构，地板上的检修舱口盖压边框为整体式铝型材，采用双层密封结构。</w:t>
            </w:r>
          </w:p>
          <w:p>
            <w:pPr>
              <w:adjustRightInd w:val="0"/>
              <w:snapToGrid w:val="0"/>
              <w:spacing w:line="320" w:lineRule="exact"/>
              <w:rPr>
                <w:rFonts w:ascii="宋体" w:hAnsi="宋体" w:cs="仿宋"/>
                <w:sz w:val="24"/>
              </w:rPr>
            </w:pPr>
            <w:r>
              <w:rPr>
                <w:rFonts w:hint="eastAsia" w:ascii="宋体" w:hAnsi="宋体" w:cs="仿宋"/>
                <w:sz w:val="24"/>
              </w:rPr>
              <w:t>8.车厢内各阴阳角拼缝处采用铝合金型材拼压或地板革焊接工艺，直角拼缝处采用磨光45°对接，圆弧拼缝处则可采用成型或锯齿状弯曲拼压，确保拼压平整贴服，地板革折边高于地板水平面10CM以上。</w:t>
            </w:r>
          </w:p>
          <w:p>
            <w:pPr>
              <w:adjustRightInd w:val="0"/>
              <w:snapToGrid w:val="0"/>
              <w:spacing w:line="320" w:lineRule="exact"/>
              <w:rPr>
                <w:rFonts w:ascii="宋体" w:hAnsi="宋体" w:cs="仿宋"/>
                <w:sz w:val="24"/>
              </w:rPr>
            </w:pPr>
            <w:r>
              <w:rPr>
                <w:rFonts w:hint="eastAsia" w:ascii="宋体" w:hAnsi="宋体" w:cs="仿宋"/>
                <w:sz w:val="24"/>
              </w:rPr>
              <w:t>9.地板革颜色应与整车内饰协调。</w:t>
            </w:r>
          </w:p>
          <w:p>
            <w:pPr>
              <w:adjustRightInd w:val="0"/>
              <w:snapToGrid w:val="0"/>
              <w:spacing w:line="320" w:lineRule="exact"/>
              <w:rPr>
                <w:rFonts w:ascii="宋体" w:hAnsi="宋体" w:cs="仿宋"/>
                <w:b/>
                <w:sz w:val="24"/>
              </w:rPr>
            </w:pPr>
            <w:r>
              <w:rPr>
                <w:rFonts w:hint="eastAsia" w:ascii="宋体" w:hAnsi="宋体" w:cs="仿宋"/>
                <w:sz w:val="24"/>
              </w:rPr>
              <w:t>10.地板、地板革质保8年（含工时及易损易耗件），</w:t>
            </w:r>
            <w:r>
              <w:rPr>
                <w:rFonts w:hint="eastAsia" w:ascii="宋体" w:hAnsi="宋体" w:cs="仿宋"/>
                <w:bCs/>
                <w:sz w:val="24"/>
              </w:rPr>
              <w:t>并在</w:t>
            </w:r>
            <w:r>
              <w:rPr>
                <w:rFonts w:hint="eastAsia" w:ascii="宋体" w:hAnsi="宋体" w:cs="仿宋"/>
                <w:b/>
                <w:sz w:val="24"/>
              </w:rPr>
              <w:t>标书中附承诺书</w:t>
            </w:r>
            <w:r>
              <w:rPr>
                <w:rFonts w:hint="eastAsia" w:ascii="宋体" w:hAnsi="宋体"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1.乘客门采用加强型铝合金门板，门玻璃为钢化玻璃，乘客门带防夹脚设置。</w:t>
            </w:r>
          </w:p>
          <w:p>
            <w:pPr>
              <w:adjustRightInd w:val="0"/>
              <w:snapToGrid w:val="0"/>
              <w:spacing w:line="320" w:lineRule="exact"/>
              <w:rPr>
                <w:rFonts w:ascii="宋体" w:hAnsi="宋体" w:cs="仿宋"/>
                <w:sz w:val="24"/>
              </w:rPr>
            </w:pPr>
            <w:r>
              <w:rPr>
                <w:rFonts w:hint="eastAsia" w:ascii="宋体" w:hAnsi="宋体" w:cs="仿宋"/>
                <w:sz w:val="24"/>
              </w:rPr>
              <w:t>2.乘客门关闭时应装有防夹装置。后门防夹提示需采用铝片，并用铆钉固定，要求字迹清晰。前后门立柱装防护装置，门轴上设置禁止攀扶标志，全车应有门锁装置。</w:t>
            </w:r>
          </w:p>
          <w:p>
            <w:pPr>
              <w:adjustRightInd w:val="0"/>
              <w:snapToGrid w:val="0"/>
              <w:spacing w:line="320" w:lineRule="exact"/>
              <w:rPr>
                <w:rFonts w:ascii="宋体" w:hAnsi="宋体" w:cs="仿宋"/>
                <w:sz w:val="24"/>
              </w:rPr>
            </w:pPr>
            <w:r>
              <w:rPr>
                <w:rFonts w:hint="eastAsia" w:ascii="宋体" w:hAnsi="宋体" w:cs="仿宋"/>
                <w:sz w:val="24"/>
              </w:rPr>
              <w:t>3.门泵驱动系统采用电控气动方式，采用进口电磁阀、继电器和气缸，在仪表台适当位置设置乘客门应急打开气动控制阀开关，并在每个乘客门内外处和车外必须装紧急开关，以备紧急使用。</w:t>
            </w:r>
          </w:p>
          <w:p>
            <w:pPr>
              <w:adjustRightInd w:val="0"/>
              <w:snapToGrid w:val="0"/>
              <w:spacing w:line="320" w:lineRule="exact"/>
              <w:rPr>
                <w:rFonts w:ascii="宋体" w:hAnsi="宋体" w:cs="仿宋"/>
                <w:sz w:val="24"/>
              </w:rPr>
            </w:pPr>
            <w:r>
              <w:rPr>
                <w:rFonts w:hint="eastAsia" w:ascii="宋体" w:hAnsi="宋体" w:cs="仿宋"/>
                <w:sz w:val="24"/>
              </w:rPr>
              <w:t>4.车辆停稳前不允许开门，车辆门没关闭不允许起步，车速达到5码以上不能打开车门。</w:t>
            </w:r>
          </w:p>
          <w:p>
            <w:pPr>
              <w:adjustRightInd w:val="0"/>
              <w:snapToGrid w:val="0"/>
              <w:spacing w:line="320" w:lineRule="exact"/>
              <w:rPr>
                <w:rFonts w:ascii="宋体" w:hAnsi="宋体" w:cs="仿宋"/>
                <w:sz w:val="24"/>
              </w:rPr>
            </w:pPr>
            <w:r>
              <w:rPr>
                <w:rFonts w:hint="eastAsia" w:ascii="宋体" w:hAnsi="宋体" w:cs="仿宋"/>
                <w:sz w:val="24"/>
              </w:rPr>
              <w:t>5.车门整体（包括门泵及驱动系统等）免费质保8年（含工时及易损易耗件）。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rPr>
                <w:rFonts w:ascii="宋体" w:hAnsi="宋体" w:cs="仿宋"/>
                <w:sz w:val="24"/>
              </w:rPr>
            </w:pPr>
            <w:r>
              <w:rPr>
                <w:rFonts w:hint="eastAsia" w:ascii="宋体" w:hAnsi="宋体" w:cs="仿宋"/>
                <w:b/>
                <w:bCs/>
                <w:sz w:val="24"/>
              </w:rPr>
              <w:t>6.车内设置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公交标识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1.上客门、下客门、爱心专座等标识按最新版《城市公共交通标志》标准制作。</w:t>
            </w:r>
          </w:p>
          <w:p>
            <w:pPr>
              <w:adjustRightInd w:val="0"/>
              <w:snapToGrid w:val="0"/>
              <w:spacing w:line="320" w:lineRule="exact"/>
              <w:rPr>
                <w:rFonts w:ascii="宋体" w:hAnsi="宋体" w:cs="仿宋"/>
                <w:sz w:val="24"/>
              </w:rPr>
            </w:pPr>
            <w:r>
              <w:rPr>
                <w:rFonts w:hint="eastAsia" w:ascii="宋体" w:hAnsi="宋体" w:cs="仿宋"/>
                <w:sz w:val="24"/>
              </w:rPr>
              <w:t>2.前门处扶手杆上制作1.2米儿童免票标志。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车内外后视镜</w:t>
            </w:r>
          </w:p>
        </w:tc>
        <w:tc>
          <w:tcPr>
            <w:tcW w:w="7135" w:type="dxa"/>
            <w:vAlign w:val="center"/>
          </w:tcPr>
          <w:p>
            <w:pPr>
              <w:rPr>
                <w:rFonts w:ascii="宋体" w:hAnsi="宋体" w:cs="仿宋"/>
                <w:sz w:val="24"/>
              </w:rPr>
            </w:pPr>
            <w:r>
              <w:rPr>
                <w:rFonts w:hint="eastAsia" w:ascii="宋体" w:hAnsi="宋体" w:cs="仿宋"/>
                <w:sz w:val="24"/>
              </w:rPr>
              <w:t>普通杆式无盲区左短右长后视镜。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扶手杠和拉手</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1.扶手采用铝合金或不锈钢材质，表面安装橡胶扶套。</w:t>
            </w:r>
          </w:p>
          <w:p>
            <w:pPr>
              <w:adjustRightInd w:val="0"/>
              <w:snapToGrid w:val="0"/>
              <w:spacing w:line="320" w:lineRule="exact"/>
              <w:rPr>
                <w:rFonts w:ascii="宋体" w:hAnsi="宋体" w:cs="仿宋"/>
                <w:sz w:val="24"/>
              </w:rPr>
            </w:pPr>
            <w:r>
              <w:rPr>
                <w:rFonts w:hint="eastAsia" w:ascii="宋体" w:hAnsi="宋体" w:cs="仿宋"/>
                <w:sz w:val="24"/>
              </w:rPr>
              <w:t>2.车内两边玻璃框上装防护栏杆，前操作台处安装安全防范扶手，上下客门处安装上下车扶手。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kern w:val="0"/>
                <w:sz w:val="24"/>
              </w:rPr>
            </w:pPr>
            <w:r>
              <w:rPr>
                <w:rFonts w:hint="eastAsia" w:ascii="宋体" w:hAnsi="宋体" w:cs="仿宋"/>
                <w:bCs/>
                <w:sz w:val="24"/>
              </w:rPr>
              <w:t>下车提示按铃</w:t>
            </w:r>
          </w:p>
        </w:tc>
        <w:tc>
          <w:tcPr>
            <w:tcW w:w="7135" w:type="dxa"/>
          </w:tcPr>
          <w:p>
            <w:pPr>
              <w:adjustRightInd w:val="0"/>
              <w:snapToGrid w:val="0"/>
              <w:spacing w:line="320" w:lineRule="exact"/>
              <w:rPr>
                <w:rFonts w:ascii="宋体" w:hAnsi="宋体" w:cs="仿宋"/>
                <w:sz w:val="24"/>
              </w:rPr>
            </w:pPr>
            <w:r>
              <w:rPr>
                <w:rFonts w:hint="eastAsia" w:ascii="宋体" w:hAnsi="宋体" w:cs="仿宋"/>
                <w:sz w:val="24"/>
              </w:rPr>
              <w:t>配下车门停车门铃2只按钮（无线门铃），语音提示：您好，请开门，在车厢立柱合适位置，门铃按钮以上位置粘贴 “下车请按铃”标识。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公交座椅</w:t>
            </w:r>
          </w:p>
        </w:tc>
        <w:tc>
          <w:tcPr>
            <w:tcW w:w="7135" w:type="dxa"/>
            <w:vAlign w:val="center"/>
          </w:tcPr>
          <w:p>
            <w:pPr>
              <w:spacing w:line="360" w:lineRule="exact"/>
              <w:ind w:right="140" w:rightChars="50"/>
              <w:jc w:val="left"/>
              <w:rPr>
                <w:rFonts w:ascii="宋体" w:hAnsi="宋体" w:cs="仿宋"/>
                <w:kern w:val="0"/>
                <w:sz w:val="24"/>
                <w:lang w:val="zh-CN" w:bidi="zh-CN"/>
              </w:rPr>
            </w:pPr>
            <w:r>
              <w:rPr>
                <w:rFonts w:hint="eastAsia" w:ascii="宋体" w:hAnsi="宋体" w:cs="仿宋"/>
                <w:kern w:val="0"/>
                <w:sz w:val="24"/>
                <w:lang w:bidi="zh-CN"/>
              </w:rPr>
              <w:t>1.</w:t>
            </w:r>
            <w:r>
              <w:rPr>
                <w:rFonts w:hint="eastAsia" w:ascii="宋体" w:hAnsi="宋体" w:cs="仿宋"/>
                <w:kern w:val="0"/>
                <w:sz w:val="24"/>
                <w:lang w:val="zh-CN" w:bidi="zh-CN"/>
              </w:rPr>
              <w:t>座椅合理布置，选用高档轻量化，座椅带软垫、软靠背、扶手和安全带，采用国内优质产品，颜色和内饰协调，座椅支架固定可靠，符合公交车相关标准要求。</w:t>
            </w:r>
          </w:p>
          <w:p>
            <w:pPr>
              <w:adjustRightInd w:val="0"/>
              <w:snapToGrid w:val="0"/>
              <w:spacing w:line="320" w:lineRule="exact"/>
              <w:rPr>
                <w:rFonts w:ascii="宋体" w:hAnsi="宋体" w:cs="仿宋"/>
                <w:sz w:val="24"/>
              </w:rPr>
            </w:pPr>
            <w:r>
              <w:rPr>
                <w:rFonts w:hint="eastAsia" w:ascii="宋体" w:hAnsi="宋体" w:cs="仿宋"/>
                <w:sz w:val="24"/>
              </w:rPr>
              <w:t>2.配4个爱心座椅及标志，设于车厢内方便上下乘坐的位置，方向为面朝前进方向。</w:t>
            </w:r>
          </w:p>
          <w:p>
            <w:pPr>
              <w:adjustRightInd w:val="0"/>
              <w:snapToGrid w:val="0"/>
              <w:spacing w:line="320" w:lineRule="exact"/>
              <w:rPr>
                <w:rFonts w:ascii="宋体" w:hAnsi="宋体" w:cs="仿宋"/>
                <w:sz w:val="24"/>
              </w:rPr>
            </w:pPr>
            <w:r>
              <w:rPr>
                <w:rFonts w:hint="eastAsia" w:ascii="宋体" w:hAnsi="宋体" w:cs="仿宋"/>
                <w:sz w:val="24"/>
              </w:rPr>
              <w:t>3.质保8年。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bCs/>
                <w:sz w:val="24"/>
              </w:rPr>
              <w:t>驾驶室</w:t>
            </w:r>
          </w:p>
        </w:tc>
        <w:tc>
          <w:tcPr>
            <w:tcW w:w="7135" w:type="dxa"/>
            <w:vAlign w:val="center"/>
          </w:tcPr>
          <w:p>
            <w:pPr>
              <w:numPr>
                <w:ilvl w:val="0"/>
                <w:numId w:val="5"/>
              </w:numPr>
              <w:adjustRightInd w:val="0"/>
              <w:snapToGrid w:val="0"/>
              <w:spacing w:line="320" w:lineRule="exact"/>
              <w:rPr>
                <w:rFonts w:ascii="宋体" w:hAnsi="宋体" w:cs="仿宋"/>
                <w:sz w:val="24"/>
              </w:rPr>
            </w:pPr>
            <w:r>
              <w:rPr>
                <w:rFonts w:hint="eastAsia" w:ascii="宋体" w:hAnsi="宋体" w:cs="仿宋"/>
                <w:sz w:val="24"/>
              </w:rPr>
              <w:t>仪表台精美、平整、软化处理；仪表台可靠耐用，与整车内饰协调。</w:t>
            </w:r>
          </w:p>
          <w:p>
            <w:pPr>
              <w:adjustRightInd w:val="0"/>
              <w:snapToGrid w:val="0"/>
              <w:spacing w:line="320" w:lineRule="exact"/>
              <w:rPr>
                <w:rFonts w:ascii="宋体" w:hAnsi="宋体" w:cs="仿宋"/>
                <w:sz w:val="24"/>
              </w:rPr>
            </w:pPr>
            <w:r>
              <w:rPr>
                <w:rFonts w:hint="eastAsia" w:ascii="宋体" w:hAnsi="宋体" w:cs="仿宋"/>
                <w:sz w:val="24"/>
              </w:rPr>
              <w:t>2.仪表区域应充分考虑满足配装电脑报站器、电子路牌、客门监视器、GPS 车载机、IC卡POS机、投币机、空调、换气扇开关、数字电视等布置一体化要求；仪表台上安装驾驶员喊话器及插口；前后门未关时仪表台有报警灯显示；顶灯，车厢灯，电子路牌单独安装开关。</w:t>
            </w:r>
          </w:p>
          <w:p>
            <w:pPr>
              <w:adjustRightInd w:val="0"/>
              <w:snapToGrid w:val="0"/>
              <w:spacing w:line="320" w:lineRule="exact"/>
              <w:rPr>
                <w:rFonts w:ascii="宋体" w:hAnsi="宋体" w:cs="仿宋"/>
                <w:sz w:val="24"/>
              </w:rPr>
            </w:pPr>
            <w:r>
              <w:rPr>
                <w:rFonts w:hint="eastAsia" w:ascii="宋体" w:hAnsi="宋体" w:cs="仿宋"/>
                <w:sz w:val="24"/>
              </w:rPr>
              <w:t>3.采用转向柱安装组合式开关，包括大小灯、转向灯、雨括器控制开关。</w:t>
            </w:r>
          </w:p>
          <w:p>
            <w:pPr>
              <w:adjustRightInd w:val="0"/>
              <w:snapToGrid w:val="0"/>
              <w:spacing w:line="320" w:lineRule="exact"/>
              <w:rPr>
                <w:rFonts w:ascii="宋体" w:hAnsi="宋体" w:cs="仿宋"/>
                <w:sz w:val="24"/>
              </w:rPr>
            </w:pPr>
            <w:r>
              <w:rPr>
                <w:rFonts w:hint="eastAsia" w:ascii="宋体" w:hAnsi="宋体" w:cs="仿宋"/>
                <w:sz w:val="24"/>
              </w:rPr>
              <w:t>4.驾驶员座位左上方侧安装小电扇，配置茶杯架。</w:t>
            </w:r>
          </w:p>
          <w:p>
            <w:pPr>
              <w:adjustRightInd w:val="0"/>
              <w:snapToGrid w:val="0"/>
              <w:spacing w:line="320" w:lineRule="exact"/>
              <w:rPr>
                <w:rFonts w:ascii="宋体" w:hAnsi="宋体" w:cs="仿宋"/>
                <w:sz w:val="24"/>
              </w:rPr>
            </w:pPr>
            <w:r>
              <w:rPr>
                <w:rFonts w:hint="eastAsia" w:ascii="宋体" w:hAnsi="宋体" w:cs="仿宋"/>
                <w:sz w:val="24"/>
              </w:rPr>
              <w:t>5.安装驾驶员荣誉榜铝合金框，标准规范由采购人提供。</w:t>
            </w:r>
          </w:p>
          <w:p>
            <w:pPr>
              <w:adjustRightInd w:val="0"/>
              <w:snapToGrid w:val="0"/>
              <w:spacing w:line="320" w:lineRule="exact"/>
              <w:rPr>
                <w:rFonts w:ascii="宋体" w:hAnsi="宋体" w:cs="仿宋"/>
                <w:sz w:val="24"/>
              </w:rPr>
            </w:pPr>
            <w:r>
              <w:rPr>
                <w:rFonts w:hint="eastAsia" w:ascii="宋体" w:hAnsi="宋体" w:cs="仿宋"/>
                <w:sz w:val="24"/>
              </w:rPr>
              <w:t>6.前后车门内“紧急开门应急阀”装在驾驶区，前后车门内外各1只“紧急开门应急阀”应设明显使用标识。</w:t>
            </w:r>
          </w:p>
          <w:p>
            <w:pPr>
              <w:adjustRightInd w:val="0"/>
              <w:snapToGrid w:val="0"/>
              <w:spacing w:line="320" w:lineRule="exact"/>
              <w:rPr>
                <w:rFonts w:ascii="宋体" w:hAnsi="宋体" w:cs="仿宋"/>
                <w:sz w:val="24"/>
              </w:rPr>
            </w:pPr>
            <w:r>
              <w:rPr>
                <w:rFonts w:hint="eastAsia" w:ascii="宋体" w:hAnsi="宋体" w:cs="仿宋"/>
                <w:bCs/>
                <w:sz w:val="24"/>
              </w:rPr>
              <w:t>7.驾驶室布置驾驶员手机袋。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司机包围</w:t>
            </w:r>
          </w:p>
        </w:tc>
        <w:tc>
          <w:tcPr>
            <w:tcW w:w="7135" w:type="dxa"/>
            <w:vAlign w:val="center"/>
          </w:tcPr>
          <w:p>
            <w:pPr>
              <w:numPr>
                <w:ilvl w:val="0"/>
                <w:numId w:val="6"/>
              </w:numPr>
              <w:adjustRightInd w:val="0"/>
              <w:snapToGrid w:val="0"/>
              <w:spacing w:line="320" w:lineRule="exact"/>
              <w:rPr>
                <w:rFonts w:ascii="宋体" w:hAnsi="宋体" w:cs="仿宋"/>
                <w:bCs/>
                <w:sz w:val="24"/>
              </w:rPr>
            </w:pPr>
            <w:r>
              <w:rPr>
                <w:rFonts w:hint="eastAsia" w:ascii="宋体" w:hAnsi="宋体" w:cs="仿宋"/>
                <w:sz w:val="24"/>
              </w:rPr>
              <w:t>安装驾驶区域安全防护隔离设施，</w:t>
            </w:r>
            <w:r>
              <w:rPr>
                <w:rFonts w:hint="eastAsia" w:ascii="宋体" w:hAnsi="宋体" w:cs="仿宋"/>
                <w:bCs/>
                <w:sz w:val="24"/>
              </w:rPr>
              <w:t>铝合金全包整体式，司机屏风、司机转门采用铝合金或钢化玻璃，不影响驾驶员对前门上车乘客监管视线，符合T/T1240-2019标准，隔离设施采用的玻璃应避免驾驶员受阳光、炫光和车内外灯光的影响，侧围上沿最低点距乘客区通道地板高度不小于160厘米，司机座后围上部为透明有机玻璃空隙高度不大于30厘米、下部为封闭式围板，司机包围门窗玻璃、门锁、铝合金材质必须符合国家新标要求。</w:t>
            </w:r>
          </w:p>
          <w:p>
            <w:pPr>
              <w:numPr>
                <w:ilvl w:val="0"/>
                <w:numId w:val="6"/>
              </w:numPr>
              <w:adjustRightInd w:val="0"/>
              <w:snapToGrid w:val="0"/>
              <w:spacing w:line="320" w:lineRule="exact"/>
              <w:rPr>
                <w:rFonts w:ascii="宋体" w:hAnsi="宋体" w:cs="仿宋"/>
                <w:sz w:val="24"/>
              </w:rPr>
            </w:pPr>
            <w:r>
              <w:rPr>
                <w:rFonts w:hint="eastAsia" w:ascii="宋体" w:hAnsi="宋体" w:cs="仿宋"/>
                <w:sz w:val="24"/>
              </w:rPr>
              <w:t>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驾驶员座椅</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1.驾驶员座椅为6方向可调高靠背航空气垫式座椅，配三点式安全带，调节幅度大于20CM,伸缩自如可上下调节，配置驾驶员未系安全带提醒。</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 视 镜</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1.车厢内配有内视镜，图像清晰，易更换。</w:t>
            </w:r>
          </w:p>
          <w:p>
            <w:pPr>
              <w:adjustRightInd w:val="0"/>
              <w:snapToGrid w:val="0"/>
              <w:spacing w:line="320" w:lineRule="exact"/>
              <w:rPr>
                <w:rFonts w:ascii="宋体" w:hAnsi="宋体" w:cs="仿宋"/>
                <w:sz w:val="24"/>
              </w:rPr>
            </w:pPr>
            <w:r>
              <w:rPr>
                <w:rFonts w:hint="eastAsia" w:ascii="宋体" w:hAnsi="宋体" w:cs="仿宋"/>
                <w:sz w:val="24"/>
              </w:rPr>
              <w:t>2.中门安装上下客摄像头。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内饰、空调风道、车内照明</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1.侧墙板采用防水易清洁PVC覆膜板。</w:t>
            </w:r>
          </w:p>
          <w:p>
            <w:pPr>
              <w:adjustRightInd w:val="0"/>
              <w:snapToGrid w:val="0"/>
              <w:spacing w:line="320" w:lineRule="exact"/>
              <w:rPr>
                <w:rFonts w:ascii="宋体" w:hAnsi="宋体" w:cs="仿宋"/>
                <w:sz w:val="24"/>
              </w:rPr>
            </w:pPr>
            <w:r>
              <w:rPr>
                <w:rFonts w:hint="eastAsia" w:ascii="宋体" w:hAnsi="宋体" w:cs="仿宋"/>
                <w:sz w:val="24"/>
              </w:rPr>
              <w:t>2.顶板采用冲孔铝塑板。</w:t>
            </w:r>
          </w:p>
          <w:p>
            <w:pPr>
              <w:adjustRightInd w:val="0"/>
              <w:snapToGrid w:val="0"/>
              <w:spacing w:line="320" w:lineRule="exact"/>
              <w:rPr>
                <w:rFonts w:ascii="宋体" w:hAnsi="宋体" w:cs="仿宋"/>
                <w:sz w:val="24"/>
              </w:rPr>
            </w:pPr>
            <w:r>
              <w:rPr>
                <w:rFonts w:hint="eastAsia" w:ascii="宋体" w:hAnsi="宋体" w:cs="仿宋"/>
                <w:sz w:val="24"/>
              </w:rPr>
              <w:t>3.车厢前方右角配置时间、温度显示器。</w:t>
            </w:r>
          </w:p>
          <w:p>
            <w:pPr>
              <w:adjustRightInd w:val="0"/>
              <w:snapToGrid w:val="0"/>
              <w:spacing w:line="320" w:lineRule="exact"/>
              <w:rPr>
                <w:rFonts w:ascii="宋体" w:hAnsi="宋体" w:cs="仿宋"/>
                <w:sz w:val="24"/>
              </w:rPr>
            </w:pPr>
            <w:r>
              <w:rPr>
                <w:rFonts w:hint="eastAsia" w:ascii="宋体" w:hAnsi="宋体" w:cs="仿宋"/>
                <w:sz w:val="24"/>
              </w:rPr>
              <w:t>4.全景铝合金风道。风道两侧设置广告位。具体尺寸、数量、广告位内容由采购人提供。</w:t>
            </w:r>
          </w:p>
          <w:p>
            <w:pPr>
              <w:adjustRightInd w:val="0"/>
              <w:snapToGrid w:val="0"/>
              <w:spacing w:line="320" w:lineRule="exact"/>
              <w:rPr>
                <w:rFonts w:ascii="宋体" w:hAnsi="宋体" w:cs="仿宋"/>
                <w:sz w:val="24"/>
              </w:rPr>
            </w:pPr>
            <w:r>
              <w:rPr>
                <w:rFonts w:hint="eastAsia" w:ascii="宋体" w:hAnsi="宋体" w:cs="仿宋"/>
                <w:sz w:val="24"/>
              </w:rPr>
              <w:t>5.LED照明灯:应满足夜间行驶车厢内亮化要求。LED双条顶灯，厢灯控制为二挡及以上，驾驶区一挡，车厢区一挡及以上，开灯时，前档玻璃不能产生眩目光，影响驾驶安全。</w:t>
            </w:r>
          </w:p>
          <w:p>
            <w:pPr>
              <w:adjustRightInd w:val="0"/>
              <w:snapToGrid w:val="0"/>
              <w:spacing w:line="320" w:lineRule="exact"/>
              <w:rPr>
                <w:rFonts w:ascii="宋体" w:hAnsi="宋体" w:cs="仿宋"/>
                <w:sz w:val="24"/>
              </w:rPr>
            </w:pPr>
            <w:r>
              <w:rPr>
                <w:rFonts w:hint="eastAsia" w:ascii="宋体" w:hAnsi="宋体" w:cs="仿宋"/>
                <w:sz w:val="24"/>
              </w:rPr>
              <w:t>6. 驾驶室区空调出风口必须安装可调式开关</w:t>
            </w:r>
          </w:p>
          <w:p>
            <w:pPr>
              <w:adjustRightInd w:val="0"/>
              <w:snapToGrid w:val="0"/>
              <w:spacing w:line="320" w:lineRule="exact"/>
              <w:rPr>
                <w:rFonts w:ascii="宋体" w:hAnsi="宋体" w:cs="仿宋"/>
                <w:sz w:val="24"/>
              </w:rPr>
            </w:pPr>
            <w:r>
              <w:rPr>
                <w:rFonts w:hint="eastAsia" w:ascii="宋体" w:hAnsi="宋体" w:cs="仿宋"/>
                <w:sz w:val="24"/>
              </w:rPr>
              <w:t>7.冷风道不得与前、后路牌窗和发动机机舱贯通，锁止方便可靠，表面平整圆顺，固定安装可靠。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7.空调系统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空调</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1.采用独立式纯电制冷空调，制冷降温速率高、制冷效果显著。标准制冷量≥16000大卡，满足公交运行需求。</w:t>
            </w:r>
          </w:p>
          <w:p>
            <w:pPr>
              <w:adjustRightInd w:val="0"/>
              <w:snapToGrid w:val="0"/>
              <w:spacing w:line="320" w:lineRule="exact"/>
              <w:rPr>
                <w:rFonts w:ascii="宋体" w:hAnsi="宋体" w:cs="仿宋"/>
                <w:sz w:val="24"/>
              </w:rPr>
            </w:pPr>
            <w:r>
              <w:rPr>
                <w:rFonts w:hint="eastAsia" w:ascii="宋体" w:hAnsi="宋体" w:cs="仿宋"/>
                <w:sz w:val="24"/>
              </w:rPr>
              <w:t>2.冷凝风机采用优质直流无碳刷风机。冷凝器盘管为内螺纹铜管亲水铝箔高效换热器。蒸发器盘管为内螺纹铜管亲水铝箔高效换热器。蒸发风机采用直流无碳刷风机。膨胀阀、止逆阀、视液镜采用进口配置，转换器为DC-DC转换器，配国产优质品牌，安全可靠耐震动、抗干扰。变频器需配国产优质品牌，安全可靠耐震动、抗干扰。压缩机采用进口或合资品牌压缩机。配备新风装置。风速要求达到国家标准。</w:t>
            </w:r>
          </w:p>
          <w:p>
            <w:pPr>
              <w:adjustRightInd w:val="0"/>
              <w:snapToGrid w:val="0"/>
              <w:spacing w:line="320" w:lineRule="exact"/>
              <w:rPr>
                <w:rFonts w:ascii="宋体" w:hAnsi="宋体" w:cs="仿宋"/>
                <w:sz w:val="24"/>
              </w:rPr>
            </w:pPr>
            <w:r>
              <w:rPr>
                <w:rFonts w:hint="eastAsia" w:ascii="宋体" w:hAnsi="宋体" w:cs="仿宋"/>
                <w:sz w:val="24"/>
              </w:rPr>
              <w:t>3.空调整机免费质保8年（含工时费、易损、易耗件），</w:t>
            </w:r>
            <w:r>
              <w:rPr>
                <w:rFonts w:hint="eastAsia" w:ascii="宋体" w:hAnsi="宋体" w:cs="仿宋"/>
                <w:b/>
                <w:sz w:val="24"/>
              </w:rPr>
              <w:t>并在投标文件中附</w:t>
            </w:r>
            <w:r>
              <w:rPr>
                <w:rFonts w:hint="eastAsia" w:ascii="宋体" w:hAnsi="宋体" w:cs="仿宋"/>
                <w:b/>
                <w:bCs/>
                <w:sz w:val="24"/>
              </w:rPr>
              <w:t>客车厂及配套厂承诺书</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除霜器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1.前挡风玻璃安装高压除霜机，司机处增设一个出风口（便于司机脚部取暖）。</w:t>
            </w:r>
          </w:p>
          <w:p>
            <w:pPr>
              <w:adjustRightInd w:val="0"/>
              <w:snapToGrid w:val="0"/>
              <w:spacing w:line="320" w:lineRule="exact"/>
              <w:rPr>
                <w:rFonts w:ascii="宋体" w:hAnsi="宋体" w:cs="仿宋"/>
                <w:sz w:val="24"/>
              </w:rPr>
            </w:pPr>
            <w:r>
              <w:rPr>
                <w:rFonts w:hint="eastAsia" w:ascii="宋体" w:hAnsi="宋体" w:cs="仿宋"/>
                <w:sz w:val="24"/>
              </w:rPr>
              <w:t>2.免费质保8年（含工时费、易损、易耗件）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bCs/>
                <w:sz w:val="24"/>
              </w:rPr>
              <w:t>8.消防设备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电池箱灭火装置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1.具有温度传感器、气体分解传感器、烟雾传感器并实现报警功能。</w:t>
            </w:r>
          </w:p>
          <w:p>
            <w:pPr>
              <w:adjustRightInd w:val="0"/>
              <w:snapToGrid w:val="0"/>
              <w:spacing w:line="320" w:lineRule="exact"/>
              <w:rPr>
                <w:rFonts w:ascii="宋体" w:hAnsi="宋体" w:cs="仿宋"/>
                <w:sz w:val="24"/>
              </w:rPr>
            </w:pPr>
            <w:r>
              <w:rPr>
                <w:rFonts w:hint="eastAsia" w:ascii="宋体" w:hAnsi="宋体" w:cs="仿宋"/>
                <w:sz w:val="24"/>
              </w:rPr>
              <w:t>2. 能实现电解液漏液自动检测报警和火灾自动探测报警功能。</w:t>
            </w:r>
          </w:p>
          <w:p>
            <w:pPr>
              <w:adjustRightInd w:val="0"/>
              <w:snapToGrid w:val="0"/>
              <w:spacing w:line="320" w:lineRule="exact"/>
              <w:rPr>
                <w:rFonts w:ascii="宋体" w:hAnsi="宋体" w:cs="仿宋"/>
                <w:sz w:val="24"/>
              </w:rPr>
            </w:pPr>
            <w:r>
              <w:rPr>
                <w:rFonts w:hint="eastAsia" w:ascii="宋体" w:hAnsi="宋体" w:cs="仿宋"/>
                <w:sz w:val="24"/>
              </w:rPr>
              <w:t>3.具有灭火装置和启动开关，并能实现自动启动和手动启动功能。</w:t>
            </w:r>
          </w:p>
          <w:p>
            <w:pPr>
              <w:adjustRightInd w:val="0"/>
              <w:snapToGrid w:val="0"/>
              <w:spacing w:line="320" w:lineRule="exact"/>
              <w:rPr>
                <w:rFonts w:ascii="宋体" w:hAnsi="宋体" w:cs="仿宋"/>
                <w:sz w:val="24"/>
              </w:rPr>
            </w:pPr>
            <w:r>
              <w:rPr>
                <w:rFonts w:hint="eastAsia" w:ascii="宋体" w:hAnsi="宋体" w:cs="仿宋"/>
                <w:sz w:val="24"/>
              </w:rPr>
              <w:t>4.</w:t>
            </w:r>
            <w:r>
              <w:rPr>
                <w:rFonts w:hint="eastAsia" w:ascii="宋体" w:hAnsi="宋体" w:cs="仿宋"/>
                <w:b/>
                <w:bCs/>
                <w:sz w:val="24"/>
              </w:rPr>
              <w:t>具有权威消防研究中心对该产品的检测试验报告</w:t>
            </w:r>
            <w:r>
              <w:rPr>
                <w:rFonts w:hint="eastAsia" w:ascii="宋体" w:hAnsi="宋体" w:cs="仿宋"/>
                <w:sz w:val="24"/>
              </w:rPr>
              <w:t>。</w:t>
            </w:r>
          </w:p>
          <w:p>
            <w:pPr>
              <w:adjustRightInd w:val="0"/>
              <w:snapToGrid w:val="0"/>
              <w:spacing w:line="320" w:lineRule="exact"/>
              <w:rPr>
                <w:rFonts w:ascii="宋体" w:hAnsi="宋体" w:cs="仿宋"/>
                <w:bCs/>
                <w:sz w:val="24"/>
              </w:rPr>
            </w:pPr>
            <w:r>
              <w:rPr>
                <w:rFonts w:hint="eastAsia" w:ascii="宋体" w:hAnsi="宋体" w:cs="仿宋"/>
                <w:sz w:val="24"/>
              </w:rPr>
              <w:t>5.探测装置、灭火装置等要求质保8年。要求采用全氟己酮或七氟丙烷灭火剂，大于等于3Kg，</w:t>
            </w:r>
            <w:r>
              <w:rPr>
                <w:rFonts w:hint="eastAsia" w:ascii="宋体" w:hAnsi="宋体" w:cs="仿宋"/>
                <w:b/>
                <w:sz w:val="24"/>
              </w:rPr>
              <w:t>在投标文件中提供相关检测报告及消防产品技术鉴定证书，并提供配套供应商质保承诺函</w:t>
            </w:r>
            <w:r>
              <w:rPr>
                <w:rFonts w:hint="eastAsia" w:ascii="宋体" w:hAnsi="宋体" w:cs="仿宋"/>
                <w:bCs/>
                <w:sz w:val="24"/>
              </w:rPr>
              <w:t>。</w:t>
            </w:r>
          </w:p>
          <w:p>
            <w:pPr>
              <w:adjustRightInd w:val="0"/>
              <w:snapToGrid w:val="0"/>
              <w:spacing w:line="320" w:lineRule="exact"/>
              <w:rPr>
                <w:rFonts w:ascii="宋体" w:hAnsi="宋体" w:cs="仿宋"/>
                <w:sz w:val="24"/>
              </w:rPr>
            </w:pPr>
            <w:r>
              <w:rPr>
                <w:rFonts w:hint="eastAsia" w:ascii="宋体" w:hAnsi="宋体" w:cs="仿宋"/>
                <w:sz w:val="24"/>
              </w:rPr>
              <w:t>6、电池箱火灾防控装置需有8年商业保险，承诺非人为损坏和失效的免费更换。如因装用不合格的磷酸铁锂电池箱灭火装置引起的各种损失及责任，由成交供应商承担。</w:t>
            </w:r>
          </w:p>
          <w:p>
            <w:pPr>
              <w:adjustRightInd w:val="0"/>
              <w:snapToGrid w:val="0"/>
              <w:spacing w:line="320" w:lineRule="exact"/>
              <w:rPr>
                <w:rFonts w:ascii="宋体" w:hAnsi="宋体" w:cs="仿宋"/>
                <w:sz w:val="24"/>
              </w:rPr>
            </w:pPr>
            <w:r>
              <w:rPr>
                <w:rFonts w:hint="eastAsia" w:ascii="宋体" w:hAnsi="宋体" w:cs="仿宋"/>
                <w:sz w:val="24"/>
              </w:rPr>
              <w:t>7.电池箱防护等级在IP67以上（</w:t>
            </w:r>
            <w:r>
              <w:rPr>
                <w:rFonts w:hint="eastAsia" w:ascii="宋体" w:hAnsi="宋体" w:cs="仿宋"/>
                <w:b/>
                <w:sz w:val="24"/>
              </w:rPr>
              <w:t>在投标文件中</w:t>
            </w:r>
            <w:r>
              <w:rPr>
                <w:rFonts w:hint="eastAsia" w:ascii="宋体" w:hAnsi="宋体" w:cs="仿宋"/>
                <w:b/>
                <w:bCs/>
                <w:sz w:val="24"/>
              </w:rPr>
              <w:t>提供国家或第三方机构检验报告等证明材料</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车辆消防设备</w:t>
            </w:r>
          </w:p>
        </w:tc>
        <w:tc>
          <w:tcPr>
            <w:tcW w:w="7135" w:type="dxa"/>
            <w:vAlign w:val="center"/>
          </w:tcPr>
          <w:p>
            <w:pPr>
              <w:adjustRightInd w:val="0"/>
              <w:snapToGrid w:val="0"/>
              <w:spacing w:line="320" w:lineRule="exact"/>
              <w:rPr>
                <w:rFonts w:ascii="宋体" w:hAnsi="宋体" w:cs="仿宋"/>
                <w:strike/>
                <w:sz w:val="24"/>
              </w:rPr>
            </w:pPr>
            <w:r>
              <w:rPr>
                <w:rFonts w:hint="eastAsia" w:ascii="宋体" w:hAnsi="宋体" w:cs="仿宋"/>
                <w:sz w:val="24"/>
              </w:rPr>
              <w:t>1.车厢内配置2只以上单个不低于4公斤的干粉灭火器，灭火器及配置数量应符合国家标准规定，并取得公安部认证。</w:t>
            </w:r>
          </w:p>
          <w:p>
            <w:pPr>
              <w:adjustRightInd w:val="0"/>
              <w:snapToGrid w:val="0"/>
              <w:spacing w:line="320" w:lineRule="exact"/>
              <w:rPr>
                <w:rFonts w:ascii="宋体" w:hAnsi="宋体" w:cs="仿宋"/>
                <w:sz w:val="24"/>
              </w:rPr>
            </w:pPr>
            <w:r>
              <w:rPr>
                <w:rFonts w:hint="eastAsia" w:ascii="宋体" w:hAnsi="宋体" w:cs="仿宋"/>
                <w:sz w:val="24"/>
              </w:rPr>
              <w:t>2.高压仓、电池仓配备管网式干粉灭火装置且重量符合国家相关要求，具备报警及手动操作功能，方便更换。质保8年（到期免费更换，含更换工时费及易损易耗件）。</w:t>
            </w:r>
          </w:p>
          <w:p>
            <w:pPr>
              <w:adjustRightInd w:val="0"/>
              <w:snapToGrid w:val="0"/>
              <w:spacing w:line="320" w:lineRule="exact"/>
              <w:rPr>
                <w:rFonts w:ascii="宋体" w:hAnsi="宋体" w:cs="仿宋"/>
                <w:sz w:val="24"/>
              </w:rPr>
            </w:pPr>
            <w:r>
              <w:rPr>
                <w:rFonts w:hint="eastAsia" w:ascii="宋体" w:hAnsi="宋体" w:cs="仿宋"/>
                <w:sz w:val="24"/>
              </w:rPr>
              <w:t>3.安装客车车门应急控制系统，前后门泵总控制开关安装在副仪表台位置。前车门外、中门内和驾驶室各安装断气应急开关。应急开关应设有明显的警示使用标识。</w:t>
            </w:r>
          </w:p>
          <w:p>
            <w:pPr>
              <w:adjustRightInd w:val="0"/>
              <w:snapToGrid w:val="0"/>
              <w:spacing w:line="320" w:lineRule="exact"/>
              <w:rPr>
                <w:rFonts w:ascii="宋体" w:hAnsi="宋体" w:cs="仿宋"/>
                <w:sz w:val="24"/>
              </w:rPr>
            </w:pPr>
            <w:r>
              <w:rPr>
                <w:rFonts w:hint="eastAsia" w:ascii="宋体" w:hAnsi="宋体" w:cs="仿宋"/>
                <w:sz w:val="24"/>
              </w:rPr>
              <w:t>4.按要求配5只以上（带防盗自动报警型）安全锤，其中司机旁安装1只，符合GB7258-2017《机动车运行安全技术条件》要求。</w:t>
            </w:r>
          </w:p>
          <w:p>
            <w:pPr>
              <w:adjustRightInd w:val="0"/>
              <w:snapToGrid w:val="0"/>
              <w:spacing w:line="320" w:lineRule="exact"/>
              <w:rPr>
                <w:rFonts w:ascii="宋体" w:hAnsi="宋体" w:cs="仿宋"/>
                <w:sz w:val="24"/>
              </w:rPr>
            </w:pPr>
            <w:r>
              <w:rPr>
                <w:rFonts w:hint="eastAsia" w:ascii="宋体" w:hAnsi="宋体" w:cs="仿宋"/>
                <w:sz w:val="24"/>
              </w:rPr>
              <w:t>5.整车侧窗左右两侧安装手自一体破窗器，带翻盖报警功能，每车安装四处，布置相关说明，每个窗户配置安全标识-逃生出口。破窗器免费质保8年。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9.电子信息设施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CAN总线</w:t>
            </w:r>
          </w:p>
        </w:tc>
        <w:tc>
          <w:tcPr>
            <w:tcW w:w="7135" w:type="dxa"/>
            <w:vAlign w:val="center"/>
          </w:tcPr>
          <w:p>
            <w:pPr>
              <w:tabs>
                <w:tab w:val="left" w:pos="360"/>
              </w:tabs>
              <w:adjustRightInd w:val="0"/>
              <w:snapToGrid w:val="0"/>
              <w:spacing w:line="320" w:lineRule="exact"/>
              <w:rPr>
                <w:rFonts w:ascii="宋体" w:hAnsi="宋体" w:cs="仿宋"/>
                <w:sz w:val="24"/>
              </w:rPr>
            </w:pPr>
            <w:r>
              <w:rPr>
                <w:rFonts w:hint="eastAsia" w:ascii="宋体" w:hAnsi="宋体" w:cs="仿宋"/>
                <w:sz w:val="24"/>
              </w:rPr>
              <w:t>1.全车线路控制采用阻燃整车三级（三路）CAN总线系统。</w:t>
            </w:r>
          </w:p>
          <w:p>
            <w:pPr>
              <w:adjustRightInd w:val="0"/>
              <w:snapToGrid w:val="0"/>
              <w:spacing w:line="320" w:lineRule="exact"/>
              <w:jc w:val="left"/>
              <w:rPr>
                <w:rFonts w:ascii="宋体" w:hAnsi="宋体" w:cs="仿宋"/>
                <w:sz w:val="24"/>
              </w:rPr>
            </w:pPr>
            <w:r>
              <w:rPr>
                <w:rFonts w:hint="eastAsia" w:ascii="宋体" w:hAnsi="宋体" w:cs="仿宋"/>
                <w:sz w:val="24"/>
              </w:rPr>
              <w:t>2.全车CAN智能控制系统，包括1个彩屏仪表+总线控制器(驱动控制模块可互换），对接云总线系统。</w:t>
            </w:r>
          </w:p>
          <w:p>
            <w:pPr>
              <w:adjustRightInd w:val="0"/>
              <w:snapToGrid w:val="0"/>
              <w:spacing w:line="320" w:lineRule="exact"/>
              <w:jc w:val="left"/>
              <w:rPr>
                <w:rFonts w:ascii="宋体" w:hAnsi="宋体" w:cs="仿宋"/>
                <w:sz w:val="24"/>
              </w:rPr>
            </w:pPr>
            <w:r>
              <w:rPr>
                <w:rFonts w:hint="eastAsia" w:ascii="宋体" w:hAnsi="宋体" w:cs="仿宋"/>
                <w:sz w:val="24"/>
              </w:rPr>
              <w:t>3.彩屏总线仪表带彩色液晶显示屏，集成倒车和中门监控，集成各电机管理信息、电池管理信息、整车控制器等运行实时状态和故障显示。</w:t>
            </w:r>
          </w:p>
          <w:p>
            <w:pPr>
              <w:adjustRightInd w:val="0"/>
              <w:snapToGrid w:val="0"/>
              <w:spacing w:line="320" w:lineRule="exact"/>
              <w:jc w:val="left"/>
              <w:rPr>
                <w:rFonts w:ascii="宋体" w:hAnsi="宋体" w:cs="仿宋"/>
                <w:sz w:val="24"/>
              </w:rPr>
            </w:pPr>
            <w:r>
              <w:rPr>
                <w:rFonts w:hint="eastAsia" w:ascii="宋体" w:hAnsi="宋体" w:cs="仿宋"/>
                <w:sz w:val="24"/>
              </w:rPr>
              <w:t>4.CAN总线，质保期8年（含工时及易损易耗件）。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智能调度、监控系统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1.安装智能调度系统、监控系统（具体安装要求见表1）技术要求与采购人对接。</w:t>
            </w:r>
          </w:p>
          <w:p>
            <w:pPr>
              <w:adjustRightInd w:val="0"/>
              <w:snapToGrid w:val="0"/>
              <w:spacing w:line="320" w:lineRule="exact"/>
              <w:jc w:val="lef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3.必须配备灾备盒，可以保障内部存储数据在以下情况下的数据安全：车辆火灾（一般260~1100℃，最高1250℃）、猛烈冲击(150km/h速度下刚性碰撞)、落水并长时间浸泡（100米深，超过24小时）、高强度挤压、尖锐穿刺撞击、急速冷却等。</w:t>
            </w:r>
          </w:p>
          <w:p>
            <w:pPr>
              <w:adjustRightInd w:val="0"/>
              <w:snapToGrid w:val="0"/>
              <w:spacing w:line="320" w:lineRule="exact"/>
              <w:jc w:val="left"/>
              <w:rPr>
                <w:rFonts w:ascii="宋体" w:hAnsi="宋体" w:cs="仿宋"/>
                <w:sz w:val="24"/>
              </w:rPr>
            </w:pPr>
            <w:r>
              <w:rPr>
                <w:rFonts w:hint="eastAsia" w:ascii="宋体" w:hAnsi="宋体" w:cs="仿宋"/>
                <w:sz w:val="24"/>
              </w:rPr>
              <w:t>4.支持4G或4G以上网络制式；支持GPS和北斗双模定位；配备1T及以上固态硬盘的车载硬盘；</w:t>
            </w:r>
          </w:p>
          <w:p>
            <w:pPr>
              <w:adjustRightInd w:val="0"/>
              <w:snapToGrid w:val="0"/>
              <w:spacing w:line="320" w:lineRule="exact"/>
              <w:jc w:val="left"/>
              <w:rPr>
                <w:rFonts w:ascii="宋体" w:hAnsi="宋体" w:cs="仿宋"/>
                <w:sz w:val="24"/>
              </w:rPr>
            </w:pPr>
            <w:r>
              <w:rPr>
                <w:rFonts w:hint="eastAsia" w:ascii="宋体" w:hAnsi="宋体" w:cs="仿宋"/>
                <w:sz w:val="24"/>
              </w:rPr>
              <w:t>5.安装10英寸及以上信息终端，要求安装在司机位置仪表台，配备遮阳罩，必须支持定制化开发，实现与其他业务系统及数据中台进行交互。</w:t>
            </w:r>
          </w:p>
          <w:p>
            <w:pPr>
              <w:adjustRightInd w:val="0"/>
              <w:snapToGrid w:val="0"/>
              <w:spacing w:line="320" w:lineRule="exact"/>
              <w:jc w:val="left"/>
              <w:rPr>
                <w:rFonts w:ascii="宋体" w:hAnsi="宋体" w:cs="仿宋"/>
                <w:sz w:val="24"/>
              </w:rPr>
            </w:pPr>
            <w:r>
              <w:rPr>
                <w:rFonts w:hint="eastAsia" w:ascii="宋体" w:hAnsi="宋体" w:cs="仿宋"/>
                <w:sz w:val="24"/>
              </w:rPr>
              <w:t>6.麦克风必须为鹅颈麦克风，安装在司机位置仪表台。</w:t>
            </w:r>
          </w:p>
          <w:p>
            <w:pPr>
              <w:adjustRightInd w:val="0"/>
              <w:snapToGrid w:val="0"/>
              <w:spacing w:line="320" w:lineRule="exact"/>
              <w:jc w:val="left"/>
              <w:rPr>
                <w:rFonts w:ascii="宋体" w:hAnsi="宋体" w:cs="仿宋"/>
                <w:sz w:val="24"/>
              </w:rPr>
            </w:pPr>
            <w:r>
              <w:rPr>
                <w:rFonts w:hint="eastAsia" w:ascii="宋体" w:hAnsi="宋体" w:cs="仿宋"/>
                <w:sz w:val="24"/>
              </w:rPr>
              <w:t>7.质保期8年（含工时及易损易耗件）。</w:t>
            </w:r>
            <w:r>
              <w:rPr>
                <w:rFonts w:hint="eastAsia" w:ascii="宋体" w:hAnsi="宋体" w:cs="仿宋"/>
                <w:b/>
                <w:bCs/>
                <w:sz w:val="24"/>
              </w:rPr>
              <w:t>投标人须中标后10天内提交质保承诺书，质保期承诺须由配套产品厂家和车辆制造厂家共同书面承诺</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车内影像系统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1.安装车内影像系统1个显示屏和1个车载无线播放器，车载无线播放器安装在电器箱内（具体设施项目要求见表2），须接入采购人现有的影像平台系统。</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r>
              <w:rPr>
                <w:rFonts w:hint="eastAsia" w:ascii="宋体" w:hAnsi="宋体" w:cs="仿宋"/>
                <w:b/>
                <w:bCs/>
                <w:sz w:val="24"/>
              </w:rPr>
              <w:t>投标人须中标后10天内提交质保承诺书，质保期承诺须由配套产品厂家和车辆制造厂家共同书面承诺。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LED电子路牌</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1.电子路牌为前、后、侧牌采用全彩显示电子路牌。</w:t>
            </w:r>
          </w:p>
          <w:p>
            <w:pPr>
              <w:adjustRightInd w:val="0"/>
              <w:snapToGrid w:val="0"/>
              <w:spacing w:line="320" w:lineRule="exact"/>
              <w:rPr>
                <w:rFonts w:ascii="宋体" w:hAnsi="宋体" w:cs="仿宋"/>
                <w:sz w:val="24"/>
              </w:rPr>
            </w:pPr>
            <w:r>
              <w:rPr>
                <w:rFonts w:hint="eastAsia" w:ascii="宋体" w:hAnsi="宋体" w:cs="仿宋"/>
                <w:sz w:val="24"/>
              </w:rPr>
              <w:t>2.根据车辆实际情况配置，后牌显示车辆转弯、刹车等车辆实时信息。与采购方现有系统对接，路牌设有光感探头，可随外界亮度变化自动调节亮度，内容可以静止、滚动等多种方式显示。</w:t>
            </w:r>
          </w:p>
          <w:p>
            <w:pPr>
              <w:adjustRightInd w:val="0"/>
              <w:snapToGrid w:val="0"/>
              <w:spacing w:line="320" w:lineRule="exact"/>
              <w:rPr>
                <w:rFonts w:ascii="宋体" w:hAnsi="宋体" w:cs="仿宋"/>
                <w:sz w:val="24"/>
              </w:rPr>
            </w:pPr>
            <w:r>
              <w:rPr>
                <w:rFonts w:hint="eastAsia" w:ascii="宋体" w:hAnsi="宋体" w:cs="仿宋"/>
                <w:sz w:val="24"/>
              </w:rPr>
              <w:t>3.免费质保8年+本地维修。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导乘屏</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1.车内安装1块LCD导乘屏显示实时到站信息。</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3.免费质保8年（含工时及易损易耗件），要求本地维修。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客流分析仪</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1.体感摄像头安装在前门/后门正上方，镜头要求与车身平行安装，摄像头正面朝下并无遮挡物遮挡；前中门信号线要求门打开或关闭时提供脉冲电平（24V），且要求放置在主机位置处。</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3.质保期8年（含工时及易损易耗件），</w:t>
            </w:r>
            <w:r>
              <w:rPr>
                <w:rFonts w:hint="eastAsia" w:ascii="宋体" w:hAnsi="宋体" w:cs="仿宋"/>
                <w:b/>
                <w:bCs/>
                <w:sz w:val="24"/>
              </w:rPr>
              <w:t>投标人须中标后10天内提交质保承诺书，质保期承诺须由配套产品厂家和车辆制造厂家共同书面承诺。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驾驶员主动防御系统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1.具有云总线硬件设施及软件系统。</w:t>
            </w:r>
          </w:p>
          <w:p>
            <w:pPr>
              <w:adjustRightInd w:val="0"/>
              <w:snapToGrid w:val="0"/>
              <w:spacing w:line="320" w:lineRule="exact"/>
              <w:jc w:val="left"/>
              <w:rPr>
                <w:rFonts w:ascii="宋体" w:hAnsi="宋体" w:cs="仿宋"/>
                <w:sz w:val="24"/>
              </w:rPr>
            </w:pPr>
            <w:r>
              <w:rPr>
                <w:rFonts w:hint="eastAsia" w:ascii="宋体" w:hAnsi="宋体" w:cs="仿宋"/>
                <w:sz w:val="24"/>
              </w:rPr>
              <w:t>2.通过云总线对驾驶员行为进行分析，具备开机自检、过流、过压、过温保护功能，能判断轻载、过载、短路、开路等故障状态；CAN模块可通用、互换、具备较强的抗电磁干扰和静电冲击能力，使用通过ISO电磁兼容认证的产品；云总线系统具备大数据管理技术，CAN数据采集，实时信息处理、动力系统及车身底盘等相关电气负载信息显示及故障报警的能力。</w:t>
            </w:r>
          </w:p>
          <w:p>
            <w:pPr>
              <w:adjustRightInd w:val="0"/>
              <w:snapToGrid w:val="0"/>
              <w:spacing w:line="320" w:lineRule="exact"/>
              <w:jc w:val="left"/>
              <w:rPr>
                <w:rFonts w:ascii="宋体" w:hAnsi="宋体" w:cs="仿宋"/>
                <w:sz w:val="24"/>
              </w:rPr>
            </w:pPr>
            <w:r>
              <w:rPr>
                <w:rFonts w:hint="eastAsia" w:ascii="宋体" w:hAnsi="宋体" w:cs="仿宋"/>
                <w:sz w:val="24"/>
              </w:rPr>
              <w:t>3.车辆智能视频监控报警装置（含DSM和ADAS），具备驾驶员不安全驾驶行为监控和车辆前方行驶碰撞预警功能：符合《交通运输部办公厅关于推广应用智能视频监控报警技术的通知》（交办运〔2018〕115号）附件“道路运输车辆智能视频监控报警装置技术规范（暂行）”及符合浙江省道路运输协会发布的《道路运输车辆智能视频监控报警系统终端技术规范》（T/ZJRTA01—2018）要求。</w:t>
            </w:r>
          </w:p>
          <w:p>
            <w:pPr>
              <w:adjustRightInd w:val="0"/>
              <w:snapToGrid w:val="0"/>
              <w:spacing w:line="320" w:lineRule="exact"/>
              <w:jc w:val="left"/>
              <w:rPr>
                <w:rFonts w:ascii="宋体" w:hAnsi="宋体" w:cs="仿宋"/>
                <w:sz w:val="24"/>
              </w:rPr>
            </w:pPr>
            <w:r>
              <w:rPr>
                <w:rFonts w:hint="eastAsia" w:ascii="宋体" w:hAnsi="宋体" w:cs="仿宋"/>
                <w:sz w:val="24"/>
              </w:rPr>
              <w:t>4.配备相应系统平台，实现车辆运行状态实时监控、报警，能耗统计、驾驶员技能行为分析、驾驶员安全行为分析、线路驾驶规范、事故疑点数据采集与分析等功能并实现与DSM设备交互实现人脸识别、语音播报、安全行为考核评价等功能，满足业务的定制化开发要求，硬件与系统平台必须同步提供所有功能。</w:t>
            </w:r>
          </w:p>
          <w:p>
            <w:pPr>
              <w:adjustRightInd w:val="0"/>
              <w:snapToGrid w:val="0"/>
              <w:spacing w:line="320" w:lineRule="exact"/>
              <w:jc w:val="left"/>
              <w:rPr>
                <w:rFonts w:ascii="宋体" w:hAnsi="宋体" w:cs="仿宋"/>
                <w:sz w:val="24"/>
              </w:rPr>
            </w:pPr>
            <w:r>
              <w:rPr>
                <w:rFonts w:hint="eastAsia" w:ascii="宋体" w:hAnsi="宋体" w:cs="仿宋"/>
                <w:sz w:val="24"/>
              </w:rPr>
              <w:t>5.系统平台必须支持PC、移动端等使用方式，</w:t>
            </w:r>
          </w:p>
          <w:p>
            <w:pPr>
              <w:adjustRightInd w:val="0"/>
              <w:snapToGrid w:val="0"/>
              <w:spacing w:line="320" w:lineRule="exact"/>
              <w:jc w:val="left"/>
              <w:rPr>
                <w:rFonts w:ascii="宋体" w:hAnsi="宋体" w:cs="仿宋"/>
                <w:sz w:val="24"/>
              </w:rPr>
            </w:pPr>
            <w:r>
              <w:rPr>
                <w:rFonts w:hint="eastAsia" w:ascii="宋体" w:hAnsi="宋体" w:cs="仿宋"/>
                <w:sz w:val="24"/>
              </w:rPr>
              <w:t>6.系统平台与采购人现有云总线系统进行适配，互相同步或覆盖，系统平台必须全面兼容现有设备。</w:t>
            </w:r>
          </w:p>
          <w:p>
            <w:pPr>
              <w:adjustRightInd w:val="0"/>
              <w:snapToGrid w:val="0"/>
              <w:spacing w:line="320" w:lineRule="exact"/>
              <w:jc w:val="left"/>
              <w:rPr>
                <w:rFonts w:ascii="宋体" w:hAnsi="宋体" w:cs="仿宋"/>
                <w:sz w:val="24"/>
              </w:rPr>
            </w:pPr>
            <w:r>
              <w:rPr>
                <w:rFonts w:hint="eastAsia" w:ascii="宋体" w:hAnsi="宋体" w:cs="仿宋"/>
                <w:sz w:val="24"/>
              </w:rPr>
              <w:t>7.系统平台必须完全对接台州智慧公交云脑系统。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8.系统软硬件要求质保期8年（含工时及易损易耗件等），</w:t>
            </w:r>
            <w:r>
              <w:rPr>
                <w:rFonts w:hint="eastAsia" w:ascii="宋体" w:hAnsi="宋体" w:cs="仿宋"/>
                <w:b/>
                <w:bCs/>
                <w:sz w:val="24"/>
              </w:rPr>
              <w:t>投标人须中标后10天内提交质保承诺书，质保期承诺须由配套产品厂家和车辆制造厂家共同书面承诺。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电子设备箱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在适当位置安装电子设备箱，可容纳所需的电子设备，采用不锈钢材质。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360全景及电子后视镜系统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1.高清显示，两块12.3英寸高清车规级显示屏（1920x720P），左屏分区显示后视及360环视，车速大于20KM/H切换为全屏显示，右屏后视全屏显示。</w:t>
            </w:r>
          </w:p>
          <w:p>
            <w:pPr>
              <w:adjustRightInd w:val="0"/>
              <w:snapToGrid w:val="0"/>
              <w:spacing w:line="320" w:lineRule="exact"/>
              <w:jc w:val="left"/>
              <w:rPr>
                <w:rFonts w:ascii="宋体" w:hAnsi="宋体" w:cs="仿宋"/>
                <w:sz w:val="24"/>
              </w:rPr>
            </w:pPr>
            <w:r>
              <w:rPr>
                <w:rFonts w:hint="eastAsia" w:ascii="宋体" w:hAnsi="宋体" w:cs="仿宋"/>
                <w:sz w:val="24"/>
              </w:rPr>
              <w:t>2.支持2路1080P高清分辨率摄像头（1920x1080），其中两路后视摄像头，支持4路360环视摄像头，摄像头为标清摄像头。</w:t>
            </w:r>
          </w:p>
          <w:p>
            <w:pPr>
              <w:adjustRightInd w:val="0"/>
              <w:snapToGrid w:val="0"/>
              <w:spacing w:line="320" w:lineRule="exact"/>
              <w:jc w:val="left"/>
              <w:rPr>
                <w:rFonts w:ascii="宋体" w:hAnsi="宋体" w:cs="仿宋"/>
                <w:sz w:val="24"/>
              </w:rPr>
            </w:pPr>
            <w:r>
              <w:rPr>
                <w:rFonts w:hint="eastAsia" w:ascii="宋体" w:hAnsi="宋体" w:cs="仿宋"/>
                <w:sz w:val="24"/>
              </w:rPr>
              <w:t>3.自动画面，支持CAN传输通用协议，并可根据车速和左右转弯信号进行左边12.3寸屏画面的自动切换。</w:t>
            </w:r>
          </w:p>
          <w:p>
            <w:pPr>
              <w:adjustRightInd w:val="0"/>
              <w:snapToGrid w:val="0"/>
              <w:spacing w:line="320" w:lineRule="exact"/>
              <w:jc w:val="left"/>
              <w:rPr>
                <w:rFonts w:ascii="宋体" w:hAnsi="宋体" w:cs="仿宋"/>
                <w:sz w:val="24"/>
              </w:rPr>
            </w:pPr>
            <w:r>
              <w:rPr>
                <w:rFonts w:hint="eastAsia" w:ascii="宋体" w:hAnsi="宋体" w:cs="仿宋"/>
                <w:sz w:val="24"/>
              </w:rPr>
              <w:t>4.自动光感，屏幕亮度自适应调节，适应白天和晚上各种应用场景，自适应防眩护目。</w:t>
            </w:r>
          </w:p>
          <w:p>
            <w:pPr>
              <w:adjustRightInd w:val="0"/>
              <w:snapToGrid w:val="0"/>
              <w:spacing w:line="320" w:lineRule="exact"/>
              <w:jc w:val="left"/>
              <w:rPr>
                <w:rFonts w:ascii="宋体" w:hAnsi="宋体" w:cs="仿宋"/>
                <w:sz w:val="24"/>
              </w:rPr>
            </w:pPr>
            <w:r>
              <w:rPr>
                <w:rFonts w:hint="eastAsia" w:ascii="宋体" w:hAnsi="宋体" w:cs="仿宋"/>
                <w:sz w:val="24"/>
              </w:rPr>
              <w:t>5.具有存储功能，且自带存储容量不小于128G，具备模拟视频输出能力。</w:t>
            </w:r>
          </w:p>
          <w:p>
            <w:pPr>
              <w:adjustRightInd w:val="0"/>
              <w:snapToGrid w:val="0"/>
              <w:spacing w:line="320" w:lineRule="exact"/>
              <w:jc w:val="left"/>
              <w:rPr>
                <w:rFonts w:ascii="宋体" w:hAnsi="宋体" w:cs="仿宋"/>
                <w:sz w:val="24"/>
              </w:rPr>
            </w:pPr>
            <w:r>
              <w:rPr>
                <w:rFonts w:hint="eastAsia" w:ascii="宋体" w:hAnsi="宋体" w:cs="仿宋"/>
                <w:sz w:val="24"/>
              </w:rPr>
              <w:t>6.系统可以提供车辆四周360度全景鸟瞰图，司机在驾驶位可看到车辆四周的状况，无盲区。</w:t>
            </w:r>
          </w:p>
          <w:p>
            <w:pPr>
              <w:adjustRightInd w:val="0"/>
              <w:snapToGrid w:val="0"/>
              <w:spacing w:line="320" w:lineRule="exact"/>
              <w:jc w:val="left"/>
              <w:rPr>
                <w:rFonts w:ascii="宋体" w:hAnsi="宋体" w:cs="仿宋"/>
                <w:sz w:val="24"/>
              </w:rPr>
            </w:pPr>
            <w:r>
              <w:rPr>
                <w:rFonts w:hint="eastAsia" w:ascii="宋体" w:hAnsi="宋体" w:cs="仿宋"/>
                <w:sz w:val="24"/>
              </w:rPr>
              <w:t>7.系统采用红外超广角摄像头，能够适应不同的光源。</w:t>
            </w:r>
          </w:p>
          <w:p>
            <w:pPr>
              <w:adjustRightInd w:val="0"/>
              <w:snapToGrid w:val="0"/>
              <w:spacing w:line="320" w:lineRule="exact"/>
              <w:jc w:val="left"/>
              <w:rPr>
                <w:rFonts w:ascii="宋体" w:hAnsi="宋体" w:cs="仿宋"/>
                <w:sz w:val="24"/>
              </w:rPr>
            </w:pPr>
            <w:r>
              <w:rPr>
                <w:rFonts w:hint="eastAsia" w:ascii="宋体" w:hAnsi="宋体" w:cs="仿宋"/>
                <w:sz w:val="24"/>
              </w:rPr>
              <w:t>8.多种视图模式切换，分别是前视行车图，倒车后视视图，左侧行车视图，右侧行车视图，倒车视图可以替代传统的倒车监控。</w:t>
            </w:r>
          </w:p>
          <w:p>
            <w:pPr>
              <w:adjustRightInd w:val="0"/>
              <w:snapToGrid w:val="0"/>
              <w:spacing w:line="320" w:lineRule="exact"/>
              <w:jc w:val="left"/>
              <w:rPr>
                <w:rFonts w:ascii="宋体" w:hAnsi="宋体" w:cs="仿宋"/>
                <w:sz w:val="24"/>
              </w:rPr>
            </w:pPr>
            <w:r>
              <w:rPr>
                <w:rFonts w:hint="eastAsia" w:ascii="宋体" w:hAnsi="宋体" w:cs="仿宋"/>
                <w:sz w:val="24"/>
              </w:rPr>
              <w:t>9.质保8年（含工时及易损易耗件），要求本地维护，</w:t>
            </w:r>
            <w:r>
              <w:rPr>
                <w:rFonts w:hint="eastAsia" w:ascii="宋体" w:hAnsi="宋体" w:cs="仿宋"/>
                <w:b/>
                <w:bCs/>
                <w:sz w:val="24"/>
              </w:rPr>
              <w:t>投标人须中标后10天内提交质保承诺书，质保期承诺须由配套产品厂家和车辆制造厂家共同书面承诺。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投币箱</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1.嵌入式智能指纹投币机，体积小，支持嵌入式安装和立式安装方式，具有刷指纹、刷卡开门功能，支持币胆无线供电。配3个币胆，适配币胆具有电子标签，自动封门，无线供电功能。</w:t>
            </w:r>
          </w:p>
          <w:p>
            <w:pPr>
              <w:adjustRightInd w:val="0"/>
              <w:snapToGrid w:val="0"/>
              <w:spacing w:line="320" w:lineRule="exact"/>
              <w:jc w:val="left"/>
              <w:rPr>
                <w:rFonts w:ascii="宋体" w:hAnsi="宋体" w:cs="仿宋"/>
                <w:sz w:val="24"/>
              </w:rPr>
            </w:pPr>
            <w:r>
              <w:rPr>
                <w:rFonts w:hint="eastAsia" w:ascii="宋体" w:hAnsi="宋体" w:cs="仿宋"/>
                <w:sz w:val="24"/>
              </w:rPr>
              <w:t>2.质保8年（内外箱锁具、钥匙、票箱等易损易耗件+日常维修配件），</w:t>
            </w:r>
            <w:r>
              <w:rPr>
                <w:rFonts w:hint="eastAsia" w:ascii="宋体" w:hAnsi="宋体" w:cs="仿宋"/>
                <w:b/>
                <w:sz w:val="24"/>
              </w:rPr>
              <w:t>并在投标文件中附承诺书。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IC卡POS机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1.安装IC卡POS机，具有可支持读写符合ISO 14443 TYPE A/B的MF1、CPU卡，支持交通部、住建部标准的CPU卡,银联PBOC3.0标准CPU卡，移动SIMPASS卡，支持NFC、银联云闪付，支持2.4G标准卡消费应用，且二维码识读窗口大、视场角度宽等优点；识别方式752×480CMOS；识读码制：二维FDF417，Data Matrix，QR Code,一维纸质码；识读模式：感应识读；识读精度：10mil；支持支付宝、微信、银联标准二维码支付应用，支持4G全网通、支持GPS/北斗定位，需接入采购人现有系统平台。</w:t>
            </w:r>
          </w:p>
          <w:p>
            <w:pPr>
              <w:adjustRightInd w:val="0"/>
              <w:snapToGrid w:val="0"/>
              <w:spacing w:line="320" w:lineRule="exact"/>
              <w:jc w:val="left"/>
              <w:rPr>
                <w:rFonts w:ascii="宋体" w:hAnsi="宋体" w:cs="仿宋"/>
                <w:sz w:val="24"/>
              </w:rPr>
            </w:pPr>
            <w:r>
              <w:rPr>
                <w:rFonts w:hint="eastAsia" w:ascii="宋体" w:hAnsi="宋体" w:cs="仿宋"/>
                <w:sz w:val="24"/>
              </w:rPr>
              <w:t>2.质保8年（含工时及易损易耗件），</w:t>
            </w:r>
            <w:r>
              <w:rPr>
                <w:rFonts w:hint="eastAsia" w:ascii="宋体" w:hAnsi="宋体" w:cs="仿宋"/>
                <w:b/>
                <w:sz w:val="24"/>
              </w:rPr>
              <w:t>并在投标文件中附承诺书</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车尾广告屏</w:t>
            </w:r>
          </w:p>
        </w:tc>
        <w:tc>
          <w:tcPr>
            <w:tcW w:w="7135" w:type="dxa"/>
            <w:vAlign w:val="center"/>
          </w:tcPr>
          <w:p>
            <w:pPr>
              <w:numPr>
                <w:ilvl w:val="0"/>
                <w:numId w:val="7"/>
              </w:numPr>
              <w:adjustRightInd w:val="0"/>
              <w:snapToGrid w:val="0"/>
              <w:spacing w:line="320" w:lineRule="exact"/>
              <w:jc w:val="left"/>
              <w:rPr>
                <w:rFonts w:ascii="宋体" w:hAnsi="宋体" w:cs="仿宋"/>
                <w:sz w:val="24"/>
              </w:rPr>
            </w:pPr>
            <w:r>
              <w:rPr>
                <w:rFonts w:hint="eastAsia" w:ascii="宋体" w:hAnsi="宋体" w:cs="仿宋"/>
                <w:sz w:val="24"/>
              </w:rPr>
              <w:t>整屏规格：根据车后挡风玻璃尺寸配置；点阵距：P4；单元板像素点：H:40*W:80；全屏分辨率（像素点）：W:400*H:80；全屏画面比例：5:1；刷新率：1200；灰度等级：4096；亮度：64；</w:t>
            </w:r>
          </w:p>
          <w:p>
            <w:pPr>
              <w:numPr>
                <w:ilvl w:val="0"/>
                <w:numId w:val="7"/>
              </w:numPr>
              <w:adjustRightInd w:val="0"/>
              <w:snapToGrid w:val="0"/>
              <w:spacing w:line="320" w:lineRule="exact"/>
              <w:jc w:val="left"/>
              <w:rPr>
                <w:rFonts w:ascii="宋体" w:hAnsi="宋体" w:cs="仿宋"/>
                <w:sz w:val="24"/>
              </w:rPr>
            </w:pPr>
            <w:r>
              <w:rPr>
                <w:rFonts w:hint="eastAsia" w:ascii="宋体" w:hAnsi="宋体" w:cs="仿宋"/>
                <w:sz w:val="24"/>
              </w:rPr>
              <w:t>管芯芯片：台湾晶元/三安/华灿；LED 封装方式：SMD1921；白平衡最高亮度≥6500；亮度（cd/ m2）：5500cd/平方米；亮度等级 64；灰度等级：灰色等级65536 刷新率1920支持 JPG,BMP,WMF等视频格式；电源配置：40A电源配置4个；控制开关：车尾后屏外部设置电源开关，方便年检等情况关闭电源；线材便用耐高温105℃、阻燃线材；</w:t>
            </w:r>
          </w:p>
          <w:p>
            <w:pPr>
              <w:numPr>
                <w:ilvl w:val="0"/>
                <w:numId w:val="7"/>
              </w:numPr>
              <w:adjustRightInd w:val="0"/>
              <w:snapToGrid w:val="0"/>
              <w:spacing w:line="320" w:lineRule="exact"/>
              <w:jc w:val="left"/>
            </w:pPr>
            <w:r>
              <w:rPr>
                <w:rFonts w:hint="eastAsia" w:ascii="宋体" w:hAnsi="宋体" w:cs="仿宋"/>
                <w:sz w:val="24"/>
              </w:rPr>
              <w:t>售后服务：4小时内响应，12小时内修复，疑难问题需要有整机备件更换；负责与采购方现有发布平台品牌（熙彩通）对接，保证正常发布；</w:t>
            </w:r>
          </w:p>
          <w:p>
            <w:pPr>
              <w:adjustRightInd w:val="0"/>
              <w:snapToGrid w:val="0"/>
              <w:spacing w:line="320" w:lineRule="exact"/>
              <w:jc w:val="left"/>
              <w:rPr>
                <w:rFonts w:ascii="宋体" w:hAnsi="宋体" w:cs="仿宋"/>
                <w:sz w:val="24"/>
              </w:rPr>
            </w:pPr>
            <w:r>
              <w:rPr>
                <w:rFonts w:hint="eastAsia" w:ascii="宋体" w:hAnsi="宋体" w:cs="仿宋"/>
                <w:sz w:val="24"/>
              </w:rPr>
              <w:t>4.质保8年（含工时及易损易耗件），要求本地维护，</w:t>
            </w:r>
            <w:r>
              <w:rPr>
                <w:rFonts w:hint="eastAsia" w:ascii="宋体" w:hAnsi="宋体" w:cs="仿宋"/>
                <w:b/>
                <w:bCs/>
                <w:sz w:val="24"/>
              </w:rPr>
              <w:t>投标人须中标后10天内提交质保承诺书，质保期承诺须由配套产品厂家和车辆制造厂家共同书面承诺。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其他</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1.预留一组DCDC电源备用。</w:t>
            </w:r>
          </w:p>
          <w:p>
            <w:pPr>
              <w:adjustRightInd w:val="0"/>
              <w:snapToGrid w:val="0"/>
              <w:spacing w:line="320" w:lineRule="exact"/>
              <w:jc w:val="left"/>
              <w:rPr>
                <w:rFonts w:ascii="宋体" w:hAnsi="宋体" w:cs="仿宋"/>
                <w:sz w:val="24"/>
              </w:rPr>
            </w:pPr>
            <w:r>
              <w:rPr>
                <w:rFonts w:hint="eastAsia" w:ascii="宋体" w:hAnsi="宋体" w:cs="仿宋"/>
                <w:sz w:val="24"/>
              </w:rPr>
              <w:t>2.安装可打印式行车记录仪。</w:t>
            </w:r>
          </w:p>
          <w:p>
            <w:pPr>
              <w:adjustRightInd w:val="0"/>
              <w:snapToGrid w:val="0"/>
              <w:spacing w:line="320" w:lineRule="exact"/>
              <w:jc w:val="left"/>
              <w:rPr>
                <w:rFonts w:ascii="宋体" w:hAnsi="宋体" w:cs="仿宋"/>
                <w:sz w:val="24"/>
              </w:rPr>
            </w:pPr>
            <w:r>
              <w:rPr>
                <w:rFonts w:hint="eastAsia" w:ascii="宋体" w:hAnsi="宋体" w:cs="仿宋"/>
                <w:sz w:val="24"/>
              </w:rPr>
              <w:t>3.采购方其他采购的设备，由中标方负责安装。</w:t>
            </w:r>
          </w:p>
          <w:p>
            <w:pPr>
              <w:adjustRightInd w:val="0"/>
              <w:snapToGrid w:val="0"/>
              <w:spacing w:line="320" w:lineRule="exact"/>
              <w:jc w:val="left"/>
              <w:rPr>
                <w:rFonts w:ascii="宋体" w:hAnsi="宋体" w:cs="仿宋"/>
                <w:sz w:val="24"/>
              </w:rPr>
            </w:pPr>
            <w:r>
              <w:rPr>
                <w:rFonts w:hint="eastAsia" w:ascii="宋体" w:hAnsi="宋体" w:cs="仿宋"/>
                <w:sz w:val="24"/>
              </w:rPr>
              <w:t>4.全车低压供电24V。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10.随车及其他附件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jc w:val="center"/>
        </w:trPr>
        <w:tc>
          <w:tcPr>
            <w:tcW w:w="2261" w:type="dxa"/>
            <w:vAlign w:val="center"/>
          </w:tcPr>
          <w:p>
            <w:pPr>
              <w:adjustRightInd w:val="0"/>
              <w:snapToGrid w:val="0"/>
              <w:spacing w:line="320" w:lineRule="exact"/>
              <w:rPr>
                <w:rFonts w:ascii="宋体" w:hAnsi="宋体" w:cs="仿宋"/>
                <w:sz w:val="24"/>
              </w:rPr>
            </w:pPr>
            <w:r>
              <w:rPr>
                <w:rFonts w:hint="eastAsia" w:ascii="宋体" w:hAnsi="宋体" w:cs="仿宋"/>
                <w:sz w:val="24"/>
              </w:rPr>
              <w:t>随车及其他附件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1.车厢内安装一个不锈钢置物箱，置物箱式样及安装位置与采购方对接后确认。</w:t>
            </w:r>
          </w:p>
          <w:p>
            <w:pPr>
              <w:adjustRightInd w:val="0"/>
              <w:snapToGrid w:val="0"/>
              <w:spacing w:line="320" w:lineRule="exact"/>
              <w:rPr>
                <w:rFonts w:ascii="宋体" w:hAnsi="宋体" w:cs="仿宋"/>
                <w:sz w:val="24"/>
              </w:rPr>
            </w:pPr>
            <w:r>
              <w:rPr>
                <w:rFonts w:hint="eastAsia" w:ascii="宋体" w:hAnsi="宋体" w:cs="仿宋"/>
                <w:sz w:val="24"/>
              </w:rPr>
              <w:t>2.提供十二台车辆故障检测仪。</w:t>
            </w:r>
          </w:p>
          <w:p>
            <w:pPr>
              <w:adjustRightInd w:val="0"/>
              <w:snapToGrid w:val="0"/>
              <w:spacing w:line="320" w:lineRule="exact"/>
              <w:rPr>
                <w:rFonts w:ascii="宋体" w:hAnsi="宋体" w:cs="仿宋"/>
                <w:sz w:val="24"/>
              </w:rPr>
            </w:pPr>
            <w:r>
              <w:rPr>
                <w:rFonts w:hint="eastAsia" w:ascii="宋体" w:hAnsi="宋体" w:cs="仿宋"/>
                <w:sz w:val="24"/>
              </w:rPr>
              <w:t>1.每辆车配一个备胎（含轮辋）、随车工具一套。三角警示牌1个、止推器2个、反光背心1件。</w:t>
            </w:r>
          </w:p>
          <w:p>
            <w:pPr>
              <w:adjustRightInd w:val="0"/>
              <w:snapToGrid w:val="0"/>
              <w:spacing w:line="320" w:lineRule="exact"/>
              <w:rPr>
                <w:rFonts w:ascii="宋体" w:hAnsi="宋体" w:cs="仿宋"/>
                <w:sz w:val="24"/>
              </w:rPr>
            </w:pPr>
            <w:r>
              <w:rPr>
                <w:rFonts w:hint="eastAsia" w:ascii="宋体" w:hAnsi="宋体" w:cs="仿宋"/>
                <w:sz w:val="24"/>
              </w:rPr>
              <w:t>3.安装垃圾分类专用垃圾桶，尺寸、外观等由采购方确认，</w:t>
            </w:r>
          </w:p>
          <w:p>
            <w:pPr>
              <w:adjustRightInd w:val="0"/>
              <w:snapToGrid w:val="0"/>
              <w:spacing w:line="320" w:lineRule="exact"/>
              <w:rPr>
                <w:rFonts w:ascii="宋体" w:hAnsi="宋体" w:cs="仿宋"/>
                <w:sz w:val="24"/>
              </w:rPr>
            </w:pPr>
            <w:r>
              <w:rPr>
                <w:rFonts w:hint="eastAsia" w:ascii="宋体" w:hAnsi="宋体" w:cs="仿宋"/>
                <w:sz w:val="24"/>
              </w:rPr>
              <w:t>合适位置安装不锈钢拖把箱一只。在驾驶室前区域合理放置便民服务箱。安装意见箱，尺寸由采购方提供。</w:t>
            </w:r>
          </w:p>
          <w:p>
            <w:pPr>
              <w:adjustRightInd w:val="0"/>
              <w:snapToGrid w:val="0"/>
              <w:spacing w:line="320" w:lineRule="exact"/>
              <w:rPr>
                <w:rFonts w:ascii="宋体" w:hAnsi="宋体" w:cs="仿宋"/>
                <w:sz w:val="24"/>
              </w:rPr>
            </w:pPr>
            <w:r>
              <w:rPr>
                <w:rFonts w:hint="eastAsia" w:ascii="宋体" w:hAnsi="宋体" w:cs="仿宋"/>
                <w:sz w:val="24"/>
              </w:rPr>
              <w:t>4.车辆前挡序号与车钢印相符表格一份;配整车电路图和主要配件生产型号或图号及生产厂家资料电子档各1份。</w:t>
            </w:r>
          </w:p>
          <w:p>
            <w:pPr>
              <w:adjustRightInd w:val="0"/>
              <w:snapToGrid w:val="0"/>
              <w:spacing w:line="320" w:lineRule="exact"/>
              <w:rPr>
                <w:rFonts w:ascii="宋体" w:hAnsi="宋体" w:cs="仿宋"/>
                <w:sz w:val="24"/>
              </w:rPr>
            </w:pPr>
            <w:r>
              <w:rPr>
                <w:rFonts w:hint="eastAsia" w:ascii="宋体" w:hAnsi="宋体" w:cs="仿宋"/>
                <w:sz w:val="24"/>
              </w:rPr>
              <w:t xml:space="preserve">5.零配件供应体系方案应完整（提供资料、型号、价格清单） </w:t>
            </w:r>
          </w:p>
        </w:tc>
      </w:tr>
    </w:tbl>
    <w:p>
      <w:pPr>
        <w:autoSpaceDE w:val="0"/>
        <w:autoSpaceDN w:val="0"/>
        <w:adjustRightInd w:val="0"/>
        <w:snapToGrid w:val="0"/>
        <w:spacing w:line="320" w:lineRule="exact"/>
        <w:jc w:val="left"/>
        <w:rPr>
          <w:rFonts w:ascii="宋体" w:hAnsi="宋体" w:cs="仿宋"/>
          <w:b/>
          <w:spacing w:val="-8"/>
          <w:szCs w:val="21"/>
        </w:rPr>
      </w:pPr>
      <w:r>
        <w:rPr>
          <w:rFonts w:hint="eastAsia" w:ascii="宋体" w:hAnsi="宋体" w:cs="仿宋"/>
          <w:b/>
          <w:spacing w:val="-8"/>
          <w:szCs w:val="21"/>
        </w:rPr>
        <w:t>表1：设备安装要求</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4282"/>
        <w:gridCol w:w="739"/>
        <w:gridCol w:w="850"/>
        <w:gridCol w:w="2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jc w:val="center"/>
        </w:trPr>
        <w:tc>
          <w:tcPr>
            <w:tcW w:w="9356" w:type="dxa"/>
            <w:gridSpan w:val="5"/>
          </w:tcPr>
          <w:p>
            <w:pPr>
              <w:adjustRightInd w:val="0"/>
              <w:snapToGrid w:val="0"/>
              <w:spacing w:line="320" w:lineRule="exact"/>
              <w:jc w:val="left"/>
              <w:rPr>
                <w:rFonts w:ascii="宋体" w:hAnsi="宋体" w:cs="仿宋"/>
                <w:szCs w:val="21"/>
              </w:rPr>
            </w:pPr>
            <w:r>
              <w:rPr>
                <w:rFonts w:hint="eastAsia" w:ascii="宋体" w:hAnsi="宋体" w:cs="仿宋"/>
                <w:szCs w:val="21"/>
              </w:rPr>
              <w:t>1、安装GPS定位天线到车外顶部；</w:t>
            </w:r>
          </w:p>
          <w:p>
            <w:pPr>
              <w:adjustRightInd w:val="0"/>
              <w:snapToGrid w:val="0"/>
              <w:spacing w:line="320" w:lineRule="exact"/>
              <w:jc w:val="left"/>
              <w:rPr>
                <w:rFonts w:ascii="宋体" w:hAnsi="宋体" w:cs="仿宋"/>
                <w:szCs w:val="21"/>
              </w:rPr>
            </w:pPr>
            <w:r>
              <w:rPr>
                <w:rFonts w:hint="eastAsia" w:ascii="宋体" w:hAnsi="宋体" w:cs="仿宋"/>
                <w:szCs w:val="21"/>
              </w:rPr>
              <w:t>2、在驾驶员附近安装用于和调度中心通话的喇叭；</w:t>
            </w:r>
          </w:p>
          <w:p>
            <w:pPr>
              <w:adjustRightInd w:val="0"/>
              <w:snapToGrid w:val="0"/>
              <w:spacing w:line="320" w:lineRule="exact"/>
              <w:jc w:val="left"/>
              <w:rPr>
                <w:rFonts w:ascii="宋体" w:hAnsi="宋体" w:cs="仿宋"/>
                <w:szCs w:val="21"/>
              </w:rPr>
            </w:pPr>
            <w:r>
              <w:rPr>
                <w:rFonts w:hint="eastAsia" w:ascii="宋体" w:hAnsi="宋体" w:cs="仿宋"/>
                <w:szCs w:val="21"/>
              </w:rPr>
              <w:t>3、6路摄像头监控区域：①照车前；②从前往后照车箱；③照前门、投币机；④照司机；⑤照中门；⑥照倒车；其中照车前的摄像头要求安装在仪表台上；</w:t>
            </w:r>
          </w:p>
          <w:p>
            <w:pPr>
              <w:adjustRightInd w:val="0"/>
              <w:snapToGrid w:val="0"/>
              <w:spacing w:line="320" w:lineRule="exact"/>
              <w:jc w:val="left"/>
              <w:rPr>
                <w:rFonts w:ascii="宋体" w:hAnsi="宋体" w:cs="仿宋"/>
                <w:szCs w:val="21"/>
              </w:rPr>
            </w:pPr>
            <w:r>
              <w:rPr>
                <w:rFonts w:hint="eastAsia" w:ascii="宋体" w:hAnsi="宋体" w:cs="仿宋"/>
                <w:szCs w:val="21"/>
              </w:rPr>
              <w:t>4、要求车辆配备分层可抽拉的设备箱；</w:t>
            </w:r>
          </w:p>
          <w:p>
            <w:pPr>
              <w:adjustRightInd w:val="0"/>
              <w:snapToGrid w:val="0"/>
              <w:spacing w:line="320" w:lineRule="exact"/>
              <w:jc w:val="left"/>
              <w:rPr>
                <w:rFonts w:ascii="宋体" w:hAnsi="宋体" w:cs="仿宋"/>
                <w:szCs w:val="21"/>
              </w:rPr>
            </w:pPr>
            <w:r>
              <w:rPr>
                <w:rFonts w:hint="eastAsia" w:ascii="宋体" w:hAnsi="宋体" w:cs="仿宋"/>
                <w:szCs w:val="21"/>
              </w:rPr>
              <w:t>5、安装协议转换器，实现与相应厂家路牌的通讯。</w:t>
            </w:r>
          </w:p>
          <w:p>
            <w:pPr>
              <w:adjustRightInd w:val="0"/>
              <w:snapToGrid w:val="0"/>
              <w:spacing w:line="320" w:lineRule="exact"/>
              <w:jc w:val="left"/>
              <w:rPr>
                <w:rFonts w:ascii="宋体" w:hAnsi="宋体" w:cs="仿宋"/>
                <w:szCs w:val="21"/>
              </w:rPr>
            </w:pPr>
            <w:r>
              <w:rPr>
                <w:rFonts w:hint="eastAsia" w:ascii="宋体" w:hAnsi="宋体" w:cs="仿宋"/>
                <w:szCs w:val="21"/>
              </w:rPr>
              <w:t>6、驾驶员安全行车分析仪，主机设备安装必须便于使用U盘拷贝更新新程序和更换SIM卡，便于配件的维护及设备的更换，要求主机的两侧需流出足够的操作空间。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jc w:val="center"/>
        </w:trPr>
        <w:tc>
          <w:tcPr>
            <w:tcW w:w="5563" w:type="dxa"/>
            <w:gridSpan w:val="2"/>
            <w:tcBorders>
              <w:top w:val="nil"/>
              <w:left w:val="nil"/>
              <w:bottom w:val="nil"/>
              <w:right w:val="nil"/>
            </w:tcBorders>
            <w:vAlign w:val="center"/>
          </w:tcPr>
          <w:p>
            <w:pPr>
              <w:widowControl/>
              <w:adjustRightInd w:val="0"/>
              <w:snapToGrid w:val="0"/>
              <w:spacing w:line="320" w:lineRule="exact"/>
              <w:rPr>
                <w:rFonts w:ascii="宋体" w:hAnsi="宋体" w:cs="仿宋"/>
                <w:b/>
                <w:bCs/>
                <w:kern w:val="0"/>
                <w:szCs w:val="21"/>
              </w:rPr>
            </w:pPr>
            <w:r>
              <w:rPr>
                <w:rFonts w:hint="eastAsia" w:ascii="宋体" w:hAnsi="宋体" w:cs="仿宋"/>
                <w:b/>
                <w:bCs/>
                <w:kern w:val="0"/>
                <w:szCs w:val="21"/>
              </w:rPr>
              <w:t>表2：车载移动电视目录</w:t>
            </w:r>
          </w:p>
        </w:tc>
        <w:tc>
          <w:tcPr>
            <w:tcW w:w="739"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850"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2204"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名称</w:t>
            </w:r>
          </w:p>
        </w:tc>
        <w:tc>
          <w:tcPr>
            <w:tcW w:w="428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功能</w:t>
            </w:r>
          </w:p>
        </w:tc>
        <w:tc>
          <w:tcPr>
            <w:tcW w:w="739"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单位</w:t>
            </w:r>
          </w:p>
        </w:tc>
        <w:tc>
          <w:tcPr>
            <w:tcW w:w="85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数量</w:t>
            </w:r>
          </w:p>
        </w:tc>
        <w:tc>
          <w:tcPr>
            <w:tcW w:w="2204"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428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73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85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220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9" w:hRule="atLeast"/>
          <w:jc w:val="center"/>
        </w:trPr>
        <w:tc>
          <w:tcPr>
            <w:tcW w:w="1281"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车载播放器</w:t>
            </w:r>
          </w:p>
        </w:tc>
        <w:tc>
          <w:tcPr>
            <w:tcW w:w="4282" w:type="dxa"/>
            <w:tcBorders>
              <w:top w:val="nil"/>
              <w:left w:val="nil"/>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用于视频接收播放功能</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Wifi模块</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安全电池</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8G存储卡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LED显示器</w:t>
            </w:r>
          </w:p>
        </w:tc>
        <w:tc>
          <w:tcPr>
            <w:tcW w:w="4282"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 xml:space="preserve"> LED车用液晶显示屏</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18.5寸　</w:t>
            </w:r>
          </w:p>
        </w:tc>
      </w:tr>
    </w:tbl>
    <w:p>
      <w:pPr>
        <w:rPr>
          <w:rFonts w:ascii="宋体" w:hAnsi="宋体" w:cs="仿宋"/>
          <w:b/>
          <w:bCs/>
          <w:sz w:val="24"/>
        </w:rPr>
      </w:pPr>
    </w:p>
    <w:p>
      <w:pPr>
        <w:rPr>
          <w:rFonts w:ascii="宋体" w:hAnsi="宋体" w:cs="仿宋"/>
          <w:b/>
          <w:bCs/>
          <w:sz w:val="24"/>
        </w:rPr>
      </w:pPr>
      <w:r>
        <w:rPr>
          <w:rFonts w:hint="eastAsia" w:ascii="宋体" w:hAnsi="宋体" w:cs="仿宋"/>
          <w:b/>
          <w:bCs/>
          <w:sz w:val="24"/>
        </w:rPr>
        <w:t>说明：</w:t>
      </w:r>
    </w:p>
    <w:p>
      <w:pPr>
        <w:spacing w:line="360" w:lineRule="auto"/>
        <w:ind w:firstLine="480" w:firstLineChars="200"/>
        <w:rPr>
          <w:rFonts w:ascii="宋体" w:hAnsi="宋体" w:cs="仿宋"/>
          <w:sz w:val="24"/>
        </w:rPr>
      </w:pPr>
      <w:r>
        <w:rPr>
          <w:rFonts w:hint="eastAsia" w:ascii="宋体" w:hAnsi="宋体" w:cs="仿宋"/>
          <w:sz w:val="24"/>
        </w:rPr>
        <w:t>1.在车辆检查或使用中发现响应配置与实际配置不相符的，按虚假应标处理，追究差额及相关损失，由采购人直接在应付款（包括中标厂家其他批次的应付款）或质保金（质保函）中扣除，并上报台州市国资委，列入采购方失信名单。</w:t>
      </w:r>
    </w:p>
    <w:p>
      <w:pPr>
        <w:spacing w:line="360" w:lineRule="auto"/>
        <w:ind w:firstLine="480" w:firstLineChars="200"/>
        <w:rPr>
          <w:rFonts w:ascii="宋体" w:hAnsi="宋体" w:cs="仿宋"/>
          <w:sz w:val="24"/>
        </w:rPr>
      </w:pPr>
      <w:r>
        <w:rPr>
          <w:rFonts w:hint="eastAsia" w:ascii="宋体" w:hAnsi="宋体" w:cs="仿宋"/>
          <w:sz w:val="24"/>
        </w:rPr>
        <w:t>2.中标车辆必须符合台州地区上牌要求，由中标厂家完成车辆上牌工作，其正常检测上牌费用由采购单位支付。</w:t>
      </w:r>
    </w:p>
    <w:p>
      <w:pPr>
        <w:spacing w:line="360" w:lineRule="auto"/>
        <w:ind w:firstLine="480" w:firstLineChars="200"/>
        <w:rPr>
          <w:rFonts w:ascii="宋体" w:hAnsi="宋体" w:cs="仿宋"/>
          <w:strike/>
          <w:sz w:val="24"/>
        </w:rPr>
      </w:pPr>
      <w:r>
        <w:rPr>
          <w:rFonts w:hint="eastAsia" w:ascii="宋体" w:hAnsi="宋体" w:cs="仿宋"/>
          <w:sz w:val="24"/>
        </w:rPr>
        <w:t>3.所有的终端设备产品，原则上应在中标厂家安装完毕后方可出厂。</w:t>
      </w:r>
    </w:p>
    <w:p>
      <w:pPr>
        <w:spacing w:line="360" w:lineRule="auto"/>
        <w:ind w:firstLine="480" w:firstLineChars="200"/>
        <w:rPr>
          <w:rFonts w:ascii="宋体" w:hAnsi="宋体" w:cs="仿宋"/>
          <w:sz w:val="24"/>
        </w:rPr>
      </w:pPr>
      <w:r>
        <w:rPr>
          <w:rFonts w:hint="eastAsia" w:ascii="宋体" w:hAnsi="宋体" w:cs="仿宋"/>
          <w:sz w:val="24"/>
        </w:rPr>
        <w:t>4.中标厂家必须履行质保承诺，在约定时间未作出响应而造成损失的，采购人有权自行联系维修，所产生的直接费用与损失由中标厂家承担，采购人有权直接在应付款（包括中标厂家其他批次的应付款）中扣除，造成严重后果的，将通过法律途径维权（需在标书内提供书面承诺）。</w:t>
      </w:r>
    </w:p>
    <w:p>
      <w:pPr>
        <w:spacing w:line="360" w:lineRule="auto"/>
        <w:ind w:firstLine="480" w:firstLineChars="200"/>
        <w:rPr>
          <w:rFonts w:ascii="宋体" w:hAnsi="宋体" w:cs="仿宋"/>
          <w:sz w:val="24"/>
        </w:rPr>
      </w:pPr>
      <w:r>
        <w:rPr>
          <w:rFonts w:hint="eastAsia" w:ascii="宋体" w:hAnsi="宋体" w:cs="仿宋"/>
          <w:sz w:val="24"/>
        </w:rPr>
        <w:t>5.整车运行安全技术条件必须符合中华人民共和国国家标准或相关行业标准，同时依据国家有关产品质量法规和制造标准、技术要求等邀约进行验收。</w:t>
      </w:r>
    </w:p>
    <w:p>
      <w:pPr>
        <w:spacing w:line="360" w:lineRule="auto"/>
        <w:ind w:firstLine="480" w:firstLineChars="200"/>
        <w:rPr>
          <w:rFonts w:ascii="宋体" w:hAnsi="宋体" w:cs="仿宋"/>
          <w:sz w:val="24"/>
        </w:rPr>
      </w:pPr>
      <w:r>
        <w:rPr>
          <w:rFonts w:hint="eastAsia" w:ascii="宋体" w:hAnsi="宋体" w:cs="仿宋"/>
          <w:sz w:val="24"/>
        </w:rPr>
        <w:t>6.投标厂家需认真阅读并完全理解本技术配置要求，投标人无权擅自改动或降低相关标准与要求。</w:t>
      </w:r>
    </w:p>
    <w:p>
      <w:pPr>
        <w:spacing w:line="360" w:lineRule="auto"/>
        <w:ind w:firstLine="480" w:firstLineChars="200"/>
        <w:rPr>
          <w:rFonts w:ascii="宋体" w:hAnsi="宋体" w:cs="仿宋"/>
          <w:sz w:val="24"/>
        </w:rPr>
      </w:pPr>
      <w:r>
        <w:rPr>
          <w:rFonts w:hint="eastAsia" w:ascii="宋体" w:hAnsi="宋体" w:cs="仿宋"/>
          <w:sz w:val="24"/>
        </w:rPr>
        <w:t>7.动力电池须在质保期内做好定期保养维护，由投标人提供维护方案并组织实施。</w:t>
      </w:r>
    </w:p>
    <w:p>
      <w:pPr>
        <w:widowControl/>
        <w:overflowPunct w:val="0"/>
        <w:autoSpaceDE w:val="0"/>
        <w:autoSpaceDN w:val="0"/>
        <w:adjustRightInd w:val="0"/>
        <w:snapToGrid w:val="0"/>
        <w:spacing w:line="360" w:lineRule="auto"/>
        <w:jc w:val="left"/>
        <w:textAlignment w:val="baseline"/>
        <w:outlineLvl w:val="0"/>
        <w:rPr>
          <w:rFonts w:ascii="宋体" w:hAnsi="宋体" w:cs="仿宋"/>
          <w:b/>
          <w:kern w:val="0"/>
          <w:sz w:val="24"/>
        </w:rPr>
      </w:pPr>
      <w:r>
        <w:rPr>
          <w:rFonts w:hint="eastAsia" w:ascii="宋体" w:hAnsi="宋体" w:cs="仿宋"/>
          <w:b/>
          <w:kern w:val="0"/>
          <w:sz w:val="24"/>
        </w:rPr>
        <w:t>第二标段配置：5米9级无站立纯电动城市客车47台，具体技术参数及需求配置如下表:</w:t>
      </w:r>
    </w:p>
    <w:tbl>
      <w:tblPr>
        <w:tblStyle w:val="42"/>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2261" w:type="dxa"/>
            <w:tcBorders>
              <w:tl2br w:val="single" w:color="auto" w:sz="4" w:space="0"/>
            </w:tcBorders>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 xml:space="preserve">      车   型</w:t>
            </w:r>
          </w:p>
          <w:p>
            <w:pPr>
              <w:adjustRightInd w:val="0"/>
              <w:snapToGrid w:val="0"/>
              <w:spacing w:line="360" w:lineRule="exact"/>
              <w:rPr>
                <w:rFonts w:ascii="宋体" w:hAnsi="宋体" w:cs="仿宋"/>
                <w:b/>
                <w:sz w:val="24"/>
              </w:rPr>
            </w:pPr>
            <w:r>
              <w:rPr>
                <w:rFonts w:hint="eastAsia" w:ascii="宋体" w:hAnsi="宋体" w:cs="仿宋"/>
                <w:b/>
                <w:sz w:val="24"/>
              </w:rPr>
              <w:t>项      目</w:t>
            </w:r>
          </w:p>
        </w:tc>
        <w:tc>
          <w:tcPr>
            <w:tcW w:w="7135" w:type="dxa"/>
            <w:vAlign w:val="center"/>
          </w:tcPr>
          <w:p>
            <w:pPr>
              <w:adjustRightInd w:val="0"/>
              <w:snapToGrid w:val="0"/>
              <w:spacing w:line="320" w:lineRule="exact"/>
              <w:ind w:right="113"/>
              <w:jc w:val="center"/>
              <w:rPr>
                <w:rFonts w:ascii="宋体" w:hAnsi="宋体" w:cs="仿宋"/>
                <w:bCs/>
                <w:sz w:val="24"/>
              </w:rPr>
            </w:pPr>
            <w:r>
              <w:rPr>
                <w:rFonts w:hint="eastAsia" w:ascii="宋体" w:hAnsi="宋体" w:cs="仿宋"/>
                <w:b/>
                <w:sz w:val="24"/>
              </w:rPr>
              <w:t>5米9级无站立式纯电动城市客车（电机额定功率≥80KW）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1" w:type="dxa"/>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特      征</w:t>
            </w:r>
          </w:p>
        </w:tc>
        <w:tc>
          <w:tcPr>
            <w:tcW w:w="7135" w:type="dxa"/>
            <w:vAlign w:val="center"/>
          </w:tcPr>
          <w:p>
            <w:pPr>
              <w:adjustRightInd w:val="0"/>
              <w:snapToGrid w:val="0"/>
              <w:spacing w:line="360" w:lineRule="exact"/>
              <w:jc w:val="center"/>
              <w:rPr>
                <w:rFonts w:ascii="宋体" w:hAnsi="宋体" w:cs="仿宋"/>
                <w:b/>
                <w:sz w:val="24"/>
              </w:rPr>
            </w:pPr>
            <w:r>
              <w:rPr>
                <w:rFonts w:hint="eastAsia" w:ascii="宋体" w:hAnsi="宋体" w:cs="仿宋"/>
                <w:bCs/>
                <w:sz w:val="24"/>
              </w:rPr>
              <w:t>纯电动</w:t>
            </w:r>
            <w:r>
              <w:rPr>
                <w:rFonts w:hint="eastAsia" w:ascii="宋体" w:hAnsi="宋体" w:cs="仿宋"/>
                <w:bCs/>
                <w:spacing w:val="-8"/>
                <w:sz w:val="24"/>
              </w:rPr>
              <w:t>、</w:t>
            </w:r>
            <w:r>
              <w:rPr>
                <w:rFonts w:hint="eastAsia" w:ascii="宋体" w:hAnsi="宋体" w:cs="仿宋"/>
                <w:bCs/>
                <w:sz w:val="24"/>
              </w:rPr>
              <w:t>电动空调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 xml:space="preserve">一．主要技术参数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1．尺寸参数（mm）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长 (mm)</w:t>
            </w:r>
          </w:p>
        </w:tc>
        <w:tc>
          <w:tcPr>
            <w:tcW w:w="7135" w:type="dxa"/>
            <w:vAlign w:val="center"/>
          </w:tcPr>
          <w:p>
            <w:pPr>
              <w:adjustRightInd w:val="0"/>
              <w:snapToGrid w:val="0"/>
              <w:spacing w:line="360" w:lineRule="exact"/>
              <w:jc w:val="center"/>
              <w:rPr>
                <w:rFonts w:ascii="宋体" w:hAnsi="宋体" w:cs="仿宋"/>
                <w:bCs/>
                <w:sz w:val="24"/>
              </w:rPr>
            </w:pPr>
            <w:r>
              <w:rPr>
                <w:rFonts w:hint="eastAsia" w:ascii="宋体" w:hAnsi="宋体" w:cs="仿宋"/>
                <w:bCs/>
                <w:sz w:val="24"/>
              </w:rPr>
              <w:t>5800mm（含本数）--5999mm（含本数）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宽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 xml:space="preserve"> ≥2100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高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≥2800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jc w:val="left"/>
              <w:rPr>
                <w:rFonts w:ascii="宋体" w:hAnsi="宋体" w:cs="仿宋"/>
                <w:b/>
                <w:bCs/>
                <w:sz w:val="24"/>
              </w:rPr>
            </w:pPr>
            <w:r>
              <w:rPr>
                <w:rFonts w:hint="eastAsia" w:ascii="宋体" w:hAnsi="宋体" w:cs="仿宋"/>
                <w:b/>
                <w:bCs/>
                <w:sz w:val="24"/>
              </w:rPr>
              <w:t>2．载客数人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最大载客数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≤19人（以投标车型工信部公告目录为准）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最大座位数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按投标车型工信部公告目录为准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3．性  能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出厂最高车速    km/h</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最大爬度    ％</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最大制动距离（满载30km/h初速）m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驻坡能力</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整车应可靠地在15%坡道上停稳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61" w:type="dxa"/>
            <w:vAlign w:val="center"/>
          </w:tcPr>
          <w:p>
            <w:pPr>
              <w:jc w:val="left"/>
              <w:rPr>
                <w:rFonts w:ascii="宋体" w:hAnsi="宋体" w:cs="仿宋"/>
                <w:sz w:val="24"/>
              </w:rPr>
            </w:pPr>
            <w:r>
              <w:rPr>
                <w:rFonts w:hint="eastAsia" w:ascii="宋体" w:hAnsi="宋体" w:cs="仿宋"/>
                <w:sz w:val="24"/>
              </w:rPr>
              <w:t>一级踏步离地高度(mm)</w:t>
            </w:r>
          </w:p>
        </w:tc>
        <w:tc>
          <w:tcPr>
            <w:tcW w:w="7135" w:type="dxa"/>
            <w:vAlign w:val="center"/>
          </w:tcPr>
          <w:p>
            <w:pPr>
              <w:ind w:firstLine="105"/>
              <w:jc w:val="center"/>
              <w:rPr>
                <w:rFonts w:ascii="宋体" w:hAnsi="宋体" w:cs="仿宋"/>
                <w:sz w:val="24"/>
              </w:rPr>
            </w:pPr>
            <w:r>
              <w:rPr>
                <w:rFonts w:hint="eastAsia" w:ascii="宋体" w:hAnsi="宋体" w:cs="仿宋"/>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jc w:val="left"/>
              <w:rPr>
                <w:rFonts w:ascii="宋体" w:hAnsi="宋体" w:cs="仿宋"/>
                <w:sz w:val="24"/>
              </w:rPr>
            </w:pPr>
            <w:r>
              <w:rPr>
                <w:rFonts w:hint="eastAsia" w:ascii="宋体" w:hAnsi="宋体" w:cs="仿宋"/>
                <w:sz w:val="24"/>
              </w:rPr>
              <w:t>整车安全涉水深度（mm)</w:t>
            </w:r>
          </w:p>
        </w:tc>
        <w:tc>
          <w:tcPr>
            <w:tcW w:w="7135" w:type="dxa"/>
            <w:vAlign w:val="center"/>
          </w:tcPr>
          <w:p>
            <w:pPr>
              <w:jc w:val="center"/>
              <w:rPr>
                <w:rFonts w:ascii="宋体" w:hAnsi="宋体" w:cs="仿宋"/>
                <w:sz w:val="24"/>
              </w:rPr>
            </w:pPr>
            <w:r>
              <w:rPr>
                <w:rFonts w:hint="eastAsia" w:ascii="宋体" w:hAnsi="宋体" w:cs="仿宋"/>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二、主要总成和系统的结构特征与参数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1.三电系统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bCs/>
                <w:sz w:val="24"/>
              </w:rPr>
              <w:t>▲</w:t>
            </w:r>
            <w:r>
              <w:rPr>
                <w:rFonts w:hint="eastAsia" w:ascii="宋体" w:hAnsi="宋体" w:cs="仿宋"/>
                <w:sz w:val="24"/>
              </w:rPr>
              <w:t>动力电池</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1.提供投标车型的电池容量。以投标车型《新能源汽车推广应用推荐车型目录》技术参数数据为准。</w:t>
            </w:r>
          </w:p>
          <w:p>
            <w:pPr>
              <w:adjustRightInd w:val="0"/>
              <w:snapToGrid w:val="0"/>
              <w:spacing w:line="320" w:lineRule="exact"/>
              <w:jc w:val="left"/>
              <w:rPr>
                <w:rFonts w:ascii="宋体" w:hAnsi="宋体" w:cs="仿宋"/>
                <w:sz w:val="24"/>
              </w:rPr>
            </w:pPr>
            <w:r>
              <w:rPr>
                <w:rFonts w:hint="eastAsia" w:ascii="宋体" w:hAnsi="宋体" w:cs="仿宋"/>
                <w:sz w:val="24"/>
              </w:rPr>
              <w:t>2.采用磷酸铁锂电极材料的行业知名品牌。</w:t>
            </w:r>
          </w:p>
          <w:p>
            <w:pPr>
              <w:adjustRightInd w:val="0"/>
              <w:snapToGrid w:val="0"/>
              <w:spacing w:line="320" w:lineRule="exact"/>
              <w:jc w:val="left"/>
              <w:rPr>
                <w:rFonts w:ascii="宋体" w:hAnsi="宋体" w:cs="仿宋"/>
                <w:sz w:val="24"/>
              </w:rPr>
            </w:pPr>
            <w:r>
              <w:rPr>
                <w:rFonts w:hint="eastAsia" w:ascii="宋体" w:hAnsi="宋体" w:cs="仿宋"/>
                <w:sz w:val="24"/>
              </w:rPr>
              <w:t>3.电池冷却采用液冷模式。</w:t>
            </w:r>
          </w:p>
          <w:p>
            <w:pPr>
              <w:adjustRightInd w:val="0"/>
              <w:snapToGrid w:val="0"/>
              <w:spacing w:line="320" w:lineRule="exact"/>
              <w:jc w:val="left"/>
              <w:rPr>
                <w:rFonts w:ascii="宋体" w:hAnsi="宋体" w:cs="仿宋"/>
                <w:sz w:val="24"/>
              </w:rPr>
            </w:pPr>
            <w:r>
              <w:rPr>
                <w:rFonts w:hint="eastAsia" w:ascii="宋体" w:hAnsi="宋体" w:cs="仿宋"/>
                <w:sz w:val="24"/>
              </w:rPr>
              <w:t>4.动力电池电芯和电池PACK为同一品牌产品。</w:t>
            </w:r>
          </w:p>
          <w:p>
            <w:pPr>
              <w:adjustRightInd w:val="0"/>
              <w:snapToGrid w:val="0"/>
              <w:spacing w:line="320" w:lineRule="exact"/>
              <w:jc w:val="left"/>
              <w:rPr>
                <w:rFonts w:ascii="宋体" w:hAnsi="宋体" w:cs="仿宋"/>
                <w:sz w:val="24"/>
              </w:rPr>
            </w:pPr>
            <w:r>
              <w:rPr>
                <w:rFonts w:hint="eastAsia" w:ascii="宋体" w:hAnsi="宋体" w:cs="仿宋"/>
                <w:sz w:val="24"/>
              </w:rPr>
              <w:t>5.采用直流充电模式，符合国家相关规定，与采购人现有充电桩对接，充电自动识别车辆功能。</w:t>
            </w:r>
          </w:p>
          <w:p>
            <w:pPr>
              <w:adjustRightInd w:val="0"/>
              <w:snapToGrid w:val="0"/>
              <w:spacing w:line="320" w:lineRule="exact"/>
              <w:jc w:val="left"/>
              <w:rPr>
                <w:rFonts w:ascii="宋体" w:hAnsi="宋体" w:cs="仿宋"/>
                <w:sz w:val="24"/>
              </w:rPr>
            </w:pPr>
            <w:r>
              <w:rPr>
                <w:rFonts w:hint="eastAsia" w:ascii="宋体" w:hAnsi="宋体" w:cs="仿宋"/>
                <w:sz w:val="24"/>
              </w:rPr>
              <w:t>6.符合国家安全性，并</w:t>
            </w:r>
            <w:r>
              <w:rPr>
                <w:rFonts w:hint="eastAsia" w:ascii="宋体" w:hAnsi="宋体" w:cs="仿宋"/>
                <w:b/>
                <w:bCs/>
                <w:sz w:val="24"/>
              </w:rPr>
              <w:t>在投标文件中提供试验检测合格报告，符合相关标准和规范</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7.整个电池系统及每组电池箱安装快断器，并设有故障报警装置。安装防撞保护装置，保护电池不因挤压发变形影响安全。</w:t>
            </w:r>
          </w:p>
          <w:p>
            <w:pPr>
              <w:adjustRightInd w:val="0"/>
              <w:snapToGrid w:val="0"/>
              <w:spacing w:line="320" w:lineRule="exact"/>
              <w:jc w:val="left"/>
              <w:rPr>
                <w:rFonts w:ascii="宋体" w:hAnsi="宋体" w:cs="仿宋"/>
                <w:sz w:val="24"/>
              </w:rPr>
            </w:pPr>
            <w:r>
              <w:rPr>
                <w:rFonts w:hint="eastAsia" w:ascii="宋体" w:hAnsi="宋体" w:cs="仿宋"/>
                <w:sz w:val="24"/>
              </w:rPr>
              <w:t>8.电池具备持续充电≥1C能力动力电池温度特性好，动力电池箱设置有效的散热机制，满足气温温度在-20℃～50℃之间及雨水多的天气使用环境要求。</w:t>
            </w:r>
          </w:p>
          <w:p>
            <w:pPr>
              <w:adjustRightInd w:val="0"/>
              <w:snapToGrid w:val="0"/>
              <w:spacing w:line="320" w:lineRule="exact"/>
              <w:jc w:val="left"/>
              <w:rPr>
                <w:rFonts w:ascii="宋体" w:hAnsi="宋体" w:cs="仿宋"/>
                <w:sz w:val="24"/>
              </w:rPr>
            </w:pPr>
            <w:r>
              <w:rPr>
                <w:rFonts w:hint="eastAsia" w:ascii="宋体" w:hAnsi="宋体" w:cs="仿宋"/>
                <w:sz w:val="24"/>
              </w:rPr>
              <w:t>9.采用新型电池系统均衡供电回路，依托电池系统唤醒功能，实现上电状态和停车下状态均可进行均衡，通过智能均衡策略在电池需要均衡且条件满足时，BMS自动执行均衡，每次均衡时间由BMS根据实际需求确定。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261" w:type="dxa"/>
            <w:vAlign w:val="center"/>
          </w:tcPr>
          <w:p>
            <w:pPr>
              <w:jc w:val="center"/>
              <w:rPr>
                <w:rFonts w:ascii="宋体" w:hAnsi="宋体" w:cs="仿宋"/>
                <w:sz w:val="24"/>
              </w:rPr>
            </w:pPr>
            <w:r>
              <w:rPr>
                <w:rFonts w:hint="eastAsia" w:ascii="宋体" w:hAnsi="宋体" w:cs="仿宋"/>
                <w:sz w:val="24"/>
              </w:rPr>
              <w:t>电池总容量及续航里程</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整车电池总容量≥140kwh，满足招标方公交线路运行需求，在预留20%的电池安全电量后，在台州地区综合路况的情况下，空调开启制冷模式、车辆满载情况下实际续航里程≥220km。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电池布置形式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电池合理布置，做好车辆重量重心的均衡分布；与整车隔离，绝缘、防火隔热设计，多重熔断保护，整车高压分级预警系统，高压快断装置。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w:t>
            </w:r>
            <w:r>
              <w:rPr>
                <w:rFonts w:hint="eastAsia" w:ascii="宋体" w:hAnsi="宋体" w:cs="仿宋"/>
                <w:sz w:val="24"/>
              </w:rPr>
              <w:t>电池系统能量密度</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投标车型的电池系统能量密度≥159wh/kg（投标方以投标车型《新能源汽车推广应用推荐车型目录》技术参数数据为准，</w:t>
            </w:r>
            <w:r>
              <w:rPr>
                <w:rFonts w:hint="eastAsia" w:ascii="宋体" w:hAnsi="宋体" w:cs="仿宋"/>
                <w:b/>
                <w:sz w:val="24"/>
              </w:rPr>
              <w:t>并在投标文件中</w:t>
            </w:r>
            <w:r>
              <w:rPr>
                <w:rFonts w:hint="eastAsia" w:ascii="宋体" w:hAnsi="宋体" w:cs="仿宋"/>
                <w:b/>
                <w:bCs/>
                <w:sz w:val="24"/>
              </w:rPr>
              <w:t>提供目录</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能量衰减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1.在质保期内投标人应委托电池原厂执行专业规范的电池定期维保服务，安全检查及性能检测、电池均衡保养等，并对有问题的电池进行临时检测，8年或60万公里内电池容量衰减超过20%，则须无条件免费更换原品牌新电池（</w:t>
            </w:r>
            <w:r>
              <w:rPr>
                <w:rFonts w:hint="eastAsia" w:ascii="宋体" w:hAnsi="宋体" w:cs="仿宋"/>
                <w:b/>
                <w:sz w:val="24"/>
              </w:rPr>
              <w:t>由配套产品厂家和车辆制造厂家在标书内共同书面承诺，产生费用由中标方负责</w:t>
            </w:r>
            <w:r>
              <w:rPr>
                <w:rFonts w:hint="eastAsia" w:ascii="宋体" w:hAnsi="宋体" w:cs="仿宋"/>
                <w:bCs/>
                <w:sz w:val="24"/>
              </w:rPr>
              <w:t>）</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2.电池、充放电系统和充电插座总成等免费质保8年（含工时、易损、易耗件）。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动力电池回收模式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人和动力电池厂家必须根据国家相关政策和环保法规对维修更换和车辆报废动力电池（含维修等所有费用）进行免费环保回收处理（如车辆报废时有专门要求的除外），采购人根据车辆使用报废情况通知投标人，投标人应当在接到通知30日内回收处理并提供环保处理证明。采购人保留动力电池的最终处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控制系统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1.高压电控系统（包括但不限于高压配电柜、DC/DC、电动助力转向控制器、驱动电机控制器、空压机控制器）均采用优质控制器，质保8年（含工时、易损、易耗件）。</w:t>
            </w:r>
          </w:p>
          <w:p>
            <w:pPr>
              <w:adjustRightInd w:val="0"/>
              <w:snapToGrid w:val="0"/>
              <w:spacing w:line="320" w:lineRule="exact"/>
              <w:jc w:val="left"/>
              <w:rPr>
                <w:rFonts w:ascii="宋体" w:hAnsi="宋体" w:cs="仿宋"/>
                <w:sz w:val="24"/>
              </w:rPr>
            </w:pPr>
            <w:r>
              <w:rPr>
                <w:rFonts w:hint="eastAsia" w:ascii="宋体" w:hAnsi="宋体" w:cs="仿宋"/>
                <w:sz w:val="24"/>
              </w:rPr>
              <w:t>2.提供投标车型的控制系统详细资料。电池管理系统（BMS）可以监控每个单体的电压、电流，并有采用均衡技术，满足各种极端工况要求。采用集成式控制器。</w:t>
            </w:r>
          </w:p>
          <w:p>
            <w:pPr>
              <w:adjustRightInd w:val="0"/>
              <w:snapToGrid w:val="0"/>
              <w:spacing w:line="320" w:lineRule="exact"/>
              <w:jc w:val="left"/>
              <w:rPr>
                <w:rFonts w:ascii="宋体" w:hAnsi="宋体" w:cs="仿宋"/>
                <w:sz w:val="24"/>
              </w:rPr>
            </w:pPr>
            <w:r>
              <w:rPr>
                <w:rFonts w:hint="eastAsia" w:ascii="宋体" w:hAnsi="宋体" w:cs="仿宋"/>
                <w:sz w:val="24"/>
              </w:rPr>
              <w:t>3.高压配电箱采用集中配电方式，具有多路保护电路，内置高压接触器、高压熔断器、绝缘检测板等；须匹配MSD开关，保证维护安全；须具有高压互锁功能，保证端子松动时，能够断开高压；须内置预充电路；须内置绝缘检测电路，具有漏电保护功能；须具有充电保护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整车电气安全性</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高压电缆，采用耐高温的辐照阻燃耐高压电动车辆专用电缆，具有屏蔽层，耐压≥700V。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adjustRightInd w:val="0"/>
              <w:snapToGrid w:val="0"/>
              <w:spacing w:line="320" w:lineRule="exact"/>
              <w:ind w:right="113"/>
              <w:jc w:val="center"/>
              <w:rPr>
                <w:rFonts w:ascii="宋体" w:hAnsi="宋体" w:cs="仿宋"/>
                <w:b/>
                <w:bCs/>
                <w:sz w:val="24"/>
              </w:rPr>
            </w:pPr>
            <w:r>
              <w:rPr>
                <w:rFonts w:hint="eastAsia" w:ascii="宋体" w:hAnsi="宋体" w:cs="仿宋"/>
                <w:sz w:val="24"/>
              </w:rPr>
              <w:t>驱动电机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1.采用水冷永磁同步电机，额定功率≥80KW</w:t>
            </w:r>
            <w:r>
              <w:rPr>
                <w:rFonts w:hint="eastAsia" w:ascii="宋体" w:hAnsi="宋体" w:cs="仿宋"/>
                <w:b/>
                <w:bCs/>
                <w:sz w:val="24"/>
              </w:rPr>
              <w:t>（在投标文件中提供厂家车辆公告页</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2. 电机直驱，无级变速，驱动电机具备缓速功能，同时具有能量回收功能。</w:t>
            </w:r>
          </w:p>
          <w:p>
            <w:pPr>
              <w:adjustRightInd w:val="0"/>
              <w:snapToGrid w:val="0"/>
              <w:spacing w:line="320" w:lineRule="exact"/>
              <w:jc w:val="left"/>
              <w:rPr>
                <w:rFonts w:ascii="宋体" w:hAnsi="宋体" w:cs="仿宋"/>
                <w:sz w:val="24"/>
              </w:rPr>
            </w:pPr>
            <w:r>
              <w:rPr>
                <w:rFonts w:hint="eastAsia" w:ascii="宋体" w:hAnsi="宋体" w:cs="仿宋"/>
                <w:sz w:val="24"/>
              </w:rPr>
              <w:t>3.电机防护等级：IP67或以上防护等级。</w:t>
            </w:r>
          </w:p>
          <w:p>
            <w:pPr>
              <w:adjustRightInd w:val="0"/>
              <w:snapToGrid w:val="0"/>
              <w:spacing w:line="320" w:lineRule="exact"/>
              <w:jc w:val="left"/>
              <w:rPr>
                <w:rFonts w:ascii="宋体" w:hAnsi="宋体" w:cs="仿宋"/>
                <w:sz w:val="24"/>
              </w:rPr>
            </w:pPr>
            <w:r>
              <w:rPr>
                <w:rFonts w:hint="eastAsia" w:ascii="宋体" w:hAnsi="宋体" w:cs="仿宋"/>
                <w:sz w:val="24"/>
              </w:rPr>
              <w:t>4.电机冷却系统采用电子智能冷却控制系统。</w:t>
            </w:r>
          </w:p>
          <w:p>
            <w:pPr>
              <w:adjustRightInd w:val="0"/>
              <w:snapToGrid w:val="0"/>
              <w:spacing w:line="320" w:lineRule="exact"/>
              <w:jc w:val="left"/>
              <w:rPr>
                <w:rFonts w:ascii="宋体" w:hAnsi="宋体" w:cs="仿宋"/>
                <w:sz w:val="24"/>
              </w:rPr>
            </w:pPr>
            <w:r>
              <w:rPr>
                <w:rFonts w:hint="eastAsia" w:ascii="宋体" w:hAnsi="宋体" w:cs="仿宋"/>
                <w:sz w:val="24"/>
              </w:rPr>
              <w:t>5.免费质保8年（含工时及易损、易耗件）。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2.小三电系统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sz w:val="24"/>
              </w:rPr>
              <w:t>冷却系统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1.配纯电动专用ATS智能冷却系统，采用进口无刷电机、风扇，CAN总线读取ECU等相关车辆信息，带系统应急启动插头，铜制或铝制散热器。</w:t>
            </w:r>
          </w:p>
          <w:p>
            <w:pPr>
              <w:adjustRightInd w:val="0"/>
              <w:snapToGrid w:val="0"/>
              <w:spacing w:line="320" w:lineRule="exact"/>
              <w:jc w:val="left"/>
              <w:rPr>
                <w:rFonts w:ascii="宋体" w:hAnsi="宋体" w:cs="仿宋"/>
                <w:sz w:val="24"/>
              </w:rPr>
            </w:pPr>
            <w:r>
              <w:rPr>
                <w:rFonts w:hint="eastAsia" w:ascii="宋体" w:hAnsi="宋体" w:cs="仿宋"/>
                <w:sz w:val="24"/>
              </w:rPr>
              <w:t>2.采用电子水泵，功率适用车辆使用。</w:t>
            </w:r>
          </w:p>
          <w:p>
            <w:pPr>
              <w:adjustRightInd w:val="0"/>
              <w:snapToGrid w:val="0"/>
              <w:spacing w:line="320" w:lineRule="exact"/>
              <w:jc w:val="left"/>
              <w:rPr>
                <w:rFonts w:ascii="宋体" w:hAnsi="宋体" w:cs="仿宋"/>
                <w:sz w:val="24"/>
              </w:rPr>
            </w:pPr>
            <w:r>
              <w:rPr>
                <w:rFonts w:hint="eastAsia" w:ascii="宋体" w:hAnsi="宋体" w:cs="仿宋"/>
                <w:sz w:val="24"/>
              </w:rPr>
              <w:t>3.免费质保8年（含工时及易损、易耗件）。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1" w:type="dxa"/>
            <w:vAlign w:val="center"/>
          </w:tcPr>
          <w:p>
            <w:pPr>
              <w:jc w:val="center"/>
              <w:rPr>
                <w:rFonts w:ascii="宋体" w:hAnsi="宋体" w:cs="仿宋"/>
                <w:sz w:val="24"/>
              </w:rPr>
            </w:pPr>
            <w:r>
              <w:rPr>
                <w:rFonts w:hint="eastAsia" w:ascii="宋体" w:hAnsi="宋体" w:cs="仿宋"/>
                <w:bCs/>
                <w:sz w:val="24"/>
              </w:rPr>
              <w:t>电驱空气压缩机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1.无油活塞式空压机、轻量、环保静音。</w:t>
            </w:r>
          </w:p>
          <w:p>
            <w:pPr>
              <w:adjustRightInd w:val="0"/>
              <w:snapToGrid w:val="0"/>
              <w:spacing w:line="320" w:lineRule="exact"/>
              <w:jc w:val="left"/>
              <w:rPr>
                <w:rFonts w:ascii="宋体" w:hAnsi="宋体" w:cs="仿宋"/>
                <w:sz w:val="24"/>
              </w:rPr>
            </w:pPr>
            <w:r>
              <w:rPr>
                <w:rFonts w:hint="eastAsia" w:ascii="宋体" w:hAnsi="宋体" w:cs="仿宋"/>
                <w:sz w:val="24"/>
              </w:rPr>
              <w:t>2.采用板簧悬架的，要求空压机额定功率≥</w:t>
            </w:r>
            <w:r>
              <w:rPr>
                <w:rFonts w:ascii="宋体" w:hAnsi="宋体" w:cs="仿宋"/>
                <w:sz w:val="24"/>
              </w:rPr>
              <w:t>1.8KW</w:t>
            </w:r>
            <w:r>
              <w:rPr>
                <w:rFonts w:hint="eastAsia" w:ascii="宋体" w:hAnsi="宋体" w:cs="仿宋"/>
                <w:sz w:val="24"/>
              </w:rPr>
              <w:t>，采用空气悬架的，要求空压机额定功率≥</w:t>
            </w:r>
            <w:r>
              <w:rPr>
                <w:rFonts w:ascii="宋体" w:hAnsi="宋体" w:cs="仿宋"/>
                <w:sz w:val="24"/>
              </w:rPr>
              <w:t>2.2KW</w:t>
            </w:r>
            <w:r>
              <w:rPr>
                <w:rFonts w:hint="eastAsia" w:ascii="宋体" w:hAnsi="宋体" w:cs="仿宋"/>
                <w:sz w:val="24"/>
              </w:rPr>
              <w:t>，满足车辆需求。</w:t>
            </w:r>
          </w:p>
          <w:p>
            <w:pPr>
              <w:adjustRightInd w:val="0"/>
              <w:snapToGrid w:val="0"/>
              <w:spacing w:line="320" w:lineRule="exact"/>
              <w:jc w:val="left"/>
              <w:rPr>
                <w:rFonts w:ascii="宋体" w:hAnsi="宋体" w:cs="仿宋"/>
                <w:sz w:val="24"/>
              </w:rPr>
            </w:pPr>
            <w:r>
              <w:rPr>
                <w:rFonts w:hint="eastAsia" w:ascii="宋体" w:hAnsi="宋体" w:cs="仿宋"/>
                <w:sz w:val="24"/>
              </w:rPr>
              <w:t>3.IP68防护等级认证， EMC电磁干扰认证。</w:t>
            </w:r>
          </w:p>
          <w:p>
            <w:pPr>
              <w:adjustRightInd w:val="0"/>
              <w:snapToGrid w:val="0"/>
              <w:spacing w:line="320" w:lineRule="exact"/>
              <w:jc w:val="left"/>
              <w:rPr>
                <w:rFonts w:ascii="宋体" w:hAnsi="宋体" w:cs="仿宋"/>
                <w:sz w:val="24"/>
              </w:rPr>
            </w:pPr>
            <w:r>
              <w:rPr>
                <w:rFonts w:hint="eastAsia" w:ascii="宋体" w:hAnsi="宋体" w:cs="仿宋"/>
                <w:sz w:val="24"/>
              </w:rPr>
              <w:t>4.免费质保8年（含保养及维修工时、易损、易耗件、空气滤芯等）。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jc w:val="center"/>
              <w:rPr>
                <w:rFonts w:ascii="宋体" w:hAnsi="宋体" w:cs="仿宋"/>
                <w:bCs/>
                <w:sz w:val="24"/>
              </w:rPr>
            </w:pPr>
            <w:r>
              <w:rPr>
                <w:rFonts w:hint="eastAsia" w:ascii="宋体" w:hAnsi="宋体" w:cs="仿宋"/>
                <w:bCs/>
                <w:sz w:val="24"/>
              </w:rPr>
              <w:t>应急保障</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1.确保动力电池发生突发故障时，蓄电池能够应急供电不小于30秒，具备CAN诊断故障功能（包括电动转向电机、液压油泵、控制器）。</w:t>
            </w:r>
          </w:p>
          <w:p>
            <w:pPr>
              <w:adjustRightInd w:val="0"/>
              <w:snapToGrid w:val="0"/>
              <w:spacing w:line="320" w:lineRule="exact"/>
              <w:jc w:val="left"/>
              <w:rPr>
                <w:rFonts w:ascii="宋体" w:hAnsi="宋体" w:cs="仿宋"/>
                <w:sz w:val="24"/>
              </w:rPr>
            </w:pPr>
            <w:r>
              <w:rPr>
                <w:rFonts w:hint="eastAsia" w:ascii="宋体" w:hAnsi="宋体" w:cs="仿宋"/>
                <w:sz w:val="24"/>
              </w:rPr>
              <w:t>2.车辆操作时杜绝系统发生与操作不符导致车辆失控情况，突发高压掉断电时仍可确保转向操作轻便，同时提供紧急报警及应急操作提示，不得出现突发断电致使方向失控或锁死现象。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b/>
                <w:sz w:val="24"/>
              </w:rPr>
            </w:pPr>
            <w:r>
              <w:rPr>
                <w:rFonts w:hint="eastAsia" w:ascii="宋体" w:hAnsi="宋体" w:cs="仿宋"/>
                <w:b/>
                <w:sz w:val="24"/>
              </w:rPr>
              <w:t>3.底盘系统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转向系统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1.采用双源电动液压助力转向系统。</w:t>
            </w:r>
          </w:p>
          <w:p>
            <w:pPr>
              <w:adjustRightInd w:val="0"/>
              <w:snapToGrid w:val="0"/>
              <w:spacing w:line="320" w:lineRule="exact"/>
              <w:jc w:val="left"/>
              <w:rPr>
                <w:rFonts w:ascii="宋体" w:hAnsi="宋体" w:cs="仿宋"/>
                <w:b/>
                <w:bCs/>
                <w:sz w:val="24"/>
              </w:rPr>
            </w:pPr>
            <w:r>
              <w:rPr>
                <w:rFonts w:hint="eastAsia" w:ascii="宋体" w:hAnsi="宋体" w:cs="仿宋"/>
                <w:snapToGrid w:val="0"/>
                <w:kern w:val="0"/>
                <w:sz w:val="24"/>
              </w:rPr>
              <w:t>2.方向机、</w:t>
            </w:r>
            <w:r>
              <w:rPr>
                <w:rFonts w:hint="eastAsia" w:ascii="宋体" w:hAnsi="宋体" w:cs="仿宋"/>
                <w:sz w:val="24"/>
              </w:rPr>
              <w:t>双源电动液压转向助力泵</w:t>
            </w:r>
            <w:r>
              <w:rPr>
                <w:rFonts w:hint="eastAsia" w:ascii="宋体" w:hAnsi="宋体" w:cs="仿宋"/>
                <w:snapToGrid w:val="0"/>
                <w:kern w:val="0"/>
                <w:sz w:val="24"/>
              </w:rPr>
              <w:t>质保8年（含工时及易损、易耗件）</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jc w:val="center"/>
              <w:rPr>
                <w:rFonts w:ascii="宋体" w:hAnsi="宋体" w:cs="仿宋"/>
                <w:sz w:val="24"/>
              </w:rPr>
            </w:pPr>
            <w:r>
              <w:rPr>
                <w:rFonts w:hint="eastAsia" w:ascii="宋体" w:hAnsi="宋体" w:cs="仿宋"/>
                <w:bCs/>
                <w:sz w:val="24"/>
              </w:rPr>
              <w:t>车桥</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1.前桥额定载荷≥3T；盘式制动器；免维护专用车桥，车桥必须与免维护轮毂总成相匹配，便于制动盘、制动蹄铁总成的拆卸和安装。</w:t>
            </w:r>
          </w:p>
          <w:p>
            <w:pPr>
              <w:adjustRightInd w:val="0"/>
              <w:snapToGrid w:val="0"/>
              <w:spacing w:line="320" w:lineRule="exact"/>
              <w:jc w:val="left"/>
              <w:rPr>
                <w:rFonts w:ascii="宋体" w:hAnsi="宋体" w:cs="仿宋"/>
                <w:sz w:val="24"/>
              </w:rPr>
            </w:pPr>
            <w:r>
              <w:rPr>
                <w:rFonts w:hint="eastAsia" w:ascii="宋体" w:hAnsi="宋体" w:cs="仿宋"/>
                <w:sz w:val="24"/>
              </w:rPr>
              <w:t>2.立轴、转向臂、转向节、摆臂等免费质保8年。</w:t>
            </w:r>
          </w:p>
          <w:p>
            <w:pPr>
              <w:adjustRightInd w:val="0"/>
              <w:snapToGrid w:val="0"/>
              <w:spacing w:line="320" w:lineRule="exact"/>
              <w:jc w:val="left"/>
              <w:rPr>
                <w:rFonts w:ascii="宋体" w:hAnsi="宋体" w:cs="仿宋"/>
                <w:sz w:val="24"/>
              </w:rPr>
            </w:pPr>
            <w:r>
              <w:rPr>
                <w:rFonts w:hint="eastAsia" w:ascii="宋体" w:hAnsi="宋体" w:cs="仿宋"/>
                <w:sz w:val="24"/>
              </w:rPr>
              <w:t>3.后桥额定载荷≥4.9T；新能源专用主减，盘式制动器，免维护专用车桥，车桥必须与免维护轮毂总成相匹配，便于制动盘、制动蹄铁总成的拆卸和安装。</w:t>
            </w:r>
          </w:p>
          <w:p>
            <w:pPr>
              <w:adjustRightInd w:val="0"/>
              <w:snapToGrid w:val="0"/>
              <w:spacing w:line="320" w:lineRule="exact"/>
              <w:jc w:val="left"/>
              <w:rPr>
                <w:rFonts w:ascii="宋体" w:hAnsi="宋体" w:cs="仿宋"/>
                <w:sz w:val="24"/>
              </w:rPr>
            </w:pPr>
            <w:r>
              <w:rPr>
                <w:rFonts w:hint="eastAsia" w:ascii="宋体" w:hAnsi="宋体" w:cs="仿宋"/>
                <w:sz w:val="24"/>
              </w:rPr>
              <w:t>4.主减器、半轴、桥壳、免维护轮毂总成免费质保8年（含易损件）。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制动系统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1.采用双管路气制动，应有干燥冷却功能，并能自动排气净化油水；制动总阀的制动灯应安装继电器保护开关；要求总泵安装位置拆卸方便。</w:t>
            </w:r>
          </w:p>
          <w:p>
            <w:pPr>
              <w:adjustRightInd w:val="0"/>
              <w:snapToGrid w:val="0"/>
              <w:spacing w:line="320" w:lineRule="exact"/>
              <w:jc w:val="left"/>
              <w:rPr>
                <w:rFonts w:ascii="宋体" w:hAnsi="宋体" w:cs="仿宋"/>
                <w:sz w:val="24"/>
              </w:rPr>
            </w:pPr>
            <w:r>
              <w:rPr>
                <w:rFonts w:hint="eastAsia" w:ascii="宋体" w:hAnsi="宋体" w:cs="仿宋"/>
                <w:sz w:val="24"/>
              </w:rPr>
              <w:t>2.各类阀类采用国内优质品牌，制动管路采用优质钢管或尼龙管。</w:t>
            </w:r>
          </w:p>
          <w:p>
            <w:pPr>
              <w:adjustRightInd w:val="0"/>
              <w:snapToGrid w:val="0"/>
              <w:spacing w:line="320" w:lineRule="exact"/>
              <w:jc w:val="left"/>
              <w:rPr>
                <w:rFonts w:ascii="宋体" w:hAnsi="宋体" w:cs="仿宋"/>
                <w:sz w:val="24"/>
              </w:rPr>
            </w:pPr>
            <w:r>
              <w:rPr>
                <w:rFonts w:hint="eastAsia" w:ascii="宋体" w:hAnsi="宋体" w:cs="仿宋"/>
                <w:sz w:val="24"/>
              </w:rPr>
              <w:t>3.带ABS或EBS防抱死制动系统。</w:t>
            </w:r>
          </w:p>
          <w:p>
            <w:pPr>
              <w:adjustRightInd w:val="0"/>
              <w:snapToGrid w:val="0"/>
              <w:spacing w:line="320" w:lineRule="exact"/>
              <w:jc w:val="left"/>
              <w:rPr>
                <w:rFonts w:ascii="宋体" w:hAnsi="宋体" w:cs="仿宋"/>
                <w:sz w:val="24"/>
              </w:rPr>
            </w:pPr>
            <w:r>
              <w:rPr>
                <w:rFonts w:hint="eastAsia" w:ascii="宋体" w:hAnsi="宋体" w:cs="仿宋"/>
                <w:sz w:val="24"/>
              </w:rPr>
              <w:t>4.制动器采用前后盘式制动。</w:t>
            </w:r>
          </w:p>
          <w:p>
            <w:pPr>
              <w:adjustRightInd w:val="0"/>
              <w:snapToGrid w:val="0"/>
              <w:spacing w:line="320" w:lineRule="exact"/>
              <w:jc w:val="left"/>
              <w:rPr>
                <w:rFonts w:ascii="宋体" w:hAnsi="宋体" w:cs="仿宋"/>
                <w:sz w:val="24"/>
              </w:rPr>
            </w:pPr>
            <w:r>
              <w:rPr>
                <w:rFonts w:hint="eastAsia" w:ascii="宋体" w:hAnsi="宋体" w:cs="仿宋"/>
                <w:sz w:val="24"/>
              </w:rPr>
              <w:t>5.空气干燥罐、储气罐安装自动排水阀。</w:t>
            </w:r>
          </w:p>
          <w:p>
            <w:pPr>
              <w:adjustRightInd w:val="0"/>
              <w:snapToGrid w:val="0"/>
              <w:spacing w:line="320" w:lineRule="exact"/>
              <w:jc w:val="left"/>
              <w:rPr>
                <w:rFonts w:ascii="宋体" w:hAnsi="宋体" w:cs="仿宋"/>
                <w:sz w:val="24"/>
              </w:rPr>
            </w:pPr>
            <w:r>
              <w:rPr>
                <w:rFonts w:hint="eastAsia" w:ascii="宋体" w:hAnsi="宋体" w:cs="仿宋"/>
                <w:sz w:val="24"/>
              </w:rPr>
              <w:t>6.集中润滑系统质保8年（含工时、易损件等）。</w:t>
            </w:r>
          </w:p>
          <w:p>
            <w:pPr>
              <w:adjustRightInd w:val="0"/>
              <w:snapToGrid w:val="0"/>
              <w:spacing w:line="320" w:lineRule="exact"/>
              <w:jc w:val="left"/>
              <w:rPr>
                <w:rFonts w:ascii="宋体" w:hAnsi="宋体" w:cs="仿宋"/>
                <w:sz w:val="24"/>
              </w:rPr>
            </w:pPr>
            <w:r>
              <w:rPr>
                <w:rFonts w:hint="eastAsia" w:ascii="宋体" w:hAnsi="宋体" w:cs="仿宋"/>
                <w:sz w:val="24"/>
              </w:rPr>
              <w:t>7.采用储能弹簧制动器，手控操纵。</w:t>
            </w:r>
          </w:p>
          <w:p>
            <w:pPr>
              <w:adjustRightInd w:val="0"/>
              <w:snapToGrid w:val="0"/>
              <w:spacing w:line="320" w:lineRule="exact"/>
              <w:jc w:val="left"/>
              <w:rPr>
                <w:rFonts w:ascii="宋体" w:hAnsi="宋体" w:cs="仿宋"/>
                <w:sz w:val="24"/>
              </w:rPr>
            </w:pPr>
            <w:r>
              <w:rPr>
                <w:rFonts w:hint="eastAsia" w:ascii="宋体" w:hAnsi="宋体" w:cs="仿宋"/>
                <w:sz w:val="24"/>
              </w:rPr>
              <w:t>8.车辆应有解除储能制动的外接气源快速接口，在车辆无气抛锚时，能方便接进气源，解除储能制动。</w:t>
            </w:r>
          </w:p>
          <w:p>
            <w:pPr>
              <w:adjustRightInd w:val="0"/>
              <w:snapToGrid w:val="0"/>
              <w:spacing w:line="320" w:lineRule="exact"/>
              <w:jc w:val="left"/>
              <w:rPr>
                <w:rFonts w:ascii="宋体" w:hAnsi="宋体" w:cs="仿宋"/>
                <w:sz w:val="24"/>
              </w:rPr>
            </w:pPr>
            <w:r>
              <w:rPr>
                <w:rFonts w:hint="eastAsia" w:ascii="宋体" w:hAnsi="宋体" w:cs="仿宋"/>
                <w:sz w:val="24"/>
              </w:rPr>
              <w:t>9.管路系统应进行保压试验，达到国家标准要求。</w:t>
            </w:r>
          </w:p>
          <w:p>
            <w:pPr>
              <w:adjustRightInd w:val="0"/>
              <w:snapToGrid w:val="0"/>
              <w:spacing w:line="320" w:lineRule="exact"/>
              <w:jc w:val="left"/>
              <w:rPr>
                <w:rFonts w:ascii="宋体" w:hAnsi="宋体" w:cs="仿宋"/>
                <w:sz w:val="24"/>
              </w:rPr>
            </w:pPr>
            <w:r>
              <w:rPr>
                <w:rFonts w:hint="eastAsia" w:ascii="宋体" w:hAnsi="宋体" w:cs="仿宋"/>
                <w:sz w:val="24"/>
              </w:rPr>
              <w:t>10.制动系低压报警灯、蜂鸣器集成于仪表，具备声光报警。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最大总质量、装备质量、载客量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投标车辆的最大总质量、整备质量、额定载客数等数据应与工业与信息化部发布的道路机动车辆生产企业及产品公告一致。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拖 车 钩</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拖车钩应坚固，保证拖车转弯时不碰擦外蒙皮，拖车钩的位置应满足在拖车时保持车辆左右转弯不损伤车体，方便托举和拖动。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悬 架</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悬架系统质保8年（含工时及易损、易耗件）。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轮胎、车轮</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1.公交专用子午线全钢真空胎。</w:t>
            </w:r>
          </w:p>
          <w:p>
            <w:pPr>
              <w:adjustRightInd w:val="0"/>
              <w:snapToGrid w:val="0"/>
              <w:spacing w:line="320" w:lineRule="exact"/>
              <w:jc w:val="left"/>
              <w:rPr>
                <w:rFonts w:ascii="宋体" w:hAnsi="宋体" w:cs="仿宋"/>
                <w:sz w:val="24"/>
              </w:rPr>
            </w:pPr>
            <w:r>
              <w:rPr>
                <w:rFonts w:hint="eastAsia" w:ascii="宋体" w:hAnsi="宋体" w:cs="仿宋"/>
                <w:sz w:val="24"/>
              </w:rPr>
              <w:t>2.轮胎数量要求前二后四。</w:t>
            </w:r>
          </w:p>
          <w:p>
            <w:pPr>
              <w:adjustRightInd w:val="0"/>
              <w:snapToGrid w:val="0"/>
              <w:spacing w:line="320" w:lineRule="exact"/>
              <w:jc w:val="left"/>
              <w:rPr>
                <w:rFonts w:ascii="宋体" w:hAnsi="宋体" w:cs="仿宋"/>
                <w:sz w:val="24"/>
              </w:rPr>
            </w:pPr>
            <w:r>
              <w:rPr>
                <w:rFonts w:hint="eastAsia" w:ascii="宋体" w:hAnsi="宋体" w:cs="仿宋"/>
                <w:sz w:val="24"/>
              </w:rPr>
              <w:t>3.铝合金轮辋（质保8年）。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车辆安全性</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1.要求具备驱动防滑功能，通过调节驱动车轮的牵引力实现对驱动车轮滑转的控制，保持最佳的驱动力。</w:t>
            </w:r>
          </w:p>
          <w:p>
            <w:pPr>
              <w:adjustRightInd w:val="0"/>
              <w:snapToGrid w:val="0"/>
              <w:spacing w:line="320" w:lineRule="exact"/>
              <w:rPr>
                <w:rFonts w:ascii="宋体" w:hAnsi="宋体" w:cs="仿宋"/>
                <w:sz w:val="24"/>
              </w:rPr>
            </w:pPr>
            <w:r>
              <w:rPr>
                <w:rFonts w:hint="eastAsia" w:ascii="宋体" w:hAnsi="宋体" w:cs="仿宋"/>
                <w:sz w:val="24"/>
              </w:rPr>
              <w:t>2.要求具备油门防误踩功能，通过判断油门踏板异常的速度和幅度，有效控制驱动力输出，提升行车安全性。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4.电气系统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电气线路设计安装要求</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整车电路设计符合车辆安全技术要求，所有电路应设置独立保护装置，空调线束和接插件必须使用进口优质线束及防水接插件，各连接线接头安装应确保防火阻燃性能达到国标A-OMM/Min，具体要求如下：</w:t>
            </w:r>
          </w:p>
          <w:p>
            <w:pPr>
              <w:adjustRightInd w:val="0"/>
              <w:snapToGrid w:val="0"/>
              <w:spacing w:line="320" w:lineRule="exact"/>
              <w:jc w:val="left"/>
              <w:rPr>
                <w:rFonts w:ascii="宋体" w:hAnsi="宋体" w:cs="仿宋"/>
                <w:sz w:val="24"/>
              </w:rPr>
            </w:pPr>
            <w:r>
              <w:rPr>
                <w:rFonts w:hint="eastAsia" w:ascii="宋体" w:hAnsi="宋体" w:cs="仿宋"/>
                <w:sz w:val="24"/>
              </w:rPr>
              <w:t>1.采用耐高温辐照阻燃电线（105</w:t>
            </w:r>
            <w:r>
              <w:rPr>
                <w:rFonts w:hint="eastAsia" w:ascii="宋体" w:hAnsi="宋体" w:cs="仿宋"/>
                <w:sz w:val="24"/>
                <w:vertAlign w:val="superscript"/>
              </w:rPr>
              <w:t>O</w:t>
            </w:r>
            <w:r>
              <w:rPr>
                <w:rFonts w:hint="eastAsia" w:ascii="宋体" w:hAnsi="宋体" w:cs="仿宋"/>
                <w:sz w:val="24"/>
              </w:rPr>
              <w:t>C以上）。导线允许的最大电流，要在根据用电设备计算出的最大电流基础上留有足够的安全系数。</w:t>
            </w:r>
          </w:p>
          <w:p>
            <w:pPr>
              <w:adjustRightInd w:val="0"/>
              <w:snapToGrid w:val="0"/>
              <w:spacing w:line="320" w:lineRule="exact"/>
              <w:jc w:val="left"/>
              <w:rPr>
                <w:rFonts w:ascii="宋体" w:hAnsi="宋体" w:cs="仿宋"/>
                <w:sz w:val="24"/>
              </w:rPr>
            </w:pPr>
            <w:r>
              <w:rPr>
                <w:rFonts w:hint="eastAsia" w:ascii="宋体" w:hAnsi="宋体" w:cs="仿宋"/>
                <w:sz w:val="24"/>
              </w:rPr>
              <w:t>2. 各用电器线路设有相应的保险保护系统电气线路走向合理。导线应分色，有线号。线束要捆扎牢靠并有绝缘防护套，打有套号。</w:t>
            </w:r>
          </w:p>
          <w:p>
            <w:pPr>
              <w:adjustRightInd w:val="0"/>
              <w:snapToGrid w:val="0"/>
              <w:spacing w:line="320" w:lineRule="exact"/>
              <w:jc w:val="left"/>
              <w:rPr>
                <w:rFonts w:ascii="宋体" w:hAnsi="宋体" w:cs="仿宋"/>
                <w:sz w:val="24"/>
              </w:rPr>
            </w:pPr>
            <w:r>
              <w:rPr>
                <w:rFonts w:hint="eastAsia" w:ascii="宋体" w:hAnsi="宋体" w:cs="仿宋"/>
                <w:sz w:val="24"/>
              </w:rPr>
              <w:t>3.线束通过梁、板孔时，应有绝缘防护圈，与其它物体固定时要用尼龙扎带，不允许线束与油、气、水管捆扎在一起。</w:t>
            </w:r>
          </w:p>
          <w:p>
            <w:pPr>
              <w:adjustRightInd w:val="0"/>
              <w:snapToGrid w:val="0"/>
              <w:spacing w:line="320" w:lineRule="exact"/>
              <w:jc w:val="left"/>
              <w:rPr>
                <w:rFonts w:ascii="宋体" w:hAnsi="宋体" w:cs="仿宋"/>
                <w:sz w:val="24"/>
              </w:rPr>
            </w:pPr>
            <w:r>
              <w:rPr>
                <w:rFonts w:hint="eastAsia" w:ascii="宋体" w:hAnsi="宋体" w:cs="仿宋"/>
                <w:sz w:val="24"/>
              </w:rPr>
              <w:t>4.采用优质防水型电器插接件，插接件连接可靠，要有防插错措施。</w:t>
            </w:r>
          </w:p>
          <w:p>
            <w:pPr>
              <w:adjustRightInd w:val="0"/>
              <w:snapToGrid w:val="0"/>
              <w:spacing w:line="320" w:lineRule="exact"/>
              <w:jc w:val="left"/>
              <w:rPr>
                <w:rFonts w:ascii="宋体" w:hAnsi="宋体" w:cs="仿宋"/>
                <w:sz w:val="24"/>
              </w:rPr>
            </w:pPr>
            <w:r>
              <w:rPr>
                <w:rFonts w:hint="eastAsia" w:ascii="宋体" w:hAnsi="宋体" w:cs="仿宋"/>
                <w:sz w:val="24"/>
              </w:rPr>
              <w:t>5.保险、开关、继电器、灯泡工作可靠，耐用，开关等表面件还应美观。</w:t>
            </w:r>
          </w:p>
          <w:p>
            <w:pPr>
              <w:adjustRightInd w:val="0"/>
              <w:snapToGrid w:val="0"/>
              <w:spacing w:line="320" w:lineRule="exact"/>
              <w:jc w:val="left"/>
              <w:rPr>
                <w:rFonts w:ascii="宋体" w:hAnsi="宋体" w:cs="仿宋"/>
                <w:sz w:val="24"/>
              </w:rPr>
            </w:pPr>
            <w:r>
              <w:rPr>
                <w:rFonts w:hint="eastAsia" w:ascii="宋体" w:hAnsi="宋体" w:cs="仿宋"/>
                <w:sz w:val="24"/>
              </w:rPr>
              <w:t>6.中控器应防尘防水，安装在车厢内。</w:t>
            </w:r>
          </w:p>
          <w:p>
            <w:pPr>
              <w:adjustRightInd w:val="0"/>
              <w:snapToGrid w:val="0"/>
              <w:spacing w:line="320" w:lineRule="exact"/>
              <w:jc w:val="left"/>
              <w:rPr>
                <w:rFonts w:ascii="宋体" w:hAnsi="宋体" w:cs="仿宋"/>
                <w:sz w:val="24"/>
              </w:rPr>
            </w:pPr>
            <w:r>
              <w:rPr>
                <w:rFonts w:hint="eastAsia" w:ascii="宋体" w:hAnsi="宋体" w:cs="仿宋"/>
                <w:sz w:val="24"/>
              </w:rPr>
              <w:t>7.靠近电瓶处安装便于驾驶员操作的总电源机械开关。</w:t>
            </w:r>
          </w:p>
          <w:p>
            <w:pPr>
              <w:adjustRightInd w:val="0"/>
              <w:snapToGrid w:val="0"/>
              <w:spacing w:line="320" w:lineRule="exact"/>
              <w:jc w:val="left"/>
              <w:rPr>
                <w:rFonts w:ascii="宋体" w:hAnsi="宋体" w:cs="仿宋"/>
                <w:sz w:val="24"/>
              </w:rPr>
            </w:pPr>
            <w:r>
              <w:rPr>
                <w:rFonts w:hint="eastAsia" w:ascii="宋体" w:hAnsi="宋体" w:cs="仿宋"/>
                <w:sz w:val="24"/>
              </w:rPr>
              <w:t>8.全车线束及中央电器控制盒、电瓶线，线芯、阻燃性能符合国家标准。</w:t>
            </w:r>
          </w:p>
          <w:p>
            <w:pPr>
              <w:adjustRightInd w:val="0"/>
              <w:snapToGrid w:val="0"/>
              <w:spacing w:line="320" w:lineRule="exact"/>
              <w:jc w:val="left"/>
              <w:rPr>
                <w:rFonts w:ascii="宋体" w:hAnsi="宋体" w:cs="仿宋"/>
                <w:sz w:val="24"/>
              </w:rPr>
            </w:pPr>
            <w:r>
              <w:rPr>
                <w:rFonts w:hint="eastAsia" w:ascii="宋体" w:hAnsi="宋体" w:cs="仿宋"/>
                <w:sz w:val="24"/>
              </w:rPr>
              <w:t>9.蓄电池采用免维护锂电池，加装大容量熔断器；蓄电池能方便更换，锁止可靠，安装合理，质保8年（含易损易耗件）。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前后大小灯</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美观大方，便于独立维护。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转向指示灯开关</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除在方向盘下的组合开关外，在仪表台上再设一套翘板开关，两套应能并用。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前风窗玻璃刮水器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1.两速及以上雨刮电机。</w:t>
            </w:r>
          </w:p>
          <w:p>
            <w:pPr>
              <w:adjustRightInd w:val="0"/>
              <w:snapToGrid w:val="0"/>
              <w:spacing w:line="320" w:lineRule="exact"/>
              <w:rPr>
                <w:rFonts w:ascii="宋体" w:hAnsi="宋体" w:cs="仿宋"/>
                <w:sz w:val="24"/>
              </w:rPr>
            </w:pPr>
            <w:r>
              <w:rPr>
                <w:rFonts w:hint="eastAsia" w:ascii="宋体" w:hAnsi="宋体" w:cs="仿宋"/>
                <w:sz w:val="24"/>
              </w:rPr>
              <w:t>2.刮臂和刮片长短与前风挡高度匹配良好，工作稳定可靠。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sz w:val="24"/>
              </w:rPr>
              <w:t>5.车身系统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承载要求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全承载，</w:t>
            </w:r>
            <w:r>
              <w:rPr>
                <w:rFonts w:hint="eastAsia" w:ascii="宋体" w:hAnsi="宋体" w:cs="仿宋"/>
                <w:b/>
                <w:bCs/>
                <w:sz w:val="24"/>
              </w:rPr>
              <w:t>需在投标文件中提供工信部汽车产品技术参数页</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防腐要求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1.要求整车采用阴极电泳工艺或铝车身材质。</w:t>
            </w:r>
          </w:p>
          <w:p>
            <w:pPr>
              <w:adjustRightInd w:val="0"/>
              <w:snapToGrid w:val="0"/>
              <w:spacing w:line="320" w:lineRule="exact"/>
              <w:rPr>
                <w:rFonts w:ascii="宋体" w:hAnsi="宋体" w:cs="仿宋"/>
                <w:sz w:val="24"/>
              </w:rPr>
            </w:pPr>
            <w:r>
              <w:rPr>
                <w:rFonts w:hint="eastAsia" w:ascii="宋体" w:hAnsi="宋体" w:cs="仿宋"/>
                <w:sz w:val="24"/>
              </w:rPr>
              <w:t>2.整车蒙皮、骨架与地板等接合缝处采用聚氨酯密封胶进行密封防水防锈处理。</w:t>
            </w:r>
          </w:p>
          <w:p>
            <w:pPr>
              <w:adjustRightInd w:val="0"/>
              <w:snapToGrid w:val="0"/>
              <w:spacing w:line="320" w:lineRule="exact"/>
              <w:rPr>
                <w:rFonts w:ascii="宋体" w:hAnsi="宋体" w:cs="仿宋"/>
                <w:sz w:val="24"/>
              </w:rPr>
            </w:pPr>
            <w:r>
              <w:rPr>
                <w:rFonts w:hint="eastAsia" w:ascii="宋体" w:hAnsi="宋体" w:cs="仿宋"/>
                <w:sz w:val="24"/>
              </w:rPr>
              <w:t>3.整车防腐效果达到8年及以上。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车身舱门、前后轮拱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1.车身左右侧边门采用翻开式，机械锁和气压支撑杆检修门结构，并装有胶垫防震、检修门铰链。</w:t>
            </w:r>
          </w:p>
          <w:p>
            <w:pPr>
              <w:adjustRightInd w:val="0"/>
              <w:snapToGrid w:val="0"/>
              <w:spacing w:line="320" w:lineRule="exact"/>
              <w:rPr>
                <w:rFonts w:ascii="宋体" w:hAnsi="宋体" w:cs="仿宋"/>
                <w:sz w:val="24"/>
              </w:rPr>
            </w:pPr>
            <w:r>
              <w:rPr>
                <w:rFonts w:hint="eastAsia" w:ascii="宋体" w:hAnsi="宋体" w:cs="仿宋"/>
                <w:sz w:val="24"/>
              </w:rPr>
              <w:t>2.舱门美观牢固，开启方便，锁止可靠，门与车身蒙皮缝隙均匀，液压撑杆支撑力要满足支撑检修门要求，确保安全稳定，在侧围检修门和客车骨架之间增装保险绳（挂钩或钢丝绳或链）。</w:t>
            </w:r>
          </w:p>
          <w:p>
            <w:pPr>
              <w:adjustRightInd w:val="0"/>
              <w:snapToGrid w:val="0"/>
              <w:spacing w:line="320" w:lineRule="exact"/>
              <w:rPr>
                <w:rFonts w:ascii="宋体" w:hAnsi="宋体" w:cs="仿宋"/>
                <w:sz w:val="24"/>
              </w:rPr>
            </w:pPr>
            <w:r>
              <w:rPr>
                <w:rFonts w:hint="eastAsia" w:ascii="宋体" w:hAnsi="宋体" w:cs="仿宋"/>
                <w:sz w:val="24"/>
              </w:rPr>
              <w:t>3.为方便雨刷器等部件的检修与拆装，在客车前围处设置有专用检修门，凡需检修的部位都应开设工作门或检修窗。</w:t>
            </w:r>
          </w:p>
          <w:p>
            <w:pPr>
              <w:adjustRightInd w:val="0"/>
              <w:snapToGrid w:val="0"/>
              <w:spacing w:line="320" w:lineRule="exact"/>
              <w:rPr>
                <w:rFonts w:ascii="宋体" w:hAnsi="宋体" w:cs="仿宋"/>
                <w:sz w:val="24"/>
              </w:rPr>
            </w:pPr>
            <w:r>
              <w:rPr>
                <w:rFonts w:hint="eastAsia" w:ascii="宋体" w:hAnsi="宋体" w:cs="仿宋"/>
                <w:sz w:val="24"/>
              </w:rPr>
              <w:t>4.前后轮拱区域应有密封防腐处理，保证骨架不外露、不藏水，轮罩和挡泥板均喷阻尼胶。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车身色彩图案</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1.中标后由采购人确定。</w:t>
            </w:r>
          </w:p>
          <w:p>
            <w:pPr>
              <w:adjustRightInd w:val="0"/>
              <w:snapToGrid w:val="0"/>
              <w:spacing w:line="320" w:lineRule="exact"/>
              <w:rPr>
                <w:rFonts w:ascii="宋体" w:hAnsi="宋体" w:cs="仿宋"/>
                <w:sz w:val="24"/>
              </w:rPr>
            </w:pPr>
            <w:r>
              <w:rPr>
                <w:rFonts w:hint="eastAsia" w:ascii="宋体" w:hAnsi="宋体" w:cs="仿宋"/>
                <w:sz w:val="24"/>
              </w:rPr>
              <w:t>2.采用优质金属漆。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2.车前部安装电蜗牛喇叭及外音播报喇叭。</w:t>
            </w:r>
          </w:p>
          <w:p>
            <w:pPr>
              <w:adjustRightInd w:val="0"/>
              <w:snapToGrid w:val="0"/>
              <w:spacing w:line="320" w:lineRule="exact"/>
              <w:rPr>
                <w:rFonts w:ascii="宋体" w:hAnsi="宋体" w:cs="仿宋"/>
                <w:sz w:val="24"/>
              </w:rPr>
            </w:pPr>
            <w:r>
              <w:rPr>
                <w:rFonts w:hint="eastAsia" w:ascii="宋体" w:hAnsi="宋体" w:cs="仿宋"/>
                <w:sz w:val="24"/>
              </w:rPr>
              <w:t>3.前风窗采用双曲面全景夹胶安全玻璃，透光率70%以上，直接粘贴在风窗框上，接缝处粘贴平顺美观。驾驶员侧、前装上下拉遮阳帘。</w:t>
            </w:r>
          </w:p>
          <w:p>
            <w:pPr>
              <w:adjustRightInd w:val="0"/>
              <w:snapToGrid w:val="0"/>
              <w:spacing w:line="320" w:lineRule="exact"/>
              <w:rPr>
                <w:rFonts w:ascii="宋体" w:hAnsi="宋体" w:cs="仿宋"/>
                <w:sz w:val="24"/>
              </w:rPr>
            </w:pPr>
            <w:r>
              <w:rPr>
                <w:rFonts w:hint="eastAsia" w:ascii="宋体" w:hAnsi="宋体" w:cs="仿宋"/>
                <w:sz w:val="24"/>
              </w:rPr>
              <w:t>4.侧窗采用粘贴式内嵌推拉窗，侧窗不配窗帘布，使用浅灰色玻璃。</w:t>
            </w:r>
          </w:p>
          <w:p>
            <w:pPr>
              <w:adjustRightInd w:val="0"/>
              <w:snapToGrid w:val="0"/>
              <w:spacing w:line="320" w:lineRule="exact"/>
              <w:rPr>
                <w:rFonts w:ascii="宋体" w:hAnsi="宋体" w:cs="仿宋"/>
                <w:sz w:val="24"/>
              </w:rPr>
            </w:pPr>
            <w:r>
              <w:rPr>
                <w:rFonts w:hint="eastAsia" w:ascii="宋体" w:hAnsi="宋体" w:cs="仿宋"/>
                <w:sz w:val="24"/>
              </w:rPr>
              <w:t>5.前档遮阳帘：手动单幅下拉自锁式。</w:t>
            </w:r>
          </w:p>
          <w:p>
            <w:pPr>
              <w:adjustRightInd w:val="0"/>
              <w:snapToGrid w:val="0"/>
              <w:spacing w:line="320" w:lineRule="exact"/>
              <w:rPr>
                <w:rFonts w:ascii="宋体" w:hAnsi="宋体" w:cs="仿宋"/>
                <w:sz w:val="24"/>
              </w:rPr>
            </w:pPr>
            <w:r>
              <w:rPr>
                <w:rFonts w:hint="eastAsia" w:ascii="宋体" w:hAnsi="宋体" w:cs="仿宋"/>
                <w:sz w:val="24"/>
              </w:rPr>
              <w:t>6.司机遮阳帘：下拉自锁式司机遮阳帘。</w:t>
            </w:r>
          </w:p>
          <w:p>
            <w:pPr>
              <w:adjustRightInd w:val="0"/>
              <w:snapToGrid w:val="0"/>
              <w:spacing w:line="320" w:lineRule="exact"/>
              <w:rPr>
                <w:rFonts w:ascii="宋体" w:hAnsi="宋体" w:cs="仿宋"/>
                <w:sz w:val="24"/>
              </w:rPr>
            </w:pPr>
            <w:r>
              <w:rPr>
                <w:rFonts w:hint="eastAsia" w:ascii="宋体" w:hAnsi="宋体" w:cs="仿宋"/>
                <w:sz w:val="24"/>
              </w:rPr>
              <w:t>7.车头喷“台州公交”字样、车身侧面喷单位全称、logo及投诉举报电话，标准规范由采购人提供。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2.后挡风玻璃采用钢化玻璃，直接粘贴在风窗框上。后风挡上不加贴或喷涂任何说明。</w:t>
            </w:r>
          </w:p>
          <w:p>
            <w:pPr>
              <w:adjustRightInd w:val="0"/>
              <w:snapToGrid w:val="0"/>
              <w:spacing w:line="320" w:lineRule="exact"/>
              <w:rPr>
                <w:rFonts w:ascii="宋体" w:hAnsi="宋体" w:cs="仿宋"/>
                <w:sz w:val="24"/>
              </w:rPr>
            </w:pPr>
            <w:r>
              <w:rPr>
                <w:rFonts w:hint="eastAsia" w:ascii="宋体" w:hAnsi="宋体" w:cs="仿宋"/>
                <w:sz w:val="24"/>
              </w:rPr>
              <w:t>3.上围风窗框内应考虑后路牌架，使后路牌安装后与后风窗玻璃紧贴配合良好，内下侧安装车尾广告屏，除满足车尾屏电源外，再预留一组备用电源。</w:t>
            </w:r>
          </w:p>
          <w:p>
            <w:pPr>
              <w:adjustRightInd w:val="0"/>
              <w:snapToGrid w:val="0"/>
              <w:spacing w:line="320" w:lineRule="exact"/>
              <w:rPr>
                <w:rFonts w:ascii="宋体" w:hAnsi="宋体" w:cs="仿宋"/>
                <w:sz w:val="24"/>
              </w:rPr>
            </w:pPr>
            <w:r>
              <w:rPr>
                <w:rFonts w:hint="eastAsia" w:ascii="宋体" w:hAnsi="宋体" w:cs="仿宋"/>
                <w:sz w:val="24"/>
              </w:rPr>
              <w:t>4.小膨胀水箱在机仓内布置应方便加注。</w:t>
            </w:r>
          </w:p>
          <w:p>
            <w:pPr>
              <w:adjustRightInd w:val="0"/>
              <w:snapToGrid w:val="0"/>
              <w:spacing w:line="320" w:lineRule="exact"/>
              <w:rPr>
                <w:rFonts w:ascii="宋体" w:hAnsi="宋体" w:cs="仿宋"/>
                <w:sz w:val="24"/>
              </w:rPr>
            </w:pPr>
            <w:r>
              <w:rPr>
                <w:rFonts w:hint="eastAsia" w:ascii="宋体" w:hAnsi="宋体" w:cs="仿宋"/>
                <w:sz w:val="24"/>
              </w:rPr>
              <w:t>5.右后下方配车长牌，具体尺寸由采购方提供。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侧围外蒙皮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1.预应力涨拉蒙皮，蒙皮应做防腐、防锈蚀处理，蒙皮内侧应有隔热减振措施。蒙皮厚度不小于1mm。</w:t>
            </w:r>
          </w:p>
          <w:p>
            <w:pPr>
              <w:adjustRightInd w:val="0"/>
              <w:snapToGrid w:val="0"/>
              <w:spacing w:line="320" w:lineRule="exact"/>
              <w:rPr>
                <w:rFonts w:ascii="宋体" w:hAnsi="宋体" w:cs="仿宋"/>
                <w:sz w:val="24"/>
              </w:rPr>
            </w:pPr>
            <w:r>
              <w:rPr>
                <w:rFonts w:hint="eastAsia" w:ascii="宋体" w:hAnsi="宋体" w:cs="仿宋"/>
                <w:sz w:val="24"/>
              </w:rPr>
              <w:t>2.各种型材应采用国内优质产品并提供供货清单。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骨架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1.骨架质保8年（含蒙皮），</w:t>
            </w:r>
            <w:r>
              <w:rPr>
                <w:rFonts w:hint="eastAsia" w:ascii="宋体" w:hAnsi="宋体" w:cs="仿宋"/>
                <w:b/>
                <w:bCs/>
                <w:sz w:val="24"/>
              </w:rPr>
              <w:t>投标人须在标书内提供书面承诺。</w:t>
            </w:r>
          </w:p>
          <w:p>
            <w:pPr>
              <w:adjustRightInd w:val="0"/>
              <w:snapToGrid w:val="0"/>
              <w:spacing w:line="320" w:lineRule="exact"/>
              <w:rPr>
                <w:rFonts w:ascii="宋体" w:hAnsi="宋体" w:cs="仿宋"/>
                <w:strike/>
                <w:sz w:val="24"/>
              </w:rPr>
            </w:pPr>
            <w:r>
              <w:rPr>
                <w:rFonts w:hint="eastAsia" w:ascii="宋体" w:hAnsi="宋体" w:cs="仿宋"/>
                <w:sz w:val="24"/>
              </w:rPr>
              <w:t>2.足够的强度和刚度，焊接可靠，提高整车骨架的防腐、防锈蚀性能。各种型材应采用优质产品。</w:t>
            </w:r>
          </w:p>
          <w:p>
            <w:pPr>
              <w:adjustRightInd w:val="0"/>
              <w:snapToGrid w:val="0"/>
              <w:spacing w:line="320" w:lineRule="exact"/>
              <w:rPr>
                <w:rFonts w:ascii="宋体" w:hAnsi="宋体" w:cs="仿宋"/>
                <w:sz w:val="24"/>
              </w:rPr>
            </w:pPr>
            <w:r>
              <w:rPr>
                <w:rFonts w:hint="eastAsia" w:ascii="宋体" w:hAnsi="宋体" w:cs="仿宋"/>
                <w:sz w:val="24"/>
              </w:rPr>
              <w:t>3.左右侧围骨架、顶盖骨架之间充填A0级阻燃型隔热材料，发泡层均匀厚度不得小于35mm，以保证客车的隔热性能。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安全天窗</w:t>
            </w:r>
          </w:p>
        </w:tc>
        <w:tc>
          <w:tcPr>
            <w:tcW w:w="7135" w:type="dxa"/>
            <w:vAlign w:val="center"/>
          </w:tcPr>
          <w:p>
            <w:pPr>
              <w:rPr>
                <w:rFonts w:ascii="宋体" w:hAnsi="宋体" w:cs="仿宋"/>
                <w:sz w:val="24"/>
              </w:rPr>
            </w:pPr>
            <w:r>
              <w:rPr>
                <w:rFonts w:hint="eastAsia" w:ascii="宋体" w:hAnsi="宋体" w:cs="仿宋"/>
                <w:sz w:val="24"/>
              </w:rPr>
              <w:t>带换气扇安全出口1只。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地板</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整车采用大平面环保阻燃PVC或PP蜂窝式地板，厚度不小于18MM，符合JT/T1095等最新标准，安装工艺必须符合地板安装相关技术要求，具有无毒、防水防潮，完全阻燃性达到AO级获得国家3C强制认证。</w:t>
            </w:r>
          </w:p>
          <w:p>
            <w:pPr>
              <w:adjustRightInd w:val="0"/>
              <w:snapToGrid w:val="0"/>
              <w:spacing w:line="320" w:lineRule="exact"/>
              <w:rPr>
                <w:rFonts w:ascii="宋体" w:hAnsi="宋体" w:cs="仿宋"/>
                <w:sz w:val="24"/>
              </w:rPr>
            </w:pPr>
            <w:r>
              <w:rPr>
                <w:rFonts w:hint="eastAsia" w:ascii="宋体" w:hAnsi="宋体" w:cs="仿宋"/>
                <w:sz w:val="24"/>
              </w:rPr>
              <w:t>2.地板与客车底架采用胶水及专用螺栓连接，铺设区客车底架横梁加密、地板及座椅固定螺栓要求连接在横梁或替板上、紧固可靠（8年内不发生地板拱起，螺栓松脱开现象），地板各连接缝、地板与车身的接缝处应涂密封胶。</w:t>
            </w:r>
          </w:p>
          <w:p>
            <w:pPr>
              <w:adjustRightInd w:val="0"/>
              <w:snapToGrid w:val="0"/>
              <w:spacing w:line="320" w:lineRule="exact"/>
              <w:rPr>
                <w:rFonts w:ascii="宋体" w:hAnsi="宋体" w:cs="仿宋"/>
                <w:sz w:val="24"/>
              </w:rPr>
            </w:pPr>
            <w:r>
              <w:rPr>
                <w:rFonts w:hint="eastAsia" w:ascii="宋体" w:hAnsi="宋体" w:cs="仿宋"/>
                <w:sz w:val="24"/>
              </w:rPr>
              <w:t>3.车顶棚骨架等使用防火保温隔热材料，充分考虑当地气候特点，考虑内饰阻燃特性；产品要求防潮、抗菌、防霉、节能环保材料。技术性能必须达到 GB38262-2019《汽车内饰材料燃烧特性》，防火等级A0级。</w:t>
            </w:r>
            <w:r>
              <w:rPr>
                <w:rFonts w:hint="eastAsia" w:ascii="宋体" w:hAnsi="宋体" w:cs="仿宋"/>
                <w:b/>
                <w:sz w:val="24"/>
              </w:rPr>
              <w:t>需在投标文件中提供检测报告</w:t>
            </w:r>
            <w:r>
              <w:rPr>
                <w:rFonts w:hint="eastAsia" w:ascii="宋体" w:hAnsi="宋体" w:cs="仿宋"/>
                <w:bCs/>
                <w:sz w:val="24"/>
              </w:rPr>
              <w:t>。</w:t>
            </w:r>
          </w:p>
          <w:p>
            <w:pPr>
              <w:adjustRightInd w:val="0"/>
              <w:snapToGrid w:val="0"/>
              <w:spacing w:line="320" w:lineRule="exact"/>
              <w:rPr>
                <w:rFonts w:ascii="宋体" w:hAnsi="宋体" w:cs="仿宋"/>
                <w:sz w:val="24"/>
              </w:rPr>
            </w:pPr>
            <w:r>
              <w:rPr>
                <w:rFonts w:hint="eastAsia" w:ascii="宋体" w:hAnsi="宋体" w:cs="仿宋"/>
                <w:sz w:val="24"/>
              </w:rPr>
              <w:t>4.客舱使用降噪材料和气凝胶防火材料，电池仓和电机仓、客舱等部分合理铺设使用气凝胶防火材料，符合GB 8624标准“燃烧性能等级，A级不燃”要求；符合JT/T 1095内饰件阻燃特性要求。</w:t>
            </w:r>
          </w:p>
          <w:p>
            <w:pPr>
              <w:adjustRightInd w:val="0"/>
              <w:snapToGrid w:val="0"/>
              <w:spacing w:line="320" w:lineRule="exact"/>
              <w:rPr>
                <w:rFonts w:ascii="宋体" w:hAnsi="宋体" w:cs="仿宋"/>
                <w:sz w:val="24"/>
              </w:rPr>
            </w:pPr>
            <w:r>
              <w:rPr>
                <w:rFonts w:hint="eastAsia" w:ascii="宋体" w:hAnsi="宋体" w:cs="仿宋"/>
                <w:sz w:val="24"/>
              </w:rPr>
              <w:t>5.整车采用耐磨防滑石英沙城市客车专用地板革，符合JT/T1095-2016标准，地板与地板革采用进口高强度防水专用地板革胶粘接，做到不脱胶、不起泡、不开裂。地板革拼接采用焊接工艺，接缝处剔割平整，具有防渗水性能。</w:t>
            </w:r>
          </w:p>
          <w:p>
            <w:pPr>
              <w:adjustRightInd w:val="0"/>
              <w:snapToGrid w:val="0"/>
              <w:spacing w:line="320" w:lineRule="exact"/>
              <w:rPr>
                <w:rFonts w:ascii="宋体" w:hAnsi="宋体" w:cs="仿宋"/>
                <w:sz w:val="24"/>
              </w:rPr>
            </w:pPr>
            <w:r>
              <w:rPr>
                <w:rFonts w:hint="eastAsia" w:ascii="宋体" w:hAnsi="宋体" w:cs="仿宋"/>
                <w:sz w:val="24"/>
              </w:rPr>
              <w:t>6.前后乘客门踏步区域采用黄色踏步专用地板革，并标明“禁止站立”字样。</w:t>
            </w:r>
          </w:p>
          <w:p>
            <w:pPr>
              <w:adjustRightInd w:val="0"/>
              <w:snapToGrid w:val="0"/>
              <w:spacing w:line="320" w:lineRule="exact"/>
              <w:rPr>
                <w:rFonts w:ascii="宋体" w:hAnsi="宋体" w:cs="仿宋"/>
                <w:sz w:val="24"/>
              </w:rPr>
            </w:pPr>
            <w:r>
              <w:rPr>
                <w:rFonts w:hint="eastAsia" w:ascii="宋体" w:hAnsi="宋体" w:cs="仿宋"/>
                <w:sz w:val="24"/>
              </w:rPr>
              <w:t>7.地板应设有检修孔和盖板，检修盖板拉手隐性结构，地板上的检修舱口盖压边框为整体式铝型材，采用双层密封结构。</w:t>
            </w:r>
          </w:p>
          <w:p>
            <w:pPr>
              <w:adjustRightInd w:val="0"/>
              <w:snapToGrid w:val="0"/>
              <w:spacing w:line="320" w:lineRule="exact"/>
              <w:rPr>
                <w:rFonts w:ascii="宋体" w:hAnsi="宋体" w:cs="仿宋"/>
                <w:sz w:val="24"/>
              </w:rPr>
            </w:pPr>
            <w:r>
              <w:rPr>
                <w:rFonts w:hint="eastAsia" w:ascii="宋体" w:hAnsi="宋体" w:cs="仿宋"/>
                <w:sz w:val="24"/>
              </w:rPr>
              <w:t>8.车厢内各阴阳角拼缝处采用铝合金型材拼压或地板革焊接工艺，直角拼缝处采用磨光45°对接，圆弧拼缝处则可采用成型或锯齿状弯曲拼压，确保拼压平整贴服，地板革折边高于地板水平面10CM以上。</w:t>
            </w:r>
          </w:p>
          <w:p>
            <w:pPr>
              <w:adjustRightInd w:val="0"/>
              <w:snapToGrid w:val="0"/>
              <w:spacing w:line="320" w:lineRule="exact"/>
              <w:rPr>
                <w:rFonts w:ascii="宋体" w:hAnsi="宋体" w:cs="仿宋"/>
                <w:sz w:val="24"/>
              </w:rPr>
            </w:pPr>
            <w:r>
              <w:rPr>
                <w:rFonts w:hint="eastAsia" w:ascii="宋体" w:hAnsi="宋体" w:cs="仿宋"/>
                <w:sz w:val="24"/>
              </w:rPr>
              <w:t>9.地板革颜色应与整车内饰协调。</w:t>
            </w:r>
          </w:p>
          <w:p>
            <w:pPr>
              <w:adjustRightInd w:val="0"/>
              <w:snapToGrid w:val="0"/>
              <w:spacing w:line="320" w:lineRule="exact"/>
              <w:rPr>
                <w:rFonts w:ascii="宋体" w:hAnsi="宋体" w:cs="仿宋"/>
                <w:sz w:val="24"/>
              </w:rPr>
            </w:pPr>
            <w:r>
              <w:rPr>
                <w:rFonts w:hint="eastAsia" w:ascii="宋体" w:hAnsi="宋体" w:cs="仿宋"/>
                <w:sz w:val="24"/>
              </w:rPr>
              <w:t>10.地板、地板革质保8年（含工时及易损易耗件），</w:t>
            </w:r>
            <w:r>
              <w:rPr>
                <w:rFonts w:hint="eastAsia" w:ascii="宋体" w:hAnsi="宋体" w:cs="仿宋"/>
                <w:bCs/>
                <w:sz w:val="24"/>
              </w:rPr>
              <w:t>并在标书中附承诺书。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1.乘客门采用加强型铝合金门板，门玻璃为钢化玻璃，乘客门带防夹脚设置。</w:t>
            </w:r>
          </w:p>
          <w:p>
            <w:pPr>
              <w:adjustRightInd w:val="0"/>
              <w:snapToGrid w:val="0"/>
              <w:spacing w:line="320" w:lineRule="exact"/>
              <w:rPr>
                <w:rFonts w:ascii="宋体" w:hAnsi="宋体" w:cs="仿宋"/>
                <w:sz w:val="24"/>
              </w:rPr>
            </w:pPr>
            <w:r>
              <w:rPr>
                <w:rFonts w:hint="eastAsia" w:ascii="宋体" w:hAnsi="宋体" w:cs="仿宋"/>
                <w:sz w:val="24"/>
              </w:rPr>
              <w:t>2.乘客门关闭时应装有防夹装置。后门防夹提示需采用铝片，并用铆钉固定，要求字迹清晰。前后门立柱装防护装置，门轴上设置禁止攀扶标志，全车车门应有门锁装置。</w:t>
            </w:r>
          </w:p>
          <w:p>
            <w:pPr>
              <w:adjustRightInd w:val="0"/>
              <w:snapToGrid w:val="0"/>
              <w:spacing w:line="320" w:lineRule="exact"/>
              <w:rPr>
                <w:rFonts w:ascii="宋体" w:hAnsi="宋体" w:cs="仿宋"/>
                <w:sz w:val="24"/>
              </w:rPr>
            </w:pPr>
            <w:r>
              <w:rPr>
                <w:rFonts w:hint="eastAsia" w:ascii="宋体" w:hAnsi="宋体" w:cs="仿宋"/>
                <w:sz w:val="24"/>
              </w:rPr>
              <w:t>3.门泵驱动系统采用电控气动方式，采用进口电磁阀、继电器和气缸，在仪表台适当位置设置乘客门应急打开气动控制阀开关，并在每个乘客门内外处和车外必须装紧急开关，以备紧急使用。</w:t>
            </w:r>
          </w:p>
          <w:p>
            <w:pPr>
              <w:adjustRightInd w:val="0"/>
              <w:snapToGrid w:val="0"/>
              <w:spacing w:line="320" w:lineRule="exact"/>
              <w:rPr>
                <w:rFonts w:ascii="宋体" w:hAnsi="宋体" w:cs="仿宋"/>
                <w:sz w:val="24"/>
              </w:rPr>
            </w:pPr>
            <w:r>
              <w:rPr>
                <w:rFonts w:hint="eastAsia" w:ascii="宋体" w:hAnsi="宋体" w:cs="仿宋"/>
                <w:sz w:val="24"/>
              </w:rPr>
              <w:t>4.车辆停稳前不允许开门，车辆门没关闭不允许起步，车速达到5码以上不能打开车门。</w:t>
            </w:r>
          </w:p>
          <w:p>
            <w:pPr>
              <w:adjustRightInd w:val="0"/>
              <w:snapToGrid w:val="0"/>
              <w:spacing w:line="320" w:lineRule="exact"/>
              <w:rPr>
                <w:rFonts w:ascii="宋体" w:hAnsi="宋体" w:cs="仿宋"/>
                <w:sz w:val="24"/>
              </w:rPr>
            </w:pPr>
            <w:r>
              <w:rPr>
                <w:rFonts w:hint="eastAsia" w:ascii="宋体" w:hAnsi="宋体" w:cs="仿宋"/>
                <w:sz w:val="24"/>
              </w:rPr>
              <w:t>5.车门整体（包括门泵及驱动系统等）免费质保8年（含工时及易损易耗件）。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rPr>
                <w:rFonts w:ascii="宋体" w:hAnsi="宋体" w:cs="仿宋"/>
                <w:sz w:val="24"/>
              </w:rPr>
            </w:pPr>
            <w:r>
              <w:rPr>
                <w:rFonts w:hint="eastAsia" w:ascii="宋体" w:hAnsi="宋体" w:cs="仿宋"/>
                <w:b/>
                <w:bCs/>
                <w:sz w:val="24"/>
              </w:rPr>
              <w:t>6.车内设置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公交标识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1.上客门、下客门、爱心专座等标识按最新版《城市公共交通标志》标准制作。</w:t>
            </w:r>
          </w:p>
          <w:p>
            <w:pPr>
              <w:adjustRightInd w:val="0"/>
              <w:snapToGrid w:val="0"/>
              <w:spacing w:line="320" w:lineRule="exact"/>
              <w:rPr>
                <w:rFonts w:ascii="宋体" w:hAnsi="宋体" w:cs="仿宋"/>
                <w:sz w:val="24"/>
              </w:rPr>
            </w:pPr>
            <w:r>
              <w:rPr>
                <w:rFonts w:hint="eastAsia" w:ascii="宋体" w:hAnsi="宋体" w:cs="仿宋"/>
                <w:sz w:val="24"/>
              </w:rPr>
              <w:t>2.前门处扶手杆上制作1.2米儿童免票标志。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车内外后视镜</w:t>
            </w:r>
          </w:p>
        </w:tc>
        <w:tc>
          <w:tcPr>
            <w:tcW w:w="7135" w:type="dxa"/>
            <w:vAlign w:val="center"/>
          </w:tcPr>
          <w:p>
            <w:pPr>
              <w:rPr>
                <w:rFonts w:ascii="宋体" w:hAnsi="宋体" w:cs="仿宋"/>
                <w:sz w:val="24"/>
              </w:rPr>
            </w:pPr>
            <w:r>
              <w:rPr>
                <w:rFonts w:hint="eastAsia" w:ascii="宋体" w:hAnsi="宋体" w:cs="仿宋"/>
                <w:sz w:val="24"/>
              </w:rPr>
              <w:t>普通杆式无盲区左短右长后视镜。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扶手杠和拉手</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1.扶手采用铝合金或不锈钢材质，表面安装橡胶扶套。</w:t>
            </w:r>
          </w:p>
          <w:p>
            <w:pPr>
              <w:adjustRightInd w:val="0"/>
              <w:snapToGrid w:val="0"/>
              <w:spacing w:line="320" w:lineRule="exact"/>
              <w:rPr>
                <w:rFonts w:ascii="宋体" w:hAnsi="宋体" w:cs="仿宋"/>
                <w:sz w:val="24"/>
              </w:rPr>
            </w:pPr>
            <w:r>
              <w:rPr>
                <w:rFonts w:hint="eastAsia" w:ascii="宋体" w:hAnsi="宋体" w:cs="仿宋"/>
                <w:sz w:val="24"/>
              </w:rPr>
              <w:t>2.车内两边玻璃框上装防护栏杆，前操作台处安装安全防范扶手，上下客门处安装上下车扶手。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kern w:val="0"/>
                <w:sz w:val="24"/>
              </w:rPr>
            </w:pPr>
            <w:r>
              <w:rPr>
                <w:rFonts w:hint="eastAsia" w:ascii="宋体" w:hAnsi="宋体" w:cs="仿宋"/>
                <w:bCs/>
                <w:sz w:val="24"/>
              </w:rPr>
              <w:t>下车提示按铃</w:t>
            </w:r>
          </w:p>
        </w:tc>
        <w:tc>
          <w:tcPr>
            <w:tcW w:w="7135" w:type="dxa"/>
          </w:tcPr>
          <w:p>
            <w:pPr>
              <w:adjustRightInd w:val="0"/>
              <w:snapToGrid w:val="0"/>
              <w:spacing w:line="320" w:lineRule="exact"/>
              <w:rPr>
                <w:rFonts w:ascii="宋体" w:hAnsi="宋体" w:cs="仿宋"/>
                <w:sz w:val="24"/>
              </w:rPr>
            </w:pPr>
            <w:r>
              <w:rPr>
                <w:rFonts w:hint="eastAsia" w:ascii="宋体" w:hAnsi="宋体" w:cs="仿宋"/>
                <w:sz w:val="24"/>
              </w:rPr>
              <w:t>配下车门停车门铃2只按钮（无线门铃），语音提示：您好，请开门，在车厢立柱合适位置，门铃按钮以上位置粘贴 “下车请按铃”标识。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公交座椅</w:t>
            </w:r>
          </w:p>
        </w:tc>
        <w:tc>
          <w:tcPr>
            <w:tcW w:w="7135" w:type="dxa"/>
            <w:vAlign w:val="center"/>
          </w:tcPr>
          <w:p>
            <w:pPr>
              <w:spacing w:line="360" w:lineRule="exact"/>
              <w:ind w:right="140" w:rightChars="50"/>
              <w:jc w:val="left"/>
              <w:rPr>
                <w:rFonts w:ascii="宋体" w:hAnsi="宋体" w:cs="仿宋"/>
                <w:kern w:val="0"/>
                <w:sz w:val="24"/>
                <w:lang w:val="zh-CN" w:bidi="zh-CN"/>
              </w:rPr>
            </w:pPr>
            <w:r>
              <w:rPr>
                <w:rFonts w:hint="eastAsia" w:ascii="宋体" w:hAnsi="宋体" w:cs="仿宋"/>
                <w:kern w:val="0"/>
                <w:sz w:val="24"/>
                <w:lang w:bidi="zh-CN"/>
              </w:rPr>
              <w:t>1.</w:t>
            </w:r>
            <w:r>
              <w:rPr>
                <w:rFonts w:hint="eastAsia" w:ascii="宋体" w:hAnsi="宋体" w:cs="仿宋"/>
                <w:kern w:val="0"/>
                <w:sz w:val="24"/>
                <w:lang w:val="zh-CN" w:bidi="zh-CN"/>
              </w:rPr>
              <w:t>座椅合理布置，选用高档轻量化，座椅带软垫、软靠背、扶手和安全带，采用国内优质产品，颜色和内饰协调，座椅支架固定可靠，符合公交车相关标准要求。</w:t>
            </w:r>
          </w:p>
          <w:p>
            <w:pPr>
              <w:adjustRightInd w:val="0"/>
              <w:snapToGrid w:val="0"/>
              <w:spacing w:line="320" w:lineRule="exact"/>
              <w:rPr>
                <w:rFonts w:ascii="宋体" w:hAnsi="宋体" w:cs="仿宋"/>
                <w:sz w:val="24"/>
              </w:rPr>
            </w:pPr>
            <w:r>
              <w:rPr>
                <w:rFonts w:hint="eastAsia" w:ascii="宋体" w:hAnsi="宋体" w:cs="仿宋"/>
                <w:sz w:val="24"/>
              </w:rPr>
              <w:t>2.配4个爱心座椅及标志，设于车厢内方便上下乘坐的位置，方向为面朝前进方向。</w:t>
            </w:r>
          </w:p>
          <w:p>
            <w:pPr>
              <w:adjustRightInd w:val="0"/>
              <w:snapToGrid w:val="0"/>
              <w:spacing w:line="320" w:lineRule="exact"/>
              <w:rPr>
                <w:rFonts w:ascii="宋体" w:hAnsi="宋体" w:cs="仿宋"/>
                <w:sz w:val="24"/>
              </w:rPr>
            </w:pPr>
            <w:r>
              <w:rPr>
                <w:rFonts w:hint="eastAsia" w:ascii="宋体" w:hAnsi="宋体" w:cs="仿宋"/>
                <w:sz w:val="24"/>
              </w:rPr>
              <w:t>3.质保8年。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bCs/>
                <w:sz w:val="24"/>
              </w:rPr>
              <w:t>驾驶室</w:t>
            </w:r>
          </w:p>
        </w:tc>
        <w:tc>
          <w:tcPr>
            <w:tcW w:w="7135" w:type="dxa"/>
            <w:vAlign w:val="center"/>
          </w:tcPr>
          <w:p>
            <w:pPr>
              <w:numPr>
                <w:ilvl w:val="0"/>
                <w:numId w:val="5"/>
              </w:numPr>
              <w:adjustRightInd w:val="0"/>
              <w:snapToGrid w:val="0"/>
              <w:spacing w:line="320" w:lineRule="exact"/>
              <w:rPr>
                <w:rFonts w:ascii="宋体" w:hAnsi="宋体" w:cs="仿宋"/>
                <w:sz w:val="24"/>
              </w:rPr>
            </w:pPr>
            <w:r>
              <w:rPr>
                <w:rFonts w:hint="eastAsia" w:ascii="宋体" w:hAnsi="宋体" w:cs="仿宋"/>
                <w:sz w:val="24"/>
              </w:rPr>
              <w:t>仪表台精美、平整、软化处理；仪表台可靠耐用，与整车内饰协调。</w:t>
            </w:r>
          </w:p>
          <w:p>
            <w:pPr>
              <w:adjustRightInd w:val="0"/>
              <w:snapToGrid w:val="0"/>
              <w:spacing w:line="320" w:lineRule="exact"/>
              <w:rPr>
                <w:rFonts w:ascii="宋体" w:hAnsi="宋体" w:cs="仿宋"/>
                <w:sz w:val="24"/>
              </w:rPr>
            </w:pPr>
            <w:r>
              <w:rPr>
                <w:rFonts w:hint="eastAsia" w:ascii="宋体" w:hAnsi="宋体" w:cs="仿宋"/>
                <w:sz w:val="24"/>
              </w:rPr>
              <w:t>2.仪表区域应充分考虑满足配装电脑报站器、电子路牌、客门监视器、GPS 车载机、IC卡POS机、投币机、空调、换气扇开关、数字电视等布置一体化要求；仪表台上安装驾驶员喊话器及插口；前后门未关时仪表台有报警灯显示；顶灯，车厢灯，电子路牌单独安装开关。</w:t>
            </w:r>
          </w:p>
          <w:p>
            <w:pPr>
              <w:adjustRightInd w:val="0"/>
              <w:snapToGrid w:val="0"/>
              <w:spacing w:line="320" w:lineRule="exact"/>
              <w:rPr>
                <w:rFonts w:ascii="宋体" w:hAnsi="宋体" w:cs="仿宋"/>
                <w:sz w:val="24"/>
              </w:rPr>
            </w:pPr>
            <w:r>
              <w:rPr>
                <w:rFonts w:hint="eastAsia" w:ascii="宋体" w:hAnsi="宋体" w:cs="仿宋"/>
                <w:sz w:val="24"/>
              </w:rPr>
              <w:t>3.采用转向柱安装组合式开关，包括大小灯、转向灯、雨括器控制开关。</w:t>
            </w:r>
          </w:p>
          <w:p>
            <w:pPr>
              <w:adjustRightInd w:val="0"/>
              <w:snapToGrid w:val="0"/>
              <w:spacing w:line="320" w:lineRule="exact"/>
              <w:rPr>
                <w:rFonts w:ascii="宋体" w:hAnsi="宋体" w:cs="仿宋"/>
                <w:sz w:val="24"/>
              </w:rPr>
            </w:pPr>
            <w:r>
              <w:rPr>
                <w:rFonts w:hint="eastAsia" w:ascii="宋体" w:hAnsi="宋体" w:cs="仿宋"/>
                <w:sz w:val="24"/>
              </w:rPr>
              <w:t>4.驾驶员座位左上方侧安装小电扇，配置茶杯架。</w:t>
            </w:r>
          </w:p>
          <w:p>
            <w:pPr>
              <w:adjustRightInd w:val="0"/>
              <w:snapToGrid w:val="0"/>
              <w:spacing w:line="320" w:lineRule="exact"/>
              <w:rPr>
                <w:rFonts w:ascii="宋体" w:hAnsi="宋体" w:cs="仿宋"/>
                <w:sz w:val="24"/>
              </w:rPr>
            </w:pPr>
            <w:r>
              <w:rPr>
                <w:rFonts w:hint="eastAsia" w:ascii="宋体" w:hAnsi="宋体" w:cs="仿宋"/>
                <w:sz w:val="24"/>
              </w:rPr>
              <w:t>5.安装驾驶员荣誉榜铝合金框，标准规范由采购人提供。</w:t>
            </w:r>
          </w:p>
          <w:p>
            <w:pPr>
              <w:adjustRightInd w:val="0"/>
              <w:snapToGrid w:val="0"/>
              <w:spacing w:line="320" w:lineRule="exact"/>
              <w:rPr>
                <w:rFonts w:ascii="宋体" w:hAnsi="宋体" w:cs="仿宋"/>
                <w:sz w:val="24"/>
              </w:rPr>
            </w:pPr>
            <w:r>
              <w:rPr>
                <w:rFonts w:hint="eastAsia" w:ascii="宋体" w:hAnsi="宋体" w:cs="仿宋"/>
                <w:sz w:val="24"/>
              </w:rPr>
              <w:t>6.前后车门内“紧急开门应急阀”装在驾驶区，前后车门内外各1只“紧急开门应急阀”应设明显使用标识。</w:t>
            </w:r>
          </w:p>
          <w:p>
            <w:pPr>
              <w:adjustRightInd w:val="0"/>
              <w:snapToGrid w:val="0"/>
              <w:spacing w:line="320" w:lineRule="exact"/>
              <w:rPr>
                <w:rFonts w:ascii="宋体" w:hAnsi="宋体" w:cs="仿宋"/>
                <w:sz w:val="24"/>
              </w:rPr>
            </w:pPr>
            <w:r>
              <w:rPr>
                <w:rFonts w:hint="eastAsia" w:ascii="宋体" w:hAnsi="宋体" w:cs="仿宋"/>
                <w:bCs/>
                <w:sz w:val="24"/>
              </w:rPr>
              <w:t>7.驾驶室布置驾驶员手机袋。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司机包围</w:t>
            </w:r>
          </w:p>
        </w:tc>
        <w:tc>
          <w:tcPr>
            <w:tcW w:w="7135" w:type="dxa"/>
            <w:vAlign w:val="center"/>
          </w:tcPr>
          <w:p>
            <w:pPr>
              <w:adjustRightInd w:val="0"/>
              <w:snapToGrid w:val="0"/>
              <w:spacing w:line="320" w:lineRule="exact"/>
              <w:rPr>
                <w:rFonts w:ascii="宋体" w:hAnsi="宋体" w:cs="仿宋"/>
                <w:bCs/>
                <w:sz w:val="24"/>
              </w:rPr>
            </w:pPr>
            <w:r>
              <w:rPr>
                <w:rFonts w:hint="eastAsia" w:ascii="宋体" w:hAnsi="宋体" w:cs="仿宋"/>
                <w:sz w:val="24"/>
              </w:rPr>
              <w:t>1.安装驾驶区域安全防护隔离设施，</w:t>
            </w:r>
            <w:r>
              <w:rPr>
                <w:rFonts w:hint="eastAsia" w:ascii="宋体" w:hAnsi="宋体" w:cs="仿宋"/>
                <w:bCs/>
                <w:sz w:val="24"/>
              </w:rPr>
              <w:t>铝合金全包整体式，司机屏风、司机转门采用铝合金或钢化玻璃，不影响驾驶员对前门上车乘客监管视线，符合T/T1240-2019标准，隔离设施采用的玻璃应避免驾驶员受阳光、炫光和车内外灯光的影响，侧围上沿最低点距乘客区通道地板高度不小于160厘米，司机座后围上部为透明有机玻璃空隙高度不大于30厘米、下部为封闭式围板，司机包围门窗玻璃、门锁、铝合金材质必须符合国家新标要求。</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驾驶员座椅</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1.驾驶员座椅为6方向可调高靠背航空气垫式座椅，配三点式安全带，调节幅度大于20CM，伸缩自如可上下调节，配置驾驶员未系安全带提醒。</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 视 镜</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1.车厢内配有内视镜，图像清晰，易更换。</w:t>
            </w:r>
          </w:p>
          <w:p>
            <w:pPr>
              <w:adjustRightInd w:val="0"/>
              <w:snapToGrid w:val="0"/>
              <w:spacing w:line="320" w:lineRule="exact"/>
              <w:rPr>
                <w:rFonts w:ascii="宋体" w:hAnsi="宋体" w:cs="仿宋"/>
                <w:sz w:val="24"/>
              </w:rPr>
            </w:pPr>
            <w:r>
              <w:rPr>
                <w:rFonts w:hint="eastAsia" w:ascii="宋体" w:hAnsi="宋体" w:cs="仿宋"/>
                <w:sz w:val="24"/>
              </w:rPr>
              <w:t>2.中门安装上下客摄像头。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内饰、空调风道、车内照明</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1.侧墙板采用防水易清洁PVC覆膜板。</w:t>
            </w:r>
          </w:p>
          <w:p>
            <w:pPr>
              <w:adjustRightInd w:val="0"/>
              <w:snapToGrid w:val="0"/>
              <w:spacing w:line="320" w:lineRule="exact"/>
              <w:rPr>
                <w:rFonts w:ascii="宋体" w:hAnsi="宋体" w:cs="仿宋"/>
                <w:sz w:val="24"/>
              </w:rPr>
            </w:pPr>
            <w:r>
              <w:rPr>
                <w:rFonts w:hint="eastAsia" w:ascii="宋体" w:hAnsi="宋体" w:cs="仿宋"/>
                <w:sz w:val="24"/>
              </w:rPr>
              <w:t>2.顶板采用冲孔铝塑板。</w:t>
            </w:r>
          </w:p>
          <w:p>
            <w:pPr>
              <w:adjustRightInd w:val="0"/>
              <w:snapToGrid w:val="0"/>
              <w:spacing w:line="320" w:lineRule="exact"/>
              <w:rPr>
                <w:rFonts w:ascii="宋体" w:hAnsi="宋体" w:cs="仿宋"/>
                <w:sz w:val="24"/>
              </w:rPr>
            </w:pPr>
            <w:r>
              <w:rPr>
                <w:rFonts w:hint="eastAsia" w:ascii="宋体" w:hAnsi="宋体" w:cs="仿宋"/>
                <w:sz w:val="24"/>
              </w:rPr>
              <w:t>3.车厢前方右角配置时间、温度显示器。</w:t>
            </w:r>
          </w:p>
          <w:p>
            <w:pPr>
              <w:adjustRightInd w:val="0"/>
              <w:snapToGrid w:val="0"/>
              <w:spacing w:line="320" w:lineRule="exact"/>
              <w:rPr>
                <w:rFonts w:ascii="宋体" w:hAnsi="宋体" w:cs="仿宋"/>
                <w:sz w:val="24"/>
              </w:rPr>
            </w:pPr>
            <w:r>
              <w:rPr>
                <w:rFonts w:hint="eastAsia" w:ascii="宋体" w:hAnsi="宋体" w:cs="仿宋"/>
                <w:sz w:val="24"/>
              </w:rPr>
              <w:t>4.全景铝合金风道。风道两侧设置广告位，具体尺寸、数量、广告位内容由采购人提供。</w:t>
            </w:r>
          </w:p>
          <w:p>
            <w:pPr>
              <w:adjustRightInd w:val="0"/>
              <w:snapToGrid w:val="0"/>
              <w:spacing w:line="320" w:lineRule="exact"/>
              <w:rPr>
                <w:rFonts w:ascii="宋体" w:hAnsi="宋体" w:cs="仿宋"/>
                <w:sz w:val="24"/>
              </w:rPr>
            </w:pPr>
            <w:r>
              <w:rPr>
                <w:rFonts w:hint="eastAsia" w:ascii="宋体" w:hAnsi="宋体" w:cs="仿宋"/>
                <w:sz w:val="24"/>
              </w:rPr>
              <w:t>5.LED照明灯:应满足夜间行驶车厢内亮化要求。LED双条顶灯，厢灯控制为二挡及以上，驾驶区一挡，车厢区一挡及以上，开灯时，前档玻璃不能产生眩目光，影响驾驶安全。</w:t>
            </w:r>
          </w:p>
          <w:p>
            <w:pPr>
              <w:adjustRightInd w:val="0"/>
              <w:snapToGrid w:val="0"/>
              <w:spacing w:line="320" w:lineRule="exact"/>
              <w:rPr>
                <w:rFonts w:ascii="宋体" w:hAnsi="宋体" w:cs="仿宋"/>
                <w:sz w:val="24"/>
              </w:rPr>
            </w:pPr>
            <w:r>
              <w:rPr>
                <w:rFonts w:hint="eastAsia" w:ascii="宋体" w:hAnsi="宋体" w:cs="仿宋"/>
                <w:sz w:val="24"/>
              </w:rPr>
              <w:t>6.驾驶室区空调出风口必须安装可调式开关。</w:t>
            </w:r>
          </w:p>
          <w:p>
            <w:pPr>
              <w:adjustRightInd w:val="0"/>
              <w:snapToGrid w:val="0"/>
              <w:spacing w:line="320" w:lineRule="exact"/>
              <w:rPr>
                <w:rFonts w:ascii="宋体" w:hAnsi="宋体" w:cs="仿宋"/>
                <w:sz w:val="24"/>
              </w:rPr>
            </w:pPr>
            <w:r>
              <w:rPr>
                <w:rFonts w:hint="eastAsia" w:ascii="宋体" w:hAnsi="宋体" w:cs="仿宋"/>
                <w:sz w:val="24"/>
              </w:rPr>
              <w:t>7.冷风道不得与前、后路牌窗和发动机机舱贯通，锁止方便可靠，表面平整圆顺，固定安装可靠。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7.空调系统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空调</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1.采用独立式纯电制冷空调，制冷降温速率高、制冷效果显著。标准制冷量≥16000大卡，满足公交运行需求。</w:t>
            </w:r>
          </w:p>
          <w:p>
            <w:pPr>
              <w:adjustRightInd w:val="0"/>
              <w:snapToGrid w:val="0"/>
              <w:spacing w:line="320" w:lineRule="exact"/>
              <w:rPr>
                <w:rFonts w:ascii="宋体" w:hAnsi="宋体" w:cs="仿宋"/>
                <w:sz w:val="24"/>
              </w:rPr>
            </w:pPr>
            <w:r>
              <w:rPr>
                <w:rFonts w:hint="eastAsia" w:ascii="宋体" w:hAnsi="宋体" w:cs="仿宋"/>
                <w:sz w:val="24"/>
              </w:rPr>
              <w:t>2.冷凝风机采用优质直流无碳刷风机。冷凝器盘管为内螺纹铜管亲水铝箔高效换热器。蒸发器盘管为内螺纹铜管亲水铝箔高效换热器。蒸发风机采用直流无碳刷风机。膨胀阀、止逆阀、视液镜采用进口配置，转换器为DC-DC转换器，配国产优质品牌，安全可靠耐震动、抗干扰。变频器需配国产优质品牌，安全可靠耐震动、抗干扰。压缩机采用进口或合资品牌压缩机。配备新风装置。风速要求达到国家标准。</w:t>
            </w:r>
          </w:p>
          <w:p>
            <w:pPr>
              <w:adjustRightInd w:val="0"/>
              <w:snapToGrid w:val="0"/>
              <w:spacing w:line="320" w:lineRule="exact"/>
              <w:rPr>
                <w:rFonts w:ascii="宋体" w:hAnsi="宋体" w:cs="仿宋"/>
                <w:sz w:val="24"/>
              </w:rPr>
            </w:pPr>
            <w:r>
              <w:rPr>
                <w:rFonts w:hint="eastAsia" w:ascii="宋体" w:hAnsi="宋体" w:cs="仿宋"/>
                <w:sz w:val="24"/>
              </w:rPr>
              <w:t>3.空调整机免费质保8年（含工时费、易损、易耗件），</w:t>
            </w:r>
            <w:r>
              <w:rPr>
                <w:rFonts w:hint="eastAsia" w:ascii="宋体" w:hAnsi="宋体" w:cs="仿宋"/>
                <w:b/>
                <w:sz w:val="24"/>
              </w:rPr>
              <w:t>并在投标文件中附</w:t>
            </w:r>
            <w:r>
              <w:rPr>
                <w:rFonts w:hint="eastAsia" w:ascii="宋体" w:hAnsi="宋体" w:cs="仿宋"/>
                <w:b/>
                <w:bCs/>
                <w:sz w:val="24"/>
              </w:rPr>
              <w:t>客车厂及配套厂承诺书</w:t>
            </w:r>
            <w:r>
              <w:rPr>
                <w:rFonts w:hint="eastAsia" w:ascii="宋体" w:hAnsi="宋体"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除霜器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1.前挡风玻璃安装高压除霜机,司机处增设一个出风口（便于司机脚部取暖）。</w:t>
            </w:r>
          </w:p>
          <w:p>
            <w:pPr>
              <w:adjustRightInd w:val="0"/>
              <w:snapToGrid w:val="0"/>
              <w:spacing w:line="320" w:lineRule="exact"/>
              <w:rPr>
                <w:rFonts w:ascii="宋体" w:hAnsi="宋体" w:cs="仿宋"/>
                <w:sz w:val="24"/>
              </w:rPr>
            </w:pPr>
            <w:r>
              <w:rPr>
                <w:rFonts w:hint="eastAsia" w:ascii="宋体" w:hAnsi="宋体" w:cs="仿宋"/>
                <w:sz w:val="24"/>
              </w:rPr>
              <w:t>2.免费质保8年（含工时费、易损、易耗件）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bCs/>
                <w:sz w:val="24"/>
              </w:rPr>
              <w:t>8.消防设备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电池箱灭火装置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1.具有温度传感器、气体分解传感器、烟雾传感器并实现报警功能。</w:t>
            </w:r>
          </w:p>
          <w:p>
            <w:pPr>
              <w:adjustRightInd w:val="0"/>
              <w:snapToGrid w:val="0"/>
              <w:spacing w:line="320" w:lineRule="exact"/>
              <w:rPr>
                <w:rFonts w:ascii="宋体" w:hAnsi="宋体" w:cs="仿宋"/>
                <w:sz w:val="24"/>
              </w:rPr>
            </w:pPr>
            <w:r>
              <w:rPr>
                <w:rFonts w:hint="eastAsia" w:ascii="宋体" w:hAnsi="宋体" w:cs="仿宋"/>
                <w:sz w:val="24"/>
              </w:rPr>
              <w:t>2.能实现电解液漏液自动检测报警和火灾自动探测报警功能。</w:t>
            </w:r>
          </w:p>
          <w:p>
            <w:pPr>
              <w:adjustRightInd w:val="0"/>
              <w:snapToGrid w:val="0"/>
              <w:spacing w:line="320" w:lineRule="exact"/>
              <w:rPr>
                <w:rFonts w:ascii="宋体" w:hAnsi="宋体" w:cs="仿宋"/>
                <w:sz w:val="24"/>
              </w:rPr>
            </w:pPr>
            <w:r>
              <w:rPr>
                <w:rFonts w:hint="eastAsia" w:ascii="宋体" w:hAnsi="宋体" w:cs="仿宋"/>
                <w:sz w:val="24"/>
              </w:rPr>
              <w:t>3.具有灭火装置和启动开关，并能实现自动启动和手动启动功能。</w:t>
            </w:r>
          </w:p>
          <w:p>
            <w:pPr>
              <w:adjustRightInd w:val="0"/>
              <w:snapToGrid w:val="0"/>
              <w:spacing w:line="320" w:lineRule="exact"/>
              <w:rPr>
                <w:rFonts w:ascii="宋体" w:hAnsi="宋体" w:cs="仿宋"/>
                <w:sz w:val="24"/>
              </w:rPr>
            </w:pPr>
            <w:r>
              <w:rPr>
                <w:rFonts w:hint="eastAsia" w:ascii="宋体" w:hAnsi="宋体" w:cs="仿宋"/>
                <w:sz w:val="24"/>
              </w:rPr>
              <w:t>4.</w:t>
            </w:r>
            <w:r>
              <w:rPr>
                <w:rFonts w:hint="eastAsia" w:ascii="宋体" w:hAnsi="宋体" w:cs="仿宋"/>
                <w:b/>
                <w:bCs/>
                <w:sz w:val="24"/>
              </w:rPr>
              <w:t>具有权威消防研究中心对该产品的检测试验报告</w:t>
            </w:r>
            <w:r>
              <w:rPr>
                <w:rFonts w:hint="eastAsia" w:ascii="宋体" w:hAnsi="宋体" w:cs="仿宋"/>
                <w:sz w:val="24"/>
              </w:rPr>
              <w:t>。</w:t>
            </w:r>
          </w:p>
          <w:p>
            <w:pPr>
              <w:adjustRightInd w:val="0"/>
              <w:snapToGrid w:val="0"/>
              <w:spacing w:line="320" w:lineRule="exact"/>
              <w:rPr>
                <w:rFonts w:ascii="宋体" w:hAnsi="宋体" w:cs="仿宋"/>
                <w:sz w:val="24"/>
              </w:rPr>
            </w:pPr>
            <w:r>
              <w:rPr>
                <w:rFonts w:hint="eastAsia" w:ascii="宋体" w:hAnsi="宋体" w:cs="仿宋"/>
                <w:sz w:val="24"/>
              </w:rPr>
              <w:t>5.探测装置、灭火装置等要求质保8年。要求采用全氟己酮或七氟丙烷灭火剂，大于等于3Kg，</w:t>
            </w:r>
            <w:r>
              <w:rPr>
                <w:rFonts w:hint="eastAsia" w:ascii="宋体" w:hAnsi="宋体" w:cs="仿宋"/>
                <w:b/>
                <w:sz w:val="24"/>
              </w:rPr>
              <w:t>在投标文件中</w:t>
            </w:r>
            <w:r>
              <w:rPr>
                <w:rFonts w:hint="eastAsia" w:ascii="宋体" w:hAnsi="宋体" w:cs="仿宋"/>
                <w:b/>
                <w:bCs/>
                <w:sz w:val="24"/>
              </w:rPr>
              <w:t>提供相关检测报告及消防产品技术鉴定证书，并提供配套供应商质保承诺函</w:t>
            </w:r>
            <w:r>
              <w:rPr>
                <w:rFonts w:hint="eastAsia" w:ascii="宋体" w:hAnsi="宋体" w:cs="仿宋"/>
                <w:sz w:val="24"/>
              </w:rPr>
              <w:t>。</w:t>
            </w:r>
          </w:p>
          <w:p>
            <w:pPr>
              <w:adjustRightInd w:val="0"/>
              <w:snapToGrid w:val="0"/>
              <w:spacing w:line="320" w:lineRule="exact"/>
              <w:rPr>
                <w:rFonts w:ascii="宋体" w:hAnsi="宋体" w:cs="仿宋"/>
                <w:sz w:val="24"/>
              </w:rPr>
            </w:pPr>
            <w:r>
              <w:rPr>
                <w:rFonts w:hint="eastAsia" w:ascii="宋体" w:hAnsi="宋体" w:cs="仿宋"/>
                <w:sz w:val="24"/>
              </w:rPr>
              <w:t>6.电池箱火灾防控装置需有8年商业保险承诺，承诺非人为损坏和失效的免费更换。如因装用不合格的磷酸铁锂电池箱灭火装置引起的各种损失及责任，由成交供应商承担。</w:t>
            </w:r>
          </w:p>
          <w:p>
            <w:pPr>
              <w:adjustRightInd w:val="0"/>
              <w:snapToGrid w:val="0"/>
              <w:spacing w:line="320" w:lineRule="exact"/>
              <w:rPr>
                <w:rFonts w:ascii="宋体" w:hAnsi="宋体" w:cs="仿宋"/>
                <w:sz w:val="24"/>
              </w:rPr>
            </w:pPr>
            <w:r>
              <w:rPr>
                <w:rFonts w:hint="eastAsia" w:ascii="宋体" w:hAnsi="宋体" w:cs="仿宋"/>
                <w:sz w:val="24"/>
              </w:rPr>
              <w:t>7.电池箱防护等级在IP67以上（</w:t>
            </w:r>
            <w:r>
              <w:rPr>
                <w:rFonts w:hint="eastAsia" w:ascii="宋体" w:hAnsi="宋体" w:cs="仿宋"/>
                <w:b/>
                <w:sz w:val="24"/>
              </w:rPr>
              <w:t>在投标文件中</w:t>
            </w:r>
            <w:r>
              <w:rPr>
                <w:rFonts w:hint="eastAsia" w:ascii="宋体" w:hAnsi="宋体" w:cs="仿宋"/>
                <w:b/>
                <w:bCs/>
                <w:sz w:val="24"/>
              </w:rPr>
              <w:t>提供国家或第三方机构检验报告等证明材料</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车辆消防设备</w:t>
            </w:r>
          </w:p>
        </w:tc>
        <w:tc>
          <w:tcPr>
            <w:tcW w:w="7135" w:type="dxa"/>
            <w:vAlign w:val="center"/>
          </w:tcPr>
          <w:p>
            <w:pPr>
              <w:numPr>
                <w:ilvl w:val="0"/>
                <w:numId w:val="8"/>
              </w:numPr>
              <w:adjustRightInd w:val="0"/>
              <w:snapToGrid w:val="0"/>
              <w:spacing w:line="320" w:lineRule="exact"/>
              <w:rPr>
                <w:rFonts w:ascii="宋体" w:hAnsi="宋体" w:cs="仿宋"/>
                <w:sz w:val="24"/>
              </w:rPr>
            </w:pPr>
            <w:r>
              <w:rPr>
                <w:rFonts w:hint="eastAsia" w:ascii="宋体" w:hAnsi="宋体" w:cs="仿宋"/>
                <w:sz w:val="24"/>
              </w:rPr>
              <w:t>车厢内配置2只以上单个不低于4公斤的干粉灭火器，灭火器及配置数量应符合国家标准规定，并取得公安部认证。</w:t>
            </w:r>
          </w:p>
          <w:p>
            <w:pPr>
              <w:numPr>
                <w:ilvl w:val="0"/>
                <w:numId w:val="8"/>
              </w:numPr>
              <w:adjustRightInd w:val="0"/>
              <w:snapToGrid w:val="0"/>
              <w:spacing w:line="320" w:lineRule="exact"/>
              <w:rPr>
                <w:rFonts w:ascii="宋体" w:hAnsi="宋体" w:cs="仿宋"/>
                <w:sz w:val="24"/>
              </w:rPr>
            </w:pPr>
            <w:r>
              <w:rPr>
                <w:rFonts w:hint="eastAsia" w:ascii="宋体" w:hAnsi="宋体" w:cs="仿宋"/>
                <w:sz w:val="24"/>
              </w:rPr>
              <w:t>高压仓、电池仓配备管网式干粉灭火装置且重量符合国家相关要求，具备报警及手动操作功能，方便更换。质保</w:t>
            </w:r>
            <w:r>
              <w:rPr>
                <w:rFonts w:ascii="宋体" w:hAnsi="宋体" w:cs="仿宋"/>
                <w:sz w:val="24"/>
              </w:rPr>
              <w:t>8年</w:t>
            </w:r>
            <w:r>
              <w:rPr>
                <w:rFonts w:hint="eastAsia" w:ascii="宋体" w:hAnsi="宋体" w:cs="仿宋"/>
                <w:sz w:val="24"/>
              </w:rPr>
              <w:t>（到期免费更换，含更换工时费及易损易耗件）。</w:t>
            </w:r>
          </w:p>
          <w:p>
            <w:pPr>
              <w:adjustRightInd w:val="0"/>
              <w:snapToGrid w:val="0"/>
              <w:spacing w:line="320" w:lineRule="exact"/>
              <w:rPr>
                <w:rFonts w:ascii="宋体" w:hAnsi="宋体" w:cs="仿宋"/>
                <w:sz w:val="24"/>
              </w:rPr>
            </w:pPr>
            <w:r>
              <w:rPr>
                <w:rFonts w:hint="eastAsia" w:ascii="宋体" w:hAnsi="宋体" w:cs="仿宋"/>
                <w:sz w:val="24"/>
              </w:rPr>
              <w:t>3.安装客车车门应急控制系统，前后门泵总控制开关安装在副仪表台位置。前车门外、中门内和驾驶室各安装断气应急开关。应急开关应设有明显的警示使用标识。</w:t>
            </w:r>
          </w:p>
          <w:p>
            <w:pPr>
              <w:adjustRightInd w:val="0"/>
              <w:snapToGrid w:val="0"/>
              <w:spacing w:line="320" w:lineRule="exact"/>
              <w:rPr>
                <w:rFonts w:ascii="宋体" w:hAnsi="宋体" w:cs="仿宋"/>
                <w:sz w:val="24"/>
              </w:rPr>
            </w:pPr>
            <w:r>
              <w:rPr>
                <w:rFonts w:hint="eastAsia" w:ascii="宋体" w:hAnsi="宋体" w:cs="仿宋"/>
                <w:sz w:val="24"/>
              </w:rPr>
              <w:t>4.按要求配5只以上（带防盗自动报警型）安全锤，其中司机旁安装1只，符合GB7258-2017《机动车运行安全技术条件》要求。</w:t>
            </w:r>
          </w:p>
          <w:p>
            <w:pPr>
              <w:adjustRightInd w:val="0"/>
              <w:snapToGrid w:val="0"/>
              <w:spacing w:line="320" w:lineRule="exact"/>
              <w:rPr>
                <w:rFonts w:ascii="宋体" w:hAnsi="宋体" w:cs="仿宋"/>
                <w:sz w:val="24"/>
              </w:rPr>
            </w:pPr>
            <w:r>
              <w:rPr>
                <w:rFonts w:hint="eastAsia" w:ascii="宋体" w:hAnsi="宋体" w:cs="仿宋"/>
                <w:sz w:val="24"/>
              </w:rPr>
              <w:t>5.整车侧窗左右两侧安装手自一体破窗器，带翻盖报警功能，每车安装四处，布置相关说明，每个窗户配置安全标识-逃生出口。破窗器免费质保8年。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9.电子信息设施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CAN总线</w:t>
            </w:r>
          </w:p>
        </w:tc>
        <w:tc>
          <w:tcPr>
            <w:tcW w:w="7135" w:type="dxa"/>
            <w:vAlign w:val="center"/>
          </w:tcPr>
          <w:p>
            <w:pPr>
              <w:tabs>
                <w:tab w:val="left" w:pos="360"/>
              </w:tabs>
              <w:adjustRightInd w:val="0"/>
              <w:snapToGrid w:val="0"/>
              <w:spacing w:line="320" w:lineRule="exact"/>
              <w:rPr>
                <w:rFonts w:ascii="宋体" w:hAnsi="宋体" w:cs="仿宋"/>
                <w:sz w:val="24"/>
              </w:rPr>
            </w:pPr>
            <w:r>
              <w:rPr>
                <w:rFonts w:hint="eastAsia" w:ascii="宋体" w:hAnsi="宋体" w:cs="仿宋"/>
                <w:sz w:val="24"/>
              </w:rPr>
              <w:t>1.全车线路控制采用阻燃整车三级（三路）CAN总线系统。</w:t>
            </w:r>
          </w:p>
          <w:p>
            <w:pPr>
              <w:adjustRightInd w:val="0"/>
              <w:snapToGrid w:val="0"/>
              <w:spacing w:line="320" w:lineRule="exact"/>
              <w:jc w:val="left"/>
              <w:rPr>
                <w:rFonts w:ascii="宋体" w:hAnsi="宋体" w:cs="仿宋"/>
                <w:sz w:val="24"/>
              </w:rPr>
            </w:pPr>
            <w:r>
              <w:rPr>
                <w:rFonts w:hint="eastAsia" w:ascii="宋体" w:hAnsi="宋体" w:cs="仿宋"/>
                <w:sz w:val="24"/>
              </w:rPr>
              <w:t>2.全车CAN智能控制系统，包括1个彩屏仪表+总线控制器(驱动控制模块可互换），对接云总线系统。</w:t>
            </w:r>
          </w:p>
          <w:p>
            <w:pPr>
              <w:adjustRightInd w:val="0"/>
              <w:snapToGrid w:val="0"/>
              <w:spacing w:line="320" w:lineRule="exact"/>
              <w:jc w:val="left"/>
              <w:rPr>
                <w:rFonts w:ascii="宋体" w:hAnsi="宋体" w:cs="仿宋"/>
                <w:sz w:val="24"/>
              </w:rPr>
            </w:pPr>
            <w:r>
              <w:rPr>
                <w:rFonts w:hint="eastAsia" w:ascii="宋体" w:hAnsi="宋体" w:cs="仿宋"/>
                <w:sz w:val="24"/>
              </w:rPr>
              <w:t>3.彩屏总线仪表带彩色液晶显示屏，集成倒车和中门监控，集成各电机管理信息、电池管理信息、整车控制器等运行实时状态和故障显示。</w:t>
            </w:r>
          </w:p>
          <w:p>
            <w:pPr>
              <w:adjustRightInd w:val="0"/>
              <w:snapToGrid w:val="0"/>
              <w:spacing w:line="320" w:lineRule="exact"/>
              <w:jc w:val="left"/>
              <w:rPr>
                <w:rFonts w:ascii="宋体" w:hAnsi="宋体" w:cs="仿宋"/>
                <w:sz w:val="24"/>
              </w:rPr>
            </w:pPr>
            <w:r>
              <w:rPr>
                <w:rFonts w:hint="eastAsia" w:ascii="宋体" w:hAnsi="宋体" w:cs="仿宋"/>
                <w:sz w:val="24"/>
              </w:rPr>
              <w:t>4.CAN总线，质保期8年（含工时及易损易耗件）。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智能调度、监控系统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1.安装智能调度系统、监控系统（具体安装要求见表1）技术要求与采购人对接。</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必须配备灾备盒，可以保障内部存储数据在以下情况下的数据安全：车辆火灾（一般260~1100℃，最高1250℃）、猛烈冲击(150km/h速度下刚性碰撞)、落水并长时间浸泡（100米深，超过24小时）、高强度挤压、尖锐穿刺撞击、急速冷却等。</w:t>
            </w:r>
          </w:p>
          <w:p>
            <w:pPr>
              <w:adjustRightInd w:val="0"/>
              <w:snapToGrid w:val="0"/>
              <w:spacing w:line="320" w:lineRule="exact"/>
              <w:rPr>
                <w:rFonts w:ascii="宋体" w:hAnsi="宋体" w:cs="仿宋"/>
                <w:sz w:val="24"/>
              </w:rPr>
            </w:pPr>
            <w:r>
              <w:rPr>
                <w:rFonts w:hint="eastAsia" w:ascii="宋体" w:hAnsi="宋体" w:cs="仿宋"/>
                <w:sz w:val="24"/>
              </w:rPr>
              <w:t>4.支持4G或4G以上网络制式；支持GPS和北斗双模定位；配备1T及以上固态硬盘的车载硬盘；</w:t>
            </w:r>
          </w:p>
          <w:p>
            <w:pPr>
              <w:adjustRightInd w:val="0"/>
              <w:snapToGrid w:val="0"/>
              <w:spacing w:line="320" w:lineRule="exact"/>
              <w:rPr>
                <w:rFonts w:ascii="宋体" w:hAnsi="宋体" w:cs="仿宋"/>
                <w:sz w:val="24"/>
              </w:rPr>
            </w:pPr>
            <w:r>
              <w:rPr>
                <w:rFonts w:hint="eastAsia" w:ascii="宋体" w:hAnsi="宋体" w:cs="仿宋"/>
                <w:sz w:val="24"/>
              </w:rPr>
              <w:t>5.安装10英寸及以上信息终端，要求安装在司机位置仪表台，配备遮阳罩，必须支持定制化开发，实现与其他业务系统及数据中台进行交互。</w:t>
            </w:r>
          </w:p>
          <w:p>
            <w:pPr>
              <w:adjustRightInd w:val="0"/>
              <w:snapToGrid w:val="0"/>
              <w:spacing w:line="320" w:lineRule="exact"/>
              <w:rPr>
                <w:rFonts w:ascii="宋体" w:hAnsi="宋体" w:cs="仿宋"/>
                <w:sz w:val="24"/>
              </w:rPr>
            </w:pPr>
            <w:r>
              <w:rPr>
                <w:rFonts w:hint="eastAsia" w:ascii="宋体" w:hAnsi="宋体" w:cs="仿宋"/>
                <w:sz w:val="24"/>
              </w:rPr>
              <w:t>6.麦克风必须为鹅颈麦克风，安装在司机位置仪表台。</w:t>
            </w:r>
          </w:p>
          <w:p>
            <w:pPr>
              <w:adjustRightInd w:val="0"/>
              <w:snapToGrid w:val="0"/>
              <w:spacing w:line="320" w:lineRule="exact"/>
              <w:rPr>
                <w:rFonts w:ascii="宋体" w:hAnsi="宋体" w:cs="仿宋"/>
                <w:sz w:val="24"/>
              </w:rPr>
            </w:pPr>
            <w:r>
              <w:rPr>
                <w:rFonts w:hint="eastAsia" w:ascii="宋体" w:hAnsi="宋体" w:cs="仿宋"/>
                <w:sz w:val="24"/>
              </w:rPr>
              <w:t>7.质保期8年（含工时及易损易耗件）。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车内影像系统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1.安装车内影像系统1个显示屏和1个车载无线播放器，车载无线播放器安装在电器箱内（具体设施项目要求见表2），须接入采购人现有的影像平台系统。</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LED电子路牌</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1.电子路牌为前、后、侧牌采用全彩显示电子路牌。</w:t>
            </w:r>
          </w:p>
          <w:p>
            <w:pPr>
              <w:adjustRightInd w:val="0"/>
              <w:snapToGrid w:val="0"/>
              <w:spacing w:line="320" w:lineRule="exact"/>
              <w:rPr>
                <w:rFonts w:ascii="宋体" w:hAnsi="宋体" w:cs="仿宋"/>
                <w:sz w:val="24"/>
              </w:rPr>
            </w:pPr>
            <w:r>
              <w:rPr>
                <w:rFonts w:hint="eastAsia" w:ascii="宋体" w:hAnsi="宋体" w:cs="仿宋"/>
                <w:sz w:val="24"/>
              </w:rPr>
              <w:t>2.根据车辆实际情况配置，后牌显示车辆转弯、刹车等车辆实时信息。与采购方现有系统对接，路牌设有光感探头，可随外界亮度变化自动调节亮度，内容可以静止、滚动等多种方式显示。</w:t>
            </w:r>
          </w:p>
          <w:p>
            <w:pPr>
              <w:adjustRightInd w:val="0"/>
              <w:snapToGrid w:val="0"/>
              <w:spacing w:line="320" w:lineRule="exact"/>
              <w:rPr>
                <w:rFonts w:ascii="宋体" w:hAnsi="宋体" w:cs="仿宋"/>
                <w:sz w:val="24"/>
              </w:rPr>
            </w:pPr>
            <w:r>
              <w:rPr>
                <w:rFonts w:hint="eastAsia" w:ascii="宋体" w:hAnsi="宋体" w:cs="仿宋"/>
                <w:sz w:val="24"/>
              </w:rPr>
              <w:t>3.免费质保8年+本地维修。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导乘屏</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1.车内安装1块LCD导乘屏显示实时到站信息。</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3.免费质保8年（含工时及易损易耗件），要求本地维修。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客流分析仪</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1.体感摄像头安装在前门/后门正上方，镜头要求与车身平行安装，摄像头正面朝下并无遮挡物遮挡；前中门信号线要求门打开或关闭时提供脉冲电平（24V），且要求放置在主机位置处。</w:t>
            </w:r>
          </w:p>
          <w:p>
            <w:pPr>
              <w:adjustRightInd w:val="0"/>
              <w:snapToGrid w:val="0"/>
              <w:spacing w:line="320" w:lineRule="exact"/>
              <w:jc w:val="lef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3.质保期8年（含工时及易损易耗件），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驾驶员主动防御系统</w:t>
            </w:r>
          </w:p>
        </w:tc>
        <w:tc>
          <w:tcPr>
            <w:tcW w:w="7135" w:type="dxa"/>
            <w:vAlign w:val="center"/>
          </w:tcPr>
          <w:p>
            <w:pPr>
              <w:numPr>
                <w:ilvl w:val="0"/>
                <w:numId w:val="9"/>
              </w:numPr>
              <w:adjustRightInd w:val="0"/>
              <w:snapToGrid w:val="0"/>
              <w:spacing w:line="320" w:lineRule="exact"/>
              <w:jc w:val="left"/>
              <w:rPr>
                <w:rFonts w:ascii="宋体" w:hAnsi="宋体" w:cs="仿宋"/>
                <w:sz w:val="24"/>
              </w:rPr>
            </w:pPr>
            <w:r>
              <w:rPr>
                <w:rFonts w:hint="eastAsia" w:ascii="宋体" w:hAnsi="宋体" w:cs="仿宋"/>
                <w:sz w:val="24"/>
              </w:rPr>
              <w:t>具有云总线硬件设施及软件系统。</w:t>
            </w:r>
          </w:p>
          <w:p>
            <w:pPr>
              <w:adjustRightInd w:val="0"/>
              <w:snapToGrid w:val="0"/>
              <w:spacing w:line="320" w:lineRule="exact"/>
              <w:jc w:val="left"/>
              <w:rPr>
                <w:rFonts w:ascii="宋体" w:hAnsi="宋体" w:cs="仿宋"/>
                <w:sz w:val="24"/>
              </w:rPr>
            </w:pPr>
            <w:r>
              <w:rPr>
                <w:rFonts w:hint="eastAsia" w:ascii="宋体" w:hAnsi="宋体" w:cs="仿宋"/>
                <w:sz w:val="24"/>
              </w:rPr>
              <w:t>2.通过云总线对驾驶员行为进行分析，具备开机自检、过流、过压、过温保护功能，能判断轻载、过载、短路、开路等故障状态；CAN模块可通用、互换、具备较强的抗电磁干扰和静电冲击能力，使用通过ISO电磁兼容认证的产品；云总线系统具备大数据管理技术，CAN数据采集，实时信息处理、动力系统及车身底盘等相关电气负载信息显示及故障报警的能力。</w:t>
            </w:r>
          </w:p>
          <w:p>
            <w:pPr>
              <w:adjustRightInd w:val="0"/>
              <w:snapToGrid w:val="0"/>
              <w:spacing w:line="320" w:lineRule="exact"/>
              <w:jc w:val="left"/>
              <w:rPr>
                <w:rFonts w:ascii="宋体" w:hAnsi="宋体" w:cs="仿宋"/>
                <w:sz w:val="24"/>
              </w:rPr>
            </w:pPr>
            <w:r>
              <w:rPr>
                <w:rFonts w:hint="eastAsia" w:ascii="宋体" w:hAnsi="宋体" w:cs="仿宋"/>
                <w:sz w:val="24"/>
              </w:rPr>
              <w:t>3.车辆智能视频监控报警装置（含DSM和ADAS），具备驾驶员不安全驾驶行为监控和车辆前方行驶碰撞预警功能：符合《交通运输部办公厅关于推广应用智能视频监控报警技术的通知》（交办运〔2018〕115号）附件“道路运输车辆智能视频监控报警装置技术规范（暂行）”及符合浙江省道路运输协会发布的《道路运输车辆智能视频监控报警系统终端技术规范》（T/ZJRTA01—2018）要求。</w:t>
            </w:r>
          </w:p>
          <w:p>
            <w:pPr>
              <w:adjustRightInd w:val="0"/>
              <w:snapToGrid w:val="0"/>
              <w:spacing w:line="320" w:lineRule="exact"/>
              <w:jc w:val="left"/>
              <w:rPr>
                <w:rFonts w:ascii="宋体" w:hAnsi="宋体" w:cs="仿宋"/>
                <w:sz w:val="24"/>
              </w:rPr>
            </w:pPr>
            <w:r>
              <w:rPr>
                <w:rFonts w:hint="eastAsia" w:ascii="宋体" w:hAnsi="宋体" w:cs="仿宋"/>
                <w:sz w:val="24"/>
              </w:rPr>
              <w:t>4.配备相应系统平台，实现车辆运行状态实时监控、报警，能耗统计、驾驶员技能行为分析、驾驶员安全行为分析、线路驾驶规范、事故疑点数据采集与分析等功能并实现与DSM设备交互实现人脸识别、语音播报、安全行为考核评价等功能，满足业务的定制化开发要求，硬件与系统平台必须同步提供所有功能。</w:t>
            </w:r>
          </w:p>
          <w:p>
            <w:pPr>
              <w:adjustRightInd w:val="0"/>
              <w:snapToGrid w:val="0"/>
              <w:spacing w:line="320" w:lineRule="exact"/>
              <w:jc w:val="left"/>
              <w:rPr>
                <w:rFonts w:ascii="宋体" w:hAnsi="宋体" w:cs="仿宋"/>
                <w:sz w:val="24"/>
              </w:rPr>
            </w:pPr>
            <w:r>
              <w:rPr>
                <w:rFonts w:hint="eastAsia" w:ascii="宋体" w:hAnsi="宋体" w:cs="仿宋"/>
                <w:sz w:val="24"/>
              </w:rPr>
              <w:t>5.系统平台必须支持PC、移动端等使用方式，</w:t>
            </w:r>
          </w:p>
          <w:p>
            <w:pPr>
              <w:adjustRightInd w:val="0"/>
              <w:snapToGrid w:val="0"/>
              <w:spacing w:line="320" w:lineRule="exact"/>
              <w:jc w:val="left"/>
              <w:rPr>
                <w:rFonts w:ascii="宋体" w:hAnsi="宋体" w:cs="仿宋"/>
                <w:sz w:val="24"/>
              </w:rPr>
            </w:pPr>
            <w:r>
              <w:rPr>
                <w:rFonts w:hint="eastAsia" w:ascii="宋体" w:hAnsi="宋体" w:cs="仿宋"/>
                <w:sz w:val="24"/>
              </w:rPr>
              <w:t>6.系统平台与采购人现有云总线系统进行适配，互相同步或覆盖，系统平台必须全面兼容现有设备。</w:t>
            </w:r>
          </w:p>
          <w:p>
            <w:pPr>
              <w:adjustRightInd w:val="0"/>
              <w:snapToGrid w:val="0"/>
              <w:spacing w:line="320" w:lineRule="exact"/>
              <w:jc w:val="left"/>
              <w:rPr>
                <w:rFonts w:ascii="宋体" w:hAnsi="宋体" w:cs="仿宋"/>
                <w:sz w:val="24"/>
              </w:rPr>
            </w:pPr>
            <w:r>
              <w:rPr>
                <w:rFonts w:hint="eastAsia" w:ascii="宋体" w:hAnsi="宋体" w:cs="仿宋"/>
                <w:sz w:val="24"/>
              </w:rPr>
              <w:t>7.系统平台必须完全对接台州智慧公交云脑系统。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8.系统软硬件要求质保期8年（含工时及易损易耗件等），</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电子设备箱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在适当位置安装电子设备箱，采用不锈钢材质。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360全景及电子后视镜系统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1.高清显示，两块12.3英寸高清车规级显示屏（1920x720P），左屏分区显示，2/3后视显示，1/3显示360环视，车速大于20KM/H切换为全屏显示，右屏后视全屏显示。</w:t>
            </w:r>
          </w:p>
          <w:p>
            <w:pPr>
              <w:adjustRightInd w:val="0"/>
              <w:snapToGrid w:val="0"/>
              <w:spacing w:line="320" w:lineRule="exact"/>
              <w:rPr>
                <w:rFonts w:ascii="宋体" w:hAnsi="宋体" w:cs="仿宋"/>
                <w:sz w:val="24"/>
              </w:rPr>
            </w:pPr>
            <w:r>
              <w:rPr>
                <w:rFonts w:hint="eastAsia" w:ascii="宋体" w:hAnsi="宋体" w:cs="仿宋"/>
                <w:sz w:val="24"/>
              </w:rPr>
              <w:t>2.支持2路1080P高清分辨率摄像头（1920x1080），其中两路后视摄像头，支持4路360环视摄像头，摄像头为标清摄像头。</w:t>
            </w:r>
          </w:p>
          <w:p>
            <w:pPr>
              <w:adjustRightInd w:val="0"/>
              <w:snapToGrid w:val="0"/>
              <w:spacing w:line="320" w:lineRule="exact"/>
              <w:rPr>
                <w:rFonts w:ascii="宋体" w:hAnsi="宋体" w:cs="仿宋"/>
                <w:sz w:val="24"/>
              </w:rPr>
            </w:pPr>
            <w:r>
              <w:rPr>
                <w:rFonts w:hint="eastAsia" w:ascii="宋体" w:hAnsi="宋体" w:cs="仿宋"/>
                <w:sz w:val="24"/>
              </w:rPr>
              <w:t>3.自动画面，支持CAN传输通用协议，并可根据车速和左右转弯信号进行左边12.3寸屏画面的自动切换。</w:t>
            </w:r>
          </w:p>
          <w:p>
            <w:pPr>
              <w:adjustRightInd w:val="0"/>
              <w:snapToGrid w:val="0"/>
              <w:spacing w:line="320" w:lineRule="exact"/>
              <w:rPr>
                <w:rFonts w:ascii="宋体" w:hAnsi="宋体" w:cs="仿宋"/>
                <w:sz w:val="24"/>
              </w:rPr>
            </w:pPr>
            <w:r>
              <w:rPr>
                <w:rFonts w:hint="eastAsia" w:ascii="宋体" w:hAnsi="宋体" w:cs="仿宋"/>
                <w:sz w:val="24"/>
              </w:rPr>
              <w:t>4.自动光感，屏幕亮度自适应调节，适应白天和晚上各种应用场景，自适应防眩护目。</w:t>
            </w:r>
          </w:p>
          <w:p>
            <w:pPr>
              <w:adjustRightInd w:val="0"/>
              <w:snapToGrid w:val="0"/>
              <w:spacing w:line="320" w:lineRule="exact"/>
              <w:rPr>
                <w:rFonts w:ascii="宋体" w:hAnsi="宋体" w:cs="仿宋"/>
                <w:sz w:val="24"/>
              </w:rPr>
            </w:pPr>
            <w:r>
              <w:rPr>
                <w:rFonts w:hint="eastAsia" w:ascii="宋体" w:hAnsi="宋体" w:cs="仿宋"/>
                <w:sz w:val="24"/>
              </w:rPr>
              <w:t>5.具有存储功能，且自带存储容量不小于128G， 具备模拟视频输出能力。</w:t>
            </w:r>
          </w:p>
          <w:p>
            <w:pPr>
              <w:adjustRightInd w:val="0"/>
              <w:snapToGrid w:val="0"/>
              <w:spacing w:line="320" w:lineRule="exact"/>
              <w:rPr>
                <w:rFonts w:ascii="宋体" w:hAnsi="宋体" w:cs="仿宋"/>
                <w:sz w:val="24"/>
              </w:rPr>
            </w:pPr>
            <w:r>
              <w:rPr>
                <w:rFonts w:hint="eastAsia" w:ascii="宋体" w:hAnsi="宋体" w:cs="仿宋"/>
                <w:sz w:val="24"/>
              </w:rPr>
              <w:t>6.系统可以提供车辆四周360度全景鸟瞰图，司机在驾驶位可看到车辆四周的状况，无盲区。</w:t>
            </w:r>
          </w:p>
          <w:p>
            <w:pPr>
              <w:adjustRightInd w:val="0"/>
              <w:snapToGrid w:val="0"/>
              <w:spacing w:line="320" w:lineRule="exact"/>
              <w:rPr>
                <w:rFonts w:ascii="宋体" w:hAnsi="宋体" w:cs="仿宋"/>
                <w:sz w:val="24"/>
              </w:rPr>
            </w:pPr>
            <w:r>
              <w:rPr>
                <w:rFonts w:hint="eastAsia" w:ascii="宋体" w:hAnsi="宋体" w:cs="仿宋"/>
                <w:sz w:val="24"/>
              </w:rPr>
              <w:t>7.系统采用红外超广角摄像头，能够适应不同的光源。</w:t>
            </w:r>
          </w:p>
          <w:p>
            <w:pPr>
              <w:adjustRightInd w:val="0"/>
              <w:snapToGrid w:val="0"/>
              <w:spacing w:line="320" w:lineRule="exact"/>
              <w:rPr>
                <w:rFonts w:ascii="宋体" w:hAnsi="宋体" w:cs="仿宋"/>
                <w:sz w:val="24"/>
              </w:rPr>
            </w:pPr>
            <w:r>
              <w:rPr>
                <w:rFonts w:hint="eastAsia" w:ascii="宋体" w:hAnsi="宋体" w:cs="仿宋"/>
                <w:sz w:val="24"/>
              </w:rPr>
              <w:t>8.多种视图模式切换，分别是前视行车图，倒车后视视图，左侧行车视图，右侧行车视图，倒车视图可以替代传统的倒车监控。</w:t>
            </w:r>
          </w:p>
          <w:p>
            <w:pPr>
              <w:adjustRightInd w:val="0"/>
              <w:snapToGrid w:val="0"/>
              <w:spacing w:line="320" w:lineRule="exact"/>
              <w:rPr>
                <w:rFonts w:ascii="宋体" w:hAnsi="宋体" w:cs="仿宋"/>
                <w:sz w:val="24"/>
              </w:rPr>
            </w:pPr>
            <w:r>
              <w:rPr>
                <w:rFonts w:hint="eastAsia" w:ascii="宋体" w:hAnsi="宋体" w:cs="仿宋"/>
                <w:sz w:val="24"/>
              </w:rPr>
              <w:t>9.质保8年（含工时及易损易耗件），要求本地维护，</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r>
              <w:rPr>
                <w:rFonts w:hint="eastAsia" w:ascii="宋体" w:hAnsi="宋体" w:cs="仿宋"/>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投币箱</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1.嵌入式智能指纹投币机，体积小，支持嵌入式安装和立式安装方式，具有刷指纹、刷卡开门功能，支持币胆无线供电。配3个币胆，适配币胆具有电子标签，自动封门，无线供电功能。</w:t>
            </w:r>
          </w:p>
          <w:p>
            <w:pPr>
              <w:adjustRightInd w:val="0"/>
              <w:snapToGrid w:val="0"/>
              <w:spacing w:line="320" w:lineRule="exact"/>
              <w:jc w:val="left"/>
              <w:rPr>
                <w:rFonts w:ascii="宋体" w:hAnsi="宋体" w:cs="仿宋"/>
                <w:sz w:val="24"/>
              </w:rPr>
            </w:pPr>
            <w:r>
              <w:rPr>
                <w:rFonts w:hint="eastAsia" w:ascii="宋体" w:hAnsi="宋体" w:cs="仿宋"/>
                <w:sz w:val="24"/>
              </w:rPr>
              <w:t>2.质保8年（内外箱锁具、钥匙、票箱等易损易耗件+日常维修配件），</w:t>
            </w:r>
            <w:r>
              <w:rPr>
                <w:rFonts w:hint="eastAsia" w:ascii="宋体" w:hAnsi="宋体" w:cs="仿宋"/>
                <w:b/>
                <w:sz w:val="24"/>
              </w:rPr>
              <w:t>并在投标文件中附加盖公章的承诺书。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IC卡POS机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1.安装IC卡POS机，具有可支持读写符合ISO 14443 TYPE A/B的MF1、CPU卡，支持交通部、住建部标准的CPU卡,银联PBOC3.0标准CPU卡，移动SIMPASS卡，支持NFC、银联云闪付，支持2.4G标准卡消费应用，且二维码识读窗口大、视场角度宽等优点；识别方式752×480CMOS；识读码制：二维FDF417，Data Matrix，QR Code,一维纸质码；识读模式：感应识读；识读精度：10mil；支持支付宝、微信、银联标准二维码支付应用，支持4G全网通、支持GPS/北斗定位，需接入采购人现有系统平台。</w:t>
            </w:r>
          </w:p>
          <w:p>
            <w:pPr>
              <w:adjustRightInd w:val="0"/>
              <w:snapToGrid w:val="0"/>
              <w:spacing w:line="320" w:lineRule="exact"/>
              <w:jc w:val="left"/>
              <w:rPr>
                <w:rFonts w:ascii="宋体" w:hAnsi="宋体" w:cs="仿宋"/>
                <w:sz w:val="24"/>
              </w:rPr>
            </w:pPr>
            <w:r>
              <w:rPr>
                <w:rFonts w:hint="eastAsia" w:ascii="宋体" w:hAnsi="宋体" w:cs="仿宋"/>
                <w:sz w:val="24"/>
              </w:rPr>
              <w:t>2.质保8年（含工时及易损易耗件），</w:t>
            </w:r>
            <w:r>
              <w:rPr>
                <w:rFonts w:hint="eastAsia" w:ascii="宋体" w:hAnsi="宋体" w:cs="仿宋"/>
                <w:b/>
                <w:sz w:val="24"/>
              </w:rPr>
              <w:t>并在投标文件中附加盖公章的承诺书。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车尾广告屏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1.整屏规格：根据车后挡风玻璃尺寸配置；点阵距：P4；单元板像素点：H:40*W:80；全屏分辨率（像素点）：W:400*H:80；全屏画面比例：5:1；刷新率：1200；灰度等级：4096；亮度：64；</w:t>
            </w:r>
          </w:p>
          <w:p>
            <w:pPr>
              <w:adjustRightInd w:val="0"/>
              <w:snapToGrid w:val="0"/>
              <w:spacing w:line="320" w:lineRule="exact"/>
              <w:jc w:val="left"/>
              <w:rPr>
                <w:rFonts w:ascii="宋体" w:hAnsi="宋体" w:cs="仿宋"/>
                <w:sz w:val="24"/>
              </w:rPr>
            </w:pPr>
            <w:r>
              <w:rPr>
                <w:rFonts w:hint="eastAsia" w:ascii="宋体" w:hAnsi="宋体" w:cs="仿宋"/>
                <w:sz w:val="24"/>
              </w:rPr>
              <w:t>2.管芯芯片：台湾晶元/三安/华灿；LED 封装方式：SMD1921；白平衡最高亮度≥6500；亮度（cd/ m2）：5500cd/平方米；亮度等级 64；灰度等级：灰色等级65536 刷新率1920支持 JPG,BMP,WMF等视频格式；电源配置：40A电源配置4个；控制开关：车尾后屏外部设置电源开关，方便年检等情况关闭电源；线材便用耐高温105℃、阻燃线材；</w:t>
            </w:r>
          </w:p>
          <w:p>
            <w:pPr>
              <w:adjustRightInd w:val="0"/>
              <w:snapToGrid w:val="0"/>
              <w:spacing w:line="320" w:lineRule="exact"/>
              <w:jc w:val="left"/>
              <w:rPr>
                <w:rFonts w:ascii="宋体" w:hAnsi="宋体" w:cs="仿宋"/>
                <w:sz w:val="24"/>
              </w:rPr>
            </w:pPr>
            <w:r>
              <w:rPr>
                <w:rFonts w:hint="eastAsia" w:ascii="宋体" w:hAnsi="宋体" w:cs="仿宋"/>
                <w:sz w:val="24"/>
              </w:rPr>
              <w:t>3.售后服务：4小时内响应，12小时内修复，疑难问题需要有整机备件更换；负责与采购方现有发布平台品牌（熙彩通）对接，保证正常发布；</w:t>
            </w:r>
          </w:p>
          <w:p>
            <w:pPr>
              <w:adjustRightInd w:val="0"/>
              <w:snapToGrid w:val="0"/>
              <w:spacing w:line="320" w:lineRule="exact"/>
              <w:jc w:val="left"/>
              <w:rPr>
                <w:rFonts w:ascii="宋体" w:hAnsi="宋体" w:cs="仿宋"/>
                <w:sz w:val="24"/>
              </w:rPr>
            </w:pPr>
            <w:r>
              <w:rPr>
                <w:rFonts w:hint="eastAsia" w:ascii="宋体" w:hAnsi="宋体" w:cs="仿宋"/>
                <w:sz w:val="24"/>
              </w:rPr>
              <w:t>4.质保8年（含工时及易损易耗件），要求本地维护，</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其他</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1.预留一组DCDC电源备用。</w:t>
            </w:r>
          </w:p>
          <w:p>
            <w:pPr>
              <w:adjustRightInd w:val="0"/>
              <w:snapToGrid w:val="0"/>
              <w:spacing w:line="320" w:lineRule="exact"/>
              <w:jc w:val="left"/>
              <w:rPr>
                <w:rFonts w:ascii="宋体" w:hAnsi="宋体" w:cs="仿宋"/>
                <w:sz w:val="24"/>
              </w:rPr>
            </w:pPr>
            <w:r>
              <w:rPr>
                <w:rFonts w:hint="eastAsia" w:ascii="宋体" w:hAnsi="宋体" w:cs="仿宋"/>
                <w:sz w:val="24"/>
              </w:rPr>
              <w:t>2.安装可打印式行车记录仪。</w:t>
            </w:r>
          </w:p>
          <w:p>
            <w:pPr>
              <w:adjustRightInd w:val="0"/>
              <w:snapToGrid w:val="0"/>
              <w:spacing w:line="320" w:lineRule="exact"/>
              <w:jc w:val="left"/>
              <w:rPr>
                <w:rFonts w:ascii="宋体" w:hAnsi="宋体" w:cs="仿宋"/>
                <w:sz w:val="24"/>
              </w:rPr>
            </w:pPr>
            <w:r>
              <w:rPr>
                <w:rFonts w:hint="eastAsia" w:ascii="宋体" w:hAnsi="宋体" w:cs="仿宋"/>
                <w:sz w:val="24"/>
              </w:rPr>
              <w:t>3.采购方其他采购的设备，由中标方负责安装。</w:t>
            </w:r>
          </w:p>
          <w:p>
            <w:pPr>
              <w:adjustRightInd w:val="0"/>
              <w:snapToGrid w:val="0"/>
              <w:spacing w:line="320" w:lineRule="exact"/>
              <w:jc w:val="left"/>
              <w:rPr>
                <w:rFonts w:ascii="宋体" w:hAnsi="宋体" w:cs="仿宋"/>
                <w:sz w:val="24"/>
              </w:rPr>
            </w:pPr>
            <w:r>
              <w:rPr>
                <w:rFonts w:hint="eastAsia" w:ascii="宋体" w:hAnsi="宋体" w:cs="仿宋"/>
                <w:sz w:val="24"/>
              </w:rPr>
              <w:t>4.全车低压供电24V。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10.随车及其他附件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2261" w:type="dxa"/>
            <w:vAlign w:val="center"/>
          </w:tcPr>
          <w:p>
            <w:pPr>
              <w:adjustRightInd w:val="0"/>
              <w:snapToGrid w:val="0"/>
              <w:spacing w:line="320" w:lineRule="exact"/>
              <w:rPr>
                <w:rFonts w:ascii="宋体" w:hAnsi="宋体" w:cs="仿宋"/>
                <w:sz w:val="24"/>
              </w:rPr>
            </w:pPr>
            <w:r>
              <w:rPr>
                <w:rFonts w:hint="eastAsia" w:ascii="宋体" w:hAnsi="宋体" w:cs="仿宋"/>
                <w:b/>
                <w:bCs/>
                <w:sz w:val="24"/>
              </w:rPr>
              <w:t>随车及其他附件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1.车厢内安装一个不锈钢置物箱，置物箱式样及安装位置与采购方对接后确认。</w:t>
            </w:r>
          </w:p>
          <w:p>
            <w:pPr>
              <w:adjustRightInd w:val="0"/>
              <w:snapToGrid w:val="0"/>
              <w:spacing w:line="320" w:lineRule="exact"/>
              <w:rPr>
                <w:rFonts w:ascii="宋体" w:hAnsi="宋体" w:cs="仿宋"/>
                <w:sz w:val="24"/>
              </w:rPr>
            </w:pPr>
            <w:r>
              <w:rPr>
                <w:rFonts w:hint="eastAsia" w:ascii="宋体" w:hAnsi="宋体" w:cs="仿宋"/>
                <w:sz w:val="24"/>
              </w:rPr>
              <w:t>2.提供五台车辆故障检测仪。</w:t>
            </w:r>
          </w:p>
          <w:p>
            <w:pPr>
              <w:adjustRightInd w:val="0"/>
              <w:snapToGrid w:val="0"/>
              <w:spacing w:line="320" w:lineRule="exact"/>
              <w:rPr>
                <w:rFonts w:ascii="宋体" w:hAnsi="宋体" w:cs="仿宋"/>
                <w:sz w:val="24"/>
              </w:rPr>
            </w:pPr>
            <w:r>
              <w:rPr>
                <w:rFonts w:hint="eastAsia" w:ascii="宋体" w:hAnsi="宋体" w:cs="仿宋"/>
                <w:sz w:val="24"/>
              </w:rPr>
              <w:t>1.每辆车配一个备胎（含轮辋）、随车工具一套。三角警示牌1个、止推器2个、反光背心1件。</w:t>
            </w:r>
          </w:p>
          <w:p>
            <w:pPr>
              <w:adjustRightInd w:val="0"/>
              <w:snapToGrid w:val="0"/>
              <w:spacing w:line="320" w:lineRule="exact"/>
              <w:rPr>
                <w:rFonts w:ascii="宋体" w:hAnsi="宋体" w:cs="仿宋"/>
                <w:sz w:val="24"/>
              </w:rPr>
            </w:pPr>
            <w:r>
              <w:rPr>
                <w:rFonts w:hint="eastAsia" w:ascii="宋体" w:hAnsi="宋体" w:cs="仿宋"/>
                <w:sz w:val="24"/>
              </w:rPr>
              <w:t>3.安装垃圾分类专用垃圾桶，尺寸、外观等由采购方确认，</w:t>
            </w:r>
          </w:p>
          <w:p>
            <w:pPr>
              <w:adjustRightInd w:val="0"/>
              <w:snapToGrid w:val="0"/>
              <w:spacing w:line="320" w:lineRule="exact"/>
              <w:rPr>
                <w:rFonts w:ascii="宋体" w:hAnsi="宋体" w:cs="仿宋"/>
                <w:sz w:val="24"/>
              </w:rPr>
            </w:pPr>
            <w:r>
              <w:rPr>
                <w:rFonts w:hint="eastAsia" w:ascii="宋体" w:hAnsi="宋体" w:cs="仿宋"/>
                <w:sz w:val="24"/>
              </w:rPr>
              <w:t>合适位置安装豪华型不锈钢拖把箱一只。在驾驶室前区域合理放置便民服务箱。安装意见箱，尺寸由采购方提供。</w:t>
            </w:r>
          </w:p>
          <w:p>
            <w:pPr>
              <w:adjustRightInd w:val="0"/>
              <w:snapToGrid w:val="0"/>
              <w:spacing w:line="320" w:lineRule="exact"/>
              <w:rPr>
                <w:rFonts w:ascii="宋体" w:hAnsi="宋体" w:cs="仿宋"/>
                <w:sz w:val="24"/>
              </w:rPr>
            </w:pPr>
            <w:r>
              <w:rPr>
                <w:rFonts w:hint="eastAsia" w:ascii="宋体" w:hAnsi="宋体" w:cs="仿宋"/>
                <w:sz w:val="24"/>
              </w:rPr>
              <w:t>4.车辆前挡序号与车钢印相符表格一份;配整车电路图和主要配件生产型号或图号及生产厂家资料电子档各1份。</w:t>
            </w:r>
          </w:p>
          <w:p>
            <w:pPr>
              <w:adjustRightInd w:val="0"/>
              <w:snapToGrid w:val="0"/>
              <w:spacing w:line="320" w:lineRule="exact"/>
              <w:rPr>
                <w:rFonts w:ascii="宋体" w:hAnsi="宋体" w:cs="仿宋"/>
                <w:sz w:val="24"/>
              </w:rPr>
            </w:pPr>
            <w:r>
              <w:rPr>
                <w:rFonts w:hint="eastAsia" w:ascii="宋体" w:hAnsi="宋体" w:cs="仿宋"/>
                <w:sz w:val="24"/>
              </w:rPr>
              <w:t xml:space="preserve">5.零配件供应体系方案应完整（提供资料、型号、价格清单） </w:t>
            </w:r>
          </w:p>
        </w:tc>
      </w:tr>
    </w:tbl>
    <w:p>
      <w:pPr>
        <w:autoSpaceDE w:val="0"/>
        <w:autoSpaceDN w:val="0"/>
        <w:adjustRightInd w:val="0"/>
        <w:snapToGrid w:val="0"/>
        <w:spacing w:line="320" w:lineRule="exact"/>
        <w:jc w:val="left"/>
        <w:rPr>
          <w:rFonts w:ascii="宋体" w:hAnsi="宋体" w:cs="仿宋"/>
          <w:b/>
          <w:spacing w:val="-8"/>
          <w:szCs w:val="21"/>
        </w:rPr>
      </w:pPr>
      <w:r>
        <w:rPr>
          <w:rFonts w:hint="eastAsia" w:ascii="宋体" w:hAnsi="宋体" w:cs="仿宋"/>
          <w:b/>
          <w:spacing w:val="-8"/>
          <w:szCs w:val="21"/>
        </w:rPr>
        <w:t>表1：设备安装要求</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4282"/>
        <w:gridCol w:w="739"/>
        <w:gridCol w:w="850"/>
        <w:gridCol w:w="2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jc w:val="center"/>
        </w:trPr>
        <w:tc>
          <w:tcPr>
            <w:tcW w:w="9356" w:type="dxa"/>
            <w:gridSpan w:val="5"/>
          </w:tcPr>
          <w:p>
            <w:pPr>
              <w:adjustRightInd w:val="0"/>
              <w:snapToGrid w:val="0"/>
              <w:spacing w:line="320" w:lineRule="exact"/>
              <w:jc w:val="left"/>
              <w:rPr>
                <w:rFonts w:ascii="宋体" w:hAnsi="宋体" w:cs="仿宋"/>
                <w:szCs w:val="21"/>
              </w:rPr>
            </w:pPr>
            <w:r>
              <w:rPr>
                <w:rFonts w:hint="eastAsia" w:ascii="宋体" w:hAnsi="宋体" w:cs="仿宋"/>
                <w:szCs w:val="21"/>
              </w:rPr>
              <w:t>1、安装GPS定位天线到车外顶部；</w:t>
            </w:r>
          </w:p>
          <w:p>
            <w:pPr>
              <w:adjustRightInd w:val="0"/>
              <w:snapToGrid w:val="0"/>
              <w:spacing w:line="320" w:lineRule="exact"/>
              <w:jc w:val="left"/>
              <w:rPr>
                <w:rFonts w:ascii="宋体" w:hAnsi="宋体" w:cs="仿宋"/>
                <w:szCs w:val="21"/>
              </w:rPr>
            </w:pPr>
            <w:r>
              <w:rPr>
                <w:rFonts w:hint="eastAsia" w:ascii="宋体" w:hAnsi="宋体" w:cs="仿宋"/>
                <w:szCs w:val="21"/>
              </w:rPr>
              <w:t>2、在驾驶员附近安装用于和调度中心通话的喇叭；</w:t>
            </w:r>
          </w:p>
          <w:p>
            <w:pPr>
              <w:adjustRightInd w:val="0"/>
              <w:snapToGrid w:val="0"/>
              <w:spacing w:line="320" w:lineRule="exact"/>
              <w:jc w:val="left"/>
              <w:rPr>
                <w:rFonts w:ascii="宋体" w:hAnsi="宋体" w:cs="仿宋"/>
                <w:szCs w:val="21"/>
              </w:rPr>
            </w:pPr>
            <w:r>
              <w:rPr>
                <w:rFonts w:hint="eastAsia" w:ascii="宋体" w:hAnsi="宋体" w:cs="仿宋"/>
                <w:szCs w:val="21"/>
              </w:rPr>
              <w:t>3、6路摄像头监控区域：①照车前；②从前往后照车箱；③照前门、投币机；④照司机；⑤照中门；⑥照倒车；其中照车前的摄像头要求安装在仪表台上；</w:t>
            </w:r>
          </w:p>
          <w:p>
            <w:pPr>
              <w:adjustRightInd w:val="0"/>
              <w:snapToGrid w:val="0"/>
              <w:spacing w:line="320" w:lineRule="exact"/>
              <w:jc w:val="left"/>
              <w:rPr>
                <w:rFonts w:ascii="宋体" w:hAnsi="宋体" w:cs="仿宋"/>
                <w:szCs w:val="21"/>
              </w:rPr>
            </w:pPr>
            <w:r>
              <w:rPr>
                <w:rFonts w:hint="eastAsia" w:ascii="宋体" w:hAnsi="宋体" w:cs="仿宋"/>
                <w:szCs w:val="21"/>
              </w:rPr>
              <w:t>4、要求车辆配备分层可抽拉的设备箱；</w:t>
            </w:r>
          </w:p>
          <w:p>
            <w:pPr>
              <w:adjustRightInd w:val="0"/>
              <w:snapToGrid w:val="0"/>
              <w:spacing w:line="320" w:lineRule="exact"/>
              <w:jc w:val="left"/>
              <w:rPr>
                <w:rFonts w:ascii="宋体" w:hAnsi="宋体" w:cs="仿宋"/>
                <w:szCs w:val="21"/>
              </w:rPr>
            </w:pPr>
            <w:r>
              <w:rPr>
                <w:rFonts w:hint="eastAsia" w:ascii="宋体" w:hAnsi="宋体" w:cs="仿宋"/>
                <w:szCs w:val="21"/>
              </w:rPr>
              <w:t>5、安装协议转换器，实现与相应厂家路牌的通讯。</w:t>
            </w:r>
          </w:p>
          <w:p>
            <w:pPr>
              <w:adjustRightInd w:val="0"/>
              <w:snapToGrid w:val="0"/>
              <w:spacing w:line="320" w:lineRule="exact"/>
              <w:jc w:val="left"/>
              <w:rPr>
                <w:rFonts w:ascii="宋体" w:hAnsi="宋体" w:cs="仿宋"/>
                <w:szCs w:val="21"/>
              </w:rPr>
            </w:pPr>
            <w:r>
              <w:rPr>
                <w:rFonts w:hint="eastAsia" w:ascii="宋体" w:hAnsi="宋体" w:cs="仿宋"/>
                <w:szCs w:val="21"/>
              </w:rPr>
              <w:t>6、驾驶员安全行车分析仪，主机设备安装必须便于使用U盘拷贝更新新程序和更换SIM卡，便于配件的维护及设备的更换，要求主机的两侧需流出足够的操作空间。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jc w:val="center"/>
        </w:trPr>
        <w:tc>
          <w:tcPr>
            <w:tcW w:w="5563" w:type="dxa"/>
            <w:gridSpan w:val="2"/>
            <w:tcBorders>
              <w:top w:val="nil"/>
              <w:left w:val="nil"/>
              <w:bottom w:val="nil"/>
              <w:right w:val="nil"/>
            </w:tcBorders>
            <w:vAlign w:val="center"/>
          </w:tcPr>
          <w:p>
            <w:pPr>
              <w:widowControl/>
              <w:adjustRightInd w:val="0"/>
              <w:snapToGrid w:val="0"/>
              <w:spacing w:line="320" w:lineRule="exact"/>
              <w:rPr>
                <w:rFonts w:ascii="宋体" w:hAnsi="宋体" w:cs="仿宋"/>
                <w:b/>
                <w:bCs/>
                <w:kern w:val="0"/>
                <w:szCs w:val="21"/>
              </w:rPr>
            </w:pPr>
            <w:r>
              <w:rPr>
                <w:rFonts w:hint="eastAsia" w:ascii="宋体" w:hAnsi="宋体" w:cs="仿宋"/>
                <w:b/>
                <w:bCs/>
                <w:kern w:val="0"/>
                <w:szCs w:val="21"/>
              </w:rPr>
              <w:t>表2：车载移动电视目录</w:t>
            </w:r>
          </w:p>
        </w:tc>
        <w:tc>
          <w:tcPr>
            <w:tcW w:w="739"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850"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2204"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名称</w:t>
            </w:r>
          </w:p>
        </w:tc>
        <w:tc>
          <w:tcPr>
            <w:tcW w:w="428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功能</w:t>
            </w:r>
          </w:p>
        </w:tc>
        <w:tc>
          <w:tcPr>
            <w:tcW w:w="739"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单位</w:t>
            </w:r>
          </w:p>
        </w:tc>
        <w:tc>
          <w:tcPr>
            <w:tcW w:w="85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数量</w:t>
            </w:r>
          </w:p>
        </w:tc>
        <w:tc>
          <w:tcPr>
            <w:tcW w:w="2204"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428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73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85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220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9" w:hRule="atLeast"/>
          <w:jc w:val="center"/>
        </w:trPr>
        <w:tc>
          <w:tcPr>
            <w:tcW w:w="1281"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车载播放器</w:t>
            </w:r>
          </w:p>
        </w:tc>
        <w:tc>
          <w:tcPr>
            <w:tcW w:w="4282" w:type="dxa"/>
            <w:tcBorders>
              <w:top w:val="nil"/>
              <w:left w:val="nil"/>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用于视频接收播放功能</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Wifi模块</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安全电池</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8G存储卡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LED显示器</w:t>
            </w:r>
          </w:p>
        </w:tc>
        <w:tc>
          <w:tcPr>
            <w:tcW w:w="4282"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 xml:space="preserve"> LED车用液晶显示屏</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18.5寸　</w:t>
            </w:r>
          </w:p>
        </w:tc>
      </w:tr>
    </w:tbl>
    <w:p>
      <w:pPr>
        <w:rPr>
          <w:rFonts w:ascii="宋体" w:hAnsi="宋体" w:cs="仿宋"/>
          <w:b/>
          <w:bCs/>
          <w:sz w:val="24"/>
        </w:rPr>
      </w:pPr>
    </w:p>
    <w:p>
      <w:pPr>
        <w:rPr>
          <w:rFonts w:ascii="宋体" w:hAnsi="宋体" w:cs="仿宋"/>
          <w:b/>
          <w:bCs/>
          <w:sz w:val="24"/>
        </w:rPr>
      </w:pPr>
      <w:r>
        <w:rPr>
          <w:rFonts w:hint="eastAsia" w:ascii="宋体" w:hAnsi="宋体" w:cs="仿宋"/>
          <w:b/>
          <w:bCs/>
          <w:sz w:val="24"/>
        </w:rPr>
        <w:t>说明：</w:t>
      </w:r>
    </w:p>
    <w:p>
      <w:pPr>
        <w:spacing w:line="360" w:lineRule="auto"/>
        <w:ind w:firstLine="480" w:firstLineChars="200"/>
        <w:rPr>
          <w:rFonts w:ascii="宋体" w:hAnsi="宋体" w:cs="仿宋"/>
          <w:sz w:val="24"/>
        </w:rPr>
      </w:pPr>
      <w:r>
        <w:rPr>
          <w:rFonts w:hint="eastAsia" w:ascii="宋体" w:hAnsi="宋体" w:cs="仿宋"/>
          <w:sz w:val="24"/>
        </w:rPr>
        <w:t>1.在车辆检查或使用中发现响应配置与实际配置不相符的，按虚假应标处理，追究差额及相关损失，由采购人直接在应付款（包括中标厂家其他批次的应付款）或质保金（质保函）中扣除，并上报台州市国资委，列入采购方失信名单。</w:t>
      </w:r>
    </w:p>
    <w:p>
      <w:pPr>
        <w:spacing w:line="360" w:lineRule="auto"/>
        <w:ind w:firstLine="480" w:firstLineChars="200"/>
        <w:rPr>
          <w:rFonts w:ascii="宋体" w:hAnsi="宋体" w:cs="仿宋"/>
          <w:sz w:val="24"/>
        </w:rPr>
      </w:pPr>
      <w:r>
        <w:rPr>
          <w:rFonts w:hint="eastAsia" w:ascii="宋体" w:hAnsi="宋体" w:cs="仿宋"/>
          <w:sz w:val="24"/>
        </w:rPr>
        <w:t>2.中标车辆必须符合台州地区上牌要求，由中标厂家完成车辆上牌工作，其正常检测上牌费用由采购单位支付。</w:t>
      </w:r>
    </w:p>
    <w:p>
      <w:pPr>
        <w:spacing w:line="360" w:lineRule="auto"/>
        <w:ind w:firstLine="480" w:firstLineChars="200"/>
        <w:rPr>
          <w:rFonts w:ascii="宋体" w:hAnsi="宋体" w:cs="仿宋"/>
          <w:strike/>
          <w:sz w:val="24"/>
        </w:rPr>
      </w:pPr>
      <w:r>
        <w:rPr>
          <w:rFonts w:ascii="宋体" w:hAnsi="宋体" w:cs="仿宋"/>
          <w:sz w:val="24"/>
        </w:rPr>
        <w:t>3.所有的终端设备产品，</w:t>
      </w:r>
      <w:r>
        <w:rPr>
          <w:rFonts w:hint="eastAsia" w:ascii="宋体" w:hAnsi="宋体" w:cs="仿宋"/>
          <w:sz w:val="24"/>
        </w:rPr>
        <w:t>原则上应在中标厂家安装完毕后方可出厂。</w:t>
      </w:r>
    </w:p>
    <w:p>
      <w:pPr>
        <w:spacing w:line="360" w:lineRule="auto"/>
        <w:ind w:firstLine="480" w:firstLineChars="200"/>
        <w:rPr>
          <w:rFonts w:ascii="宋体" w:hAnsi="宋体" w:cs="仿宋"/>
          <w:sz w:val="24"/>
        </w:rPr>
      </w:pPr>
      <w:r>
        <w:rPr>
          <w:rFonts w:hint="eastAsia" w:ascii="宋体" w:hAnsi="宋体" w:cs="仿宋"/>
          <w:sz w:val="24"/>
        </w:rPr>
        <w:t>4.中标厂家必须履行质保承诺，在约定时间未作出响应而造成损失的，采购人有权自行联系维修，所产生的直接费用与损失由中标厂家承担，采购人有权直接在应付款（包括中标厂家其他批次的应付款）中扣除，造成严重后果的，将通过法律途径维权（需提供书面承诺）。</w:t>
      </w:r>
    </w:p>
    <w:p>
      <w:pPr>
        <w:spacing w:line="360" w:lineRule="auto"/>
        <w:ind w:firstLine="480" w:firstLineChars="200"/>
        <w:rPr>
          <w:rFonts w:ascii="宋体" w:hAnsi="宋体" w:cs="仿宋"/>
          <w:sz w:val="24"/>
        </w:rPr>
      </w:pPr>
      <w:r>
        <w:rPr>
          <w:rFonts w:hint="eastAsia" w:ascii="宋体" w:hAnsi="宋体" w:cs="仿宋"/>
          <w:sz w:val="24"/>
        </w:rPr>
        <w:t>5.整车运行安全技术条件必须符合中华人民共和国国家标准或相关行业标准，同时依据国家有关产品质量法规和制造标准、技术要求等邀约进行验收。</w:t>
      </w:r>
    </w:p>
    <w:p>
      <w:pPr>
        <w:spacing w:line="360" w:lineRule="auto"/>
        <w:ind w:firstLine="480" w:firstLineChars="200"/>
        <w:rPr>
          <w:rFonts w:ascii="宋体" w:hAnsi="宋体" w:cs="仿宋"/>
          <w:sz w:val="24"/>
        </w:rPr>
      </w:pPr>
      <w:r>
        <w:rPr>
          <w:rFonts w:hint="eastAsia" w:ascii="宋体" w:hAnsi="宋体" w:cs="仿宋"/>
          <w:sz w:val="24"/>
        </w:rPr>
        <w:t>6.投标厂家需认真阅读并完全理解本技术配置要求，投标人无权擅自改动或降低相关标准与要求。</w:t>
      </w:r>
    </w:p>
    <w:p>
      <w:pPr>
        <w:spacing w:line="360" w:lineRule="auto"/>
        <w:ind w:firstLine="480" w:firstLineChars="200"/>
        <w:rPr>
          <w:rFonts w:ascii="宋体" w:hAnsi="宋体" w:cs="仿宋"/>
          <w:b/>
          <w:bCs/>
          <w:sz w:val="24"/>
        </w:rPr>
      </w:pPr>
      <w:r>
        <w:rPr>
          <w:rFonts w:hint="eastAsia" w:ascii="宋体" w:hAnsi="宋体" w:cs="仿宋"/>
          <w:sz w:val="24"/>
        </w:rPr>
        <w:t>7.动力电池须在质保期内做好定期保养维护，由投标人提供维护方案并组织实施。</w:t>
      </w:r>
    </w:p>
    <w:p>
      <w:pPr>
        <w:ind w:left="7000" w:leftChars="2500"/>
        <w:rPr>
          <w:rFonts w:ascii="宋体" w:hAnsi="宋体"/>
          <w:szCs w:val="20"/>
        </w:rPr>
      </w:pPr>
    </w:p>
    <w:p>
      <w:pPr>
        <w:widowControl/>
        <w:overflowPunct w:val="0"/>
        <w:autoSpaceDE w:val="0"/>
        <w:autoSpaceDN w:val="0"/>
        <w:adjustRightInd w:val="0"/>
        <w:snapToGrid w:val="0"/>
        <w:spacing w:line="360" w:lineRule="auto"/>
        <w:jc w:val="left"/>
        <w:textAlignment w:val="baseline"/>
        <w:outlineLvl w:val="0"/>
        <w:rPr>
          <w:rFonts w:ascii="宋体" w:hAnsi="宋体" w:cs="仿宋"/>
          <w:b/>
          <w:kern w:val="0"/>
          <w:sz w:val="24"/>
        </w:rPr>
      </w:pPr>
      <w:r>
        <w:rPr>
          <w:rFonts w:hint="eastAsia" w:ascii="宋体" w:hAnsi="宋体" w:cs="仿宋"/>
          <w:b/>
          <w:kern w:val="0"/>
          <w:sz w:val="24"/>
        </w:rPr>
        <w:t>第三标段配置：5米9级纯电动城市客车（微公交）48台，具体技术参数及需求配置如下表:</w:t>
      </w:r>
    </w:p>
    <w:tbl>
      <w:tblPr>
        <w:tblStyle w:val="42"/>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2261" w:type="dxa"/>
            <w:tcBorders>
              <w:tl2br w:val="single" w:color="auto" w:sz="4" w:space="0"/>
            </w:tcBorders>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 xml:space="preserve">      车   型</w:t>
            </w:r>
          </w:p>
          <w:p>
            <w:pPr>
              <w:adjustRightInd w:val="0"/>
              <w:snapToGrid w:val="0"/>
              <w:spacing w:line="360" w:lineRule="exact"/>
              <w:rPr>
                <w:rFonts w:ascii="宋体" w:hAnsi="宋体" w:cs="仿宋"/>
                <w:b/>
                <w:sz w:val="24"/>
              </w:rPr>
            </w:pPr>
            <w:r>
              <w:rPr>
                <w:rFonts w:hint="eastAsia" w:ascii="宋体" w:hAnsi="宋体" w:cs="仿宋"/>
                <w:b/>
                <w:sz w:val="24"/>
              </w:rPr>
              <w:t>项      目</w:t>
            </w:r>
          </w:p>
        </w:tc>
        <w:tc>
          <w:tcPr>
            <w:tcW w:w="7135" w:type="dxa"/>
            <w:vAlign w:val="center"/>
          </w:tcPr>
          <w:p>
            <w:pPr>
              <w:adjustRightInd w:val="0"/>
              <w:snapToGrid w:val="0"/>
              <w:spacing w:line="320" w:lineRule="exact"/>
              <w:ind w:right="113"/>
              <w:jc w:val="center"/>
              <w:rPr>
                <w:rFonts w:ascii="宋体" w:hAnsi="宋体" w:cs="仿宋"/>
                <w:bCs/>
                <w:sz w:val="24"/>
              </w:rPr>
            </w:pPr>
            <w:r>
              <w:rPr>
                <w:rFonts w:hint="eastAsia" w:ascii="宋体" w:hAnsi="宋体" w:cs="仿宋"/>
                <w:b/>
                <w:sz w:val="24"/>
              </w:rPr>
              <w:t>5米9级纯电动城市客车（微公交）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1" w:type="dxa"/>
            <w:vAlign w:val="center"/>
          </w:tcPr>
          <w:p>
            <w:pPr>
              <w:adjustRightInd w:val="0"/>
              <w:snapToGrid w:val="0"/>
              <w:spacing w:line="360" w:lineRule="exact"/>
              <w:jc w:val="center"/>
              <w:rPr>
                <w:rFonts w:ascii="宋体" w:hAnsi="宋体" w:cs="仿宋"/>
                <w:b/>
                <w:sz w:val="24"/>
              </w:rPr>
            </w:pPr>
            <w:r>
              <w:rPr>
                <w:rFonts w:hint="eastAsia" w:ascii="宋体" w:hAnsi="宋体" w:cs="仿宋"/>
                <w:b/>
                <w:sz w:val="24"/>
              </w:rPr>
              <w:t>特      征</w:t>
            </w:r>
          </w:p>
        </w:tc>
        <w:tc>
          <w:tcPr>
            <w:tcW w:w="7135" w:type="dxa"/>
            <w:vAlign w:val="center"/>
          </w:tcPr>
          <w:p>
            <w:pPr>
              <w:adjustRightInd w:val="0"/>
              <w:snapToGrid w:val="0"/>
              <w:spacing w:line="360" w:lineRule="exact"/>
              <w:jc w:val="center"/>
              <w:rPr>
                <w:rFonts w:ascii="宋体" w:hAnsi="宋体" w:cs="仿宋"/>
                <w:b/>
                <w:sz w:val="24"/>
              </w:rPr>
            </w:pPr>
            <w:r>
              <w:rPr>
                <w:rFonts w:hint="eastAsia" w:ascii="宋体" w:hAnsi="宋体" w:cs="仿宋"/>
                <w:bCs/>
                <w:sz w:val="24"/>
              </w:rPr>
              <w:t>纯电动</w:t>
            </w:r>
            <w:r>
              <w:rPr>
                <w:rFonts w:hint="eastAsia" w:ascii="宋体" w:hAnsi="宋体" w:cs="仿宋"/>
                <w:bCs/>
                <w:spacing w:val="-8"/>
                <w:sz w:val="24"/>
              </w:rPr>
              <w:t>、</w:t>
            </w:r>
            <w:r>
              <w:rPr>
                <w:rFonts w:hint="eastAsia" w:ascii="宋体" w:hAnsi="宋体" w:cs="仿宋"/>
                <w:bCs/>
                <w:sz w:val="24"/>
              </w:rPr>
              <w:t>电动空调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 xml:space="preserve">一．主要技术参数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1．尺寸参数（mm）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长 (mm)</w:t>
            </w:r>
          </w:p>
        </w:tc>
        <w:tc>
          <w:tcPr>
            <w:tcW w:w="7135" w:type="dxa"/>
            <w:vAlign w:val="center"/>
          </w:tcPr>
          <w:p>
            <w:pPr>
              <w:adjustRightInd w:val="0"/>
              <w:snapToGrid w:val="0"/>
              <w:spacing w:line="360" w:lineRule="exact"/>
              <w:jc w:val="center"/>
              <w:rPr>
                <w:rFonts w:ascii="宋体" w:hAnsi="宋体" w:cs="仿宋"/>
                <w:bCs/>
                <w:sz w:val="24"/>
              </w:rPr>
            </w:pPr>
            <w:r>
              <w:rPr>
                <w:rFonts w:hint="eastAsia" w:ascii="宋体" w:hAnsi="宋体" w:cs="仿宋"/>
                <w:bCs/>
                <w:sz w:val="24"/>
              </w:rPr>
              <w:t>5800mm（含本数）--5999mm（含本数）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宽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 xml:space="preserve"> ≥2000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总    高 (mm)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≥2700</w:t>
            </w:r>
            <w:r>
              <w:rPr>
                <w:rFonts w:hint="eastAsia" w:ascii="宋体" w:hAnsi="宋体" w:cs="仿宋"/>
                <w:bCs/>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jc w:val="left"/>
              <w:rPr>
                <w:rFonts w:ascii="宋体" w:hAnsi="宋体" w:cs="仿宋"/>
                <w:b/>
                <w:bCs/>
                <w:sz w:val="24"/>
              </w:rPr>
            </w:pPr>
            <w:r>
              <w:rPr>
                <w:rFonts w:hint="eastAsia" w:ascii="宋体" w:hAnsi="宋体" w:cs="仿宋"/>
                <w:b/>
                <w:bCs/>
                <w:sz w:val="24"/>
              </w:rPr>
              <w:t>2．载客数人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最大载客数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≤19人（以投标车型工信部公告目录为准）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ind w:firstLine="480" w:firstLineChars="200"/>
              <w:rPr>
                <w:rFonts w:ascii="宋体" w:hAnsi="宋体" w:cs="仿宋"/>
                <w:sz w:val="24"/>
              </w:rPr>
            </w:pPr>
            <w:r>
              <w:rPr>
                <w:rFonts w:hint="eastAsia" w:ascii="宋体" w:hAnsi="宋体" w:cs="仿宋"/>
                <w:sz w:val="24"/>
              </w:rPr>
              <w:t>最大座位数</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按投标车型工信部公告目录为准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3．性  能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出厂最高车速    km/h</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最大爬度    ％</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61" w:type="dxa"/>
            <w:vAlign w:val="center"/>
          </w:tcPr>
          <w:p>
            <w:pPr>
              <w:adjustRightInd w:val="0"/>
              <w:snapToGrid w:val="0"/>
              <w:spacing w:line="360" w:lineRule="exact"/>
              <w:rPr>
                <w:rFonts w:ascii="宋体" w:hAnsi="宋体" w:cs="仿宋"/>
                <w:sz w:val="24"/>
              </w:rPr>
            </w:pPr>
            <w:r>
              <w:rPr>
                <w:rFonts w:hint="eastAsia" w:ascii="宋体" w:hAnsi="宋体" w:cs="仿宋"/>
                <w:sz w:val="24"/>
              </w:rPr>
              <w:t>最大制动距离（满载30km/h初速）m</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驻坡能力</w:t>
            </w:r>
          </w:p>
        </w:tc>
        <w:tc>
          <w:tcPr>
            <w:tcW w:w="7135"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整车应可靠地在15%坡道上停稳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61" w:type="dxa"/>
            <w:vAlign w:val="center"/>
          </w:tcPr>
          <w:p>
            <w:pPr>
              <w:jc w:val="left"/>
              <w:rPr>
                <w:rFonts w:ascii="宋体" w:hAnsi="宋体" w:cs="仿宋"/>
                <w:sz w:val="24"/>
              </w:rPr>
            </w:pPr>
            <w:r>
              <w:rPr>
                <w:rFonts w:hint="eastAsia" w:ascii="宋体" w:hAnsi="宋体" w:cs="仿宋"/>
                <w:sz w:val="24"/>
              </w:rPr>
              <w:t>一级踏步离地高度(mm)</w:t>
            </w:r>
          </w:p>
        </w:tc>
        <w:tc>
          <w:tcPr>
            <w:tcW w:w="7135" w:type="dxa"/>
            <w:vAlign w:val="center"/>
          </w:tcPr>
          <w:p>
            <w:pPr>
              <w:ind w:firstLine="105"/>
              <w:jc w:val="center"/>
              <w:rPr>
                <w:rFonts w:ascii="宋体" w:hAnsi="宋体" w:cs="仿宋"/>
                <w:sz w:val="24"/>
              </w:rPr>
            </w:pPr>
            <w:r>
              <w:rPr>
                <w:rFonts w:hint="eastAsia" w:ascii="宋体" w:hAnsi="宋体" w:cs="仿宋"/>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261" w:type="dxa"/>
            <w:vAlign w:val="center"/>
          </w:tcPr>
          <w:p>
            <w:pPr>
              <w:jc w:val="left"/>
              <w:rPr>
                <w:rFonts w:ascii="宋体" w:hAnsi="宋体" w:cs="仿宋"/>
                <w:sz w:val="24"/>
              </w:rPr>
            </w:pPr>
            <w:r>
              <w:rPr>
                <w:rFonts w:hint="eastAsia" w:ascii="宋体" w:hAnsi="宋体" w:cs="仿宋"/>
                <w:sz w:val="24"/>
              </w:rPr>
              <w:t>整车安全涉水深度（mm)</w:t>
            </w:r>
          </w:p>
        </w:tc>
        <w:tc>
          <w:tcPr>
            <w:tcW w:w="7135" w:type="dxa"/>
            <w:vAlign w:val="center"/>
          </w:tcPr>
          <w:p>
            <w:pPr>
              <w:jc w:val="center"/>
              <w:rPr>
                <w:rFonts w:ascii="宋体" w:hAnsi="宋体" w:cs="仿宋"/>
                <w:sz w:val="24"/>
              </w:rPr>
            </w:pPr>
            <w:r>
              <w:rPr>
                <w:rFonts w:hint="eastAsia" w:ascii="宋体" w:hAnsi="宋体" w:cs="仿宋"/>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60" w:lineRule="exact"/>
              <w:rPr>
                <w:rFonts w:ascii="宋体" w:hAnsi="宋体" w:cs="仿宋"/>
                <w:b/>
                <w:bCs/>
                <w:sz w:val="24"/>
              </w:rPr>
            </w:pPr>
            <w:r>
              <w:rPr>
                <w:rFonts w:hint="eastAsia" w:ascii="宋体" w:hAnsi="宋体" w:cs="仿宋"/>
                <w:b/>
                <w:bCs/>
                <w:sz w:val="24"/>
              </w:rPr>
              <w:t>二、主要总成和系统的结构特征与参数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1.三电系统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bCs/>
                <w:sz w:val="24"/>
              </w:rPr>
              <w:t>▲</w:t>
            </w:r>
            <w:r>
              <w:rPr>
                <w:rFonts w:hint="eastAsia" w:ascii="宋体" w:hAnsi="宋体" w:cs="仿宋"/>
                <w:sz w:val="24"/>
              </w:rPr>
              <w:t>动力电池</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1.提供投标车型的电池容量。以投标车型《新能源汽车推广应用推荐车型目录》技术参数数据为准。</w:t>
            </w:r>
          </w:p>
          <w:p>
            <w:pPr>
              <w:adjustRightInd w:val="0"/>
              <w:snapToGrid w:val="0"/>
              <w:spacing w:line="320" w:lineRule="exact"/>
              <w:jc w:val="left"/>
              <w:rPr>
                <w:rFonts w:ascii="宋体" w:hAnsi="宋体" w:cs="仿宋"/>
                <w:sz w:val="24"/>
              </w:rPr>
            </w:pPr>
            <w:r>
              <w:rPr>
                <w:rFonts w:hint="eastAsia" w:ascii="宋体" w:hAnsi="宋体" w:cs="仿宋"/>
                <w:sz w:val="24"/>
              </w:rPr>
              <w:t>2.采用磷酸铁锂电极材料的行业知名品牌。</w:t>
            </w:r>
          </w:p>
          <w:p>
            <w:pPr>
              <w:adjustRightInd w:val="0"/>
              <w:snapToGrid w:val="0"/>
              <w:spacing w:line="320" w:lineRule="exact"/>
              <w:jc w:val="left"/>
              <w:rPr>
                <w:rFonts w:ascii="宋体" w:hAnsi="宋体" w:cs="仿宋"/>
                <w:sz w:val="24"/>
              </w:rPr>
            </w:pPr>
            <w:r>
              <w:rPr>
                <w:rFonts w:hint="eastAsia" w:ascii="宋体" w:hAnsi="宋体" w:cs="仿宋"/>
                <w:sz w:val="24"/>
              </w:rPr>
              <w:t>3.电池冷却采用液冷模式。</w:t>
            </w:r>
          </w:p>
          <w:p>
            <w:pPr>
              <w:adjustRightInd w:val="0"/>
              <w:snapToGrid w:val="0"/>
              <w:spacing w:line="320" w:lineRule="exact"/>
              <w:jc w:val="left"/>
              <w:rPr>
                <w:rFonts w:ascii="宋体" w:hAnsi="宋体" w:cs="仿宋"/>
                <w:sz w:val="24"/>
              </w:rPr>
            </w:pPr>
            <w:r>
              <w:rPr>
                <w:rFonts w:hint="eastAsia" w:ascii="宋体" w:hAnsi="宋体" w:cs="仿宋"/>
                <w:sz w:val="24"/>
              </w:rPr>
              <w:t>4.动力电池电芯和电池PACK为同一品牌产品。</w:t>
            </w:r>
          </w:p>
          <w:p>
            <w:pPr>
              <w:adjustRightInd w:val="0"/>
              <w:snapToGrid w:val="0"/>
              <w:spacing w:line="320" w:lineRule="exact"/>
              <w:jc w:val="left"/>
              <w:rPr>
                <w:rFonts w:ascii="宋体" w:hAnsi="宋体" w:cs="仿宋"/>
                <w:sz w:val="24"/>
              </w:rPr>
            </w:pPr>
            <w:r>
              <w:rPr>
                <w:rFonts w:hint="eastAsia" w:ascii="宋体" w:hAnsi="宋体" w:cs="仿宋"/>
                <w:sz w:val="24"/>
              </w:rPr>
              <w:t>5.采用直流充电模式，符合国家相关规定，与采购人现有充电桩对接，充电自动识别车辆功能。</w:t>
            </w:r>
          </w:p>
          <w:p>
            <w:pPr>
              <w:adjustRightInd w:val="0"/>
              <w:snapToGrid w:val="0"/>
              <w:spacing w:line="320" w:lineRule="exact"/>
              <w:jc w:val="left"/>
              <w:rPr>
                <w:rFonts w:ascii="宋体" w:hAnsi="宋体" w:cs="仿宋"/>
                <w:sz w:val="24"/>
              </w:rPr>
            </w:pPr>
            <w:r>
              <w:rPr>
                <w:rFonts w:hint="eastAsia" w:ascii="宋体" w:hAnsi="宋体" w:cs="仿宋"/>
                <w:sz w:val="24"/>
              </w:rPr>
              <w:t>6.符合国家安全性，并</w:t>
            </w:r>
            <w:r>
              <w:rPr>
                <w:rFonts w:hint="eastAsia" w:ascii="宋体" w:hAnsi="宋体" w:cs="仿宋"/>
                <w:b/>
                <w:bCs/>
                <w:sz w:val="24"/>
              </w:rPr>
              <w:t>在投标文件中提供试验检测合格报告，符合相关标准和规范</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7.整个电池系统及每组电池箱安装快断器，并设有故障报警装置。安装防撞保护装置，保护电池不因挤压发变形影响安全。</w:t>
            </w:r>
          </w:p>
          <w:p>
            <w:pPr>
              <w:adjustRightInd w:val="0"/>
              <w:snapToGrid w:val="0"/>
              <w:spacing w:line="320" w:lineRule="exact"/>
              <w:jc w:val="left"/>
              <w:rPr>
                <w:rFonts w:ascii="宋体" w:hAnsi="宋体" w:cs="仿宋"/>
                <w:sz w:val="24"/>
              </w:rPr>
            </w:pPr>
            <w:r>
              <w:rPr>
                <w:rFonts w:hint="eastAsia" w:ascii="宋体" w:hAnsi="宋体" w:cs="仿宋"/>
                <w:sz w:val="24"/>
              </w:rPr>
              <w:t>8.电池具备持续充电≥1C能力动力电池温度特性好，动力电池箱设置有效的散热机制，满足气温温度在-20℃～50℃之间及雨水多的天气使用环境要求。</w:t>
            </w:r>
          </w:p>
          <w:p>
            <w:pPr>
              <w:adjustRightInd w:val="0"/>
              <w:snapToGrid w:val="0"/>
              <w:spacing w:line="320" w:lineRule="exact"/>
              <w:jc w:val="left"/>
              <w:rPr>
                <w:rFonts w:ascii="宋体" w:hAnsi="宋体" w:cs="仿宋"/>
                <w:sz w:val="24"/>
              </w:rPr>
            </w:pPr>
            <w:r>
              <w:rPr>
                <w:rFonts w:hint="eastAsia" w:ascii="宋体" w:hAnsi="宋体" w:cs="仿宋"/>
                <w:sz w:val="24"/>
              </w:rPr>
              <w:t>9.采用新型电池系统均衡供电回路，依托电池系统唤醒功能，实现上电状态和停车下状态均可进行均衡，通过智能均衡策略在电池需要均衡且条件满足时，BMS自动执行均衡，每次均衡时间由BMS根据实际需求确定。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261" w:type="dxa"/>
            <w:vAlign w:val="center"/>
          </w:tcPr>
          <w:p>
            <w:pPr>
              <w:jc w:val="center"/>
              <w:rPr>
                <w:rFonts w:ascii="宋体" w:hAnsi="宋体" w:cs="仿宋"/>
                <w:sz w:val="24"/>
              </w:rPr>
            </w:pPr>
            <w:r>
              <w:rPr>
                <w:rFonts w:hint="eastAsia" w:ascii="宋体" w:hAnsi="宋体" w:cs="仿宋"/>
                <w:sz w:val="24"/>
              </w:rPr>
              <w:t>电池总容量及续航里程</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整车电池总容量≥89kwh，满足招标方公交线路运行需求，在预留20%的电池安全电量后，在台州地区综合路况的情况下，空调开启制冷模式、车辆满载情况下实际续航里程≥150km。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60" w:lineRule="exact"/>
              <w:jc w:val="center"/>
              <w:rPr>
                <w:rFonts w:ascii="宋体" w:hAnsi="宋体" w:cs="仿宋"/>
                <w:sz w:val="24"/>
              </w:rPr>
            </w:pPr>
            <w:r>
              <w:rPr>
                <w:rFonts w:hint="eastAsia" w:ascii="宋体" w:hAnsi="宋体" w:cs="仿宋"/>
                <w:sz w:val="24"/>
              </w:rPr>
              <w:t>电池布置形式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电池合理布置，做好车辆重量重心的均衡分布；与整车隔离，绝缘、防火隔热设计，多重熔断保护，整车高压分级预警系统，高压快断装置。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w:t>
            </w:r>
            <w:r>
              <w:rPr>
                <w:rFonts w:hint="eastAsia" w:ascii="宋体" w:hAnsi="宋体" w:cs="仿宋"/>
                <w:sz w:val="24"/>
              </w:rPr>
              <w:t>电池系统能量密度</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投标车型的电池系统能量密度≥136wh/kg（投标方以投标车型《新能源汽车推广应用推荐车型目录》技术参数数据为准，</w:t>
            </w:r>
            <w:r>
              <w:rPr>
                <w:rFonts w:hint="eastAsia" w:ascii="宋体" w:hAnsi="宋体" w:cs="仿宋"/>
                <w:b/>
                <w:sz w:val="24"/>
              </w:rPr>
              <w:t>并在投标文件中</w:t>
            </w:r>
            <w:r>
              <w:rPr>
                <w:rFonts w:hint="eastAsia" w:ascii="宋体" w:hAnsi="宋体" w:cs="仿宋"/>
                <w:b/>
                <w:bCs/>
                <w:sz w:val="24"/>
              </w:rPr>
              <w:t>提供目录</w:t>
            </w:r>
            <w:r>
              <w:rPr>
                <w:rFonts w:hint="eastAsia" w:ascii="宋体" w:hAnsi="宋体" w:cs="仿宋"/>
                <w:b/>
                <w:sz w:val="24"/>
              </w:rPr>
              <w:t>）</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能量衰减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bCs/>
                <w:sz w:val="24"/>
              </w:rPr>
              <w:t>▲</w:t>
            </w:r>
            <w:r>
              <w:rPr>
                <w:rFonts w:hint="eastAsia" w:ascii="宋体" w:hAnsi="宋体" w:cs="仿宋"/>
                <w:sz w:val="24"/>
              </w:rPr>
              <w:t>1.在质保期内投标人应委托电池原厂执行专业规范的电池定期维保服务，安全检查及性能检测、电池均衡保养等，并对有问题的电池进行临时检测，8年或60万公里内电池容量衰减超过20%，则须无条件免费更换原品牌新电池（</w:t>
            </w:r>
            <w:r>
              <w:rPr>
                <w:rFonts w:hint="eastAsia" w:ascii="宋体" w:hAnsi="宋体" w:cs="仿宋"/>
                <w:b/>
                <w:sz w:val="24"/>
              </w:rPr>
              <w:t>由配套产品厂家和车辆制造厂家在标书内共同书面承诺，产生费用由中标方负责</w:t>
            </w:r>
            <w:r>
              <w:rPr>
                <w:rFonts w:hint="eastAsia" w:ascii="宋体" w:hAnsi="宋体" w:cs="仿宋"/>
                <w:bCs/>
                <w:sz w:val="24"/>
              </w:rPr>
              <w:t>）</w:t>
            </w:r>
            <w:r>
              <w:rPr>
                <w:rFonts w:hint="eastAsia" w:ascii="宋体" w:hAnsi="宋体" w:cs="仿宋"/>
                <w:sz w:val="24"/>
              </w:rPr>
              <w:t>。</w:t>
            </w:r>
          </w:p>
          <w:p>
            <w:pPr>
              <w:adjustRightInd w:val="0"/>
              <w:snapToGrid w:val="0"/>
              <w:spacing w:line="320" w:lineRule="exact"/>
              <w:jc w:val="left"/>
              <w:rPr>
                <w:rFonts w:ascii="宋体" w:hAnsi="宋体" w:cs="仿宋"/>
                <w:sz w:val="24"/>
              </w:rPr>
            </w:pPr>
            <w:r>
              <w:rPr>
                <w:rFonts w:hint="eastAsia" w:ascii="宋体" w:hAnsi="宋体" w:cs="仿宋"/>
                <w:sz w:val="24"/>
              </w:rPr>
              <w:t>2.电池、充放电系统和充电插座总成等免费质保8年（含工时、易损、易耗件）。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动力电池回收模式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人和动力电池厂家必须根据国家相关政策和环保法规对维修更换和车辆报废动力电池（含维修等所有费用）进行免费环保回收处理（如车辆报废时有专门要求的除外），采购人根据车辆使用报废情况通知投标人，投标人应当在接到通知30日内回收处理并提供环保处理证明。采购人保留动力电池的最终处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控制系统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1.高压电控系统（包括但不限于高压配电柜、DC/DC、电动助力转向控制器、驱动电机控制器等）均采用优质控制器，气制动的车辆还应包括空压机控制器，质保8年（含工时、易损、易耗件）。</w:t>
            </w:r>
          </w:p>
          <w:p>
            <w:pPr>
              <w:adjustRightInd w:val="0"/>
              <w:snapToGrid w:val="0"/>
              <w:spacing w:line="320" w:lineRule="exact"/>
              <w:jc w:val="left"/>
              <w:rPr>
                <w:rFonts w:ascii="宋体" w:hAnsi="宋体" w:cs="仿宋"/>
                <w:sz w:val="24"/>
              </w:rPr>
            </w:pPr>
            <w:r>
              <w:rPr>
                <w:rFonts w:hint="eastAsia" w:ascii="宋体" w:hAnsi="宋体" w:cs="仿宋"/>
                <w:sz w:val="24"/>
              </w:rPr>
              <w:t>2.提供投标车型的控制系统详细资料。电池管理系统（BMS）可以监控每个单体的电压、电流，并有采用均衡技术，满足各种极端工况要求。采用集成式控制器。</w:t>
            </w:r>
          </w:p>
          <w:p>
            <w:pPr>
              <w:adjustRightInd w:val="0"/>
              <w:snapToGrid w:val="0"/>
              <w:spacing w:line="320" w:lineRule="exact"/>
              <w:jc w:val="left"/>
              <w:rPr>
                <w:rFonts w:ascii="宋体" w:hAnsi="宋体" w:cs="仿宋"/>
                <w:sz w:val="24"/>
              </w:rPr>
            </w:pPr>
            <w:r>
              <w:rPr>
                <w:rFonts w:hint="eastAsia" w:ascii="宋体" w:hAnsi="宋体" w:cs="仿宋"/>
                <w:sz w:val="24"/>
              </w:rPr>
              <w:t>3.高压配电箱采用集中配电方式，具有多路保护电路，内置高压接触器、高压熔断器、绝缘检测板等；须匹配MSD开关，保证维护安全；须具有高压互锁功能，保证端子松动时，能够断开高压；须内置预充电路；须内置绝缘检测电路，具有漏电保护功能；须具有充电保护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sz w:val="24"/>
              </w:rPr>
              <w:t>整车电气安全性</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高压电缆，采用耐高温的辐照阻燃耐高压电动车辆专用电缆，具有屏蔽层，耐压≥700V。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adjustRightInd w:val="0"/>
              <w:snapToGrid w:val="0"/>
              <w:spacing w:line="320" w:lineRule="exact"/>
              <w:ind w:right="113"/>
              <w:jc w:val="center"/>
              <w:rPr>
                <w:rFonts w:ascii="宋体" w:hAnsi="宋体" w:cs="仿宋"/>
                <w:b/>
                <w:bCs/>
                <w:sz w:val="24"/>
              </w:rPr>
            </w:pPr>
            <w:r>
              <w:rPr>
                <w:rFonts w:hint="eastAsia" w:ascii="宋体" w:hAnsi="宋体" w:cs="仿宋"/>
                <w:sz w:val="24"/>
              </w:rPr>
              <w:t>驱动电机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1.采用水冷永磁同步电机，额定功率≥50KW</w:t>
            </w:r>
            <w:r>
              <w:rPr>
                <w:rFonts w:hint="eastAsia" w:ascii="宋体" w:hAnsi="宋体" w:cs="仿宋"/>
                <w:b/>
                <w:sz w:val="24"/>
              </w:rPr>
              <w:t>（在投标文件中提供</w:t>
            </w:r>
            <w:r>
              <w:rPr>
                <w:rFonts w:hint="eastAsia" w:ascii="宋体" w:hAnsi="宋体" w:cs="仿宋"/>
                <w:b/>
                <w:bCs/>
                <w:sz w:val="24"/>
              </w:rPr>
              <w:t>厂家车辆公告页</w:t>
            </w:r>
            <w:r>
              <w:rPr>
                <w:rFonts w:hint="eastAsia" w:ascii="宋体" w:hAnsi="宋体" w:cs="仿宋"/>
                <w:b/>
                <w:sz w:val="24"/>
              </w:rPr>
              <w:t>）。</w:t>
            </w:r>
          </w:p>
          <w:p>
            <w:pPr>
              <w:adjustRightInd w:val="0"/>
              <w:snapToGrid w:val="0"/>
              <w:spacing w:line="320" w:lineRule="exact"/>
              <w:jc w:val="left"/>
              <w:rPr>
                <w:rFonts w:ascii="宋体" w:hAnsi="宋体" w:cs="仿宋"/>
                <w:sz w:val="24"/>
              </w:rPr>
            </w:pPr>
            <w:r>
              <w:rPr>
                <w:rFonts w:hint="eastAsia" w:ascii="宋体" w:hAnsi="宋体" w:cs="仿宋"/>
                <w:sz w:val="24"/>
              </w:rPr>
              <w:t>2. 无级变速，驱动电机具备缓速功能，同时具有能量回收功能。</w:t>
            </w:r>
          </w:p>
          <w:p>
            <w:pPr>
              <w:adjustRightInd w:val="0"/>
              <w:snapToGrid w:val="0"/>
              <w:spacing w:line="320" w:lineRule="exact"/>
              <w:jc w:val="left"/>
              <w:rPr>
                <w:rFonts w:ascii="宋体" w:hAnsi="宋体" w:cs="仿宋"/>
                <w:sz w:val="24"/>
              </w:rPr>
            </w:pPr>
            <w:r>
              <w:rPr>
                <w:rFonts w:hint="eastAsia" w:ascii="宋体" w:hAnsi="宋体" w:cs="仿宋"/>
                <w:sz w:val="24"/>
              </w:rPr>
              <w:t>3.电机防护等级：IP67或以上防护等级。</w:t>
            </w:r>
          </w:p>
          <w:p>
            <w:pPr>
              <w:adjustRightInd w:val="0"/>
              <w:snapToGrid w:val="0"/>
              <w:spacing w:line="320" w:lineRule="exact"/>
              <w:jc w:val="left"/>
              <w:rPr>
                <w:rFonts w:ascii="宋体" w:hAnsi="宋体" w:cs="仿宋"/>
                <w:sz w:val="24"/>
              </w:rPr>
            </w:pPr>
            <w:r>
              <w:rPr>
                <w:rFonts w:hint="eastAsia" w:ascii="宋体" w:hAnsi="宋体" w:cs="仿宋"/>
                <w:sz w:val="24"/>
              </w:rPr>
              <w:t>4.电机冷却系统采用电子智能冷却控制系统。</w:t>
            </w:r>
          </w:p>
          <w:p>
            <w:pPr>
              <w:adjustRightInd w:val="0"/>
              <w:snapToGrid w:val="0"/>
              <w:spacing w:line="320" w:lineRule="exact"/>
              <w:jc w:val="left"/>
              <w:rPr>
                <w:rFonts w:ascii="宋体" w:hAnsi="宋体" w:cs="仿宋"/>
                <w:sz w:val="24"/>
              </w:rPr>
            </w:pPr>
            <w:r>
              <w:rPr>
                <w:rFonts w:hint="eastAsia" w:ascii="宋体" w:hAnsi="宋体" w:cs="仿宋"/>
                <w:sz w:val="24"/>
              </w:rPr>
              <w:t>5.免费质保8年（含工时及易损、易耗件）。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2.小三电系统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sz w:val="24"/>
              </w:rPr>
              <w:t>冷却系统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1.配纯电动专用ATS智能冷却系统，采用进口无刷电机、风扇，CAN总线读取ECU等相关车辆信息，带系统应急启动插头，铜质或铝制散热器。</w:t>
            </w:r>
          </w:p>
          <w:p>
            <w:pPr>
              <w:adjustRightInd w:val="0"/>
              <w:snapToGrid w:val="0"/>
              <w:spacing w:line="320" w:lineRule="exact"/>
              <w:jc w:val="left"/>
              <w:rPr>
                <w:rFonts w:ascii="宋体" w:hAnsi="宋体" w:cs="仿宋"/>
                <w:sz w:val="24"/>
              </w:rPr>
            </w:pPr>
            <w:r>
              <w:rPr>
                <w:rFonts w:hint="eastAsia" w:ascii="宋体" w:hAnsi="宋体" w:cs="仿宋"/>
                <w:sz w:val="24"/>
              </w:rPr>
              <w:t>2.采用自动电子水泵，功率适用车辆使用。</w:t>
            </w:r>
          </w:p>
          <w:p>
            <w:pPr>
              <w:adjustRightInd w:val="0"/>
              <w:snapToGrid w:val="0"/>
              <w:spacing w:line="320" w:lineRule="exact"/>
              <w:jc w:val="left"/>
              <w:rPr>
                <w:rFonts w:ascii="宋体" w:hAnsi="宋体" w:cs="仿宋"/>
                <w:sz w:val="24"/>
              </w:rPr>
            </w:pPr>
            <w:r>
              <w:rPr>
                <w:rFonts w:hint="eastAsia" w:ascii="宋体" w:hAnsi="宋体" w:cs="仿宋"/>
                <w:sz w:val="24"/>
              </w:rPr>
              <w:t>3.免费质保8年（含工时及易损、易耗件）。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1" w:type="dxa"/>
            <w:vAlign w:val="center"/>
          </w:tcPr>
          <w:p>
            <w:pPr>
              <w:jc w:val="center"/>
              <w:rPr>
                <w:rFonts w:ascii="宋体" w:hAnsi="宋体" w:cs="仿宋"/>
                <w:sz w:val="24"/>
              </w:rPr>
            </w:pPr>
            <w:r>
              <w:rPr>
                <w:rFonts w:hint="eastAsia" w:ascii="宋体" w:hAnsi="宋体" w:cs="仿宋"/>
                <w:bCs/>
                <w:sz w:val="24"/>
              </w:rPr>
              <w:t>电驱空气压缩机（仅对气制动车型要求）</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1.无油活塞式空压机、轻量、环保静音。</w:t>
            </w:r>
          </w:p>
          <w:p>
            <w:pPr>
              <w:adjustRightInd w:val="0"/>
              <w:snapToGrid w:val="0"/>
              <w:spacing w:line="320" w:lineRule="exact"/>
              <w:jc w:val="left"/>
              <w:rPr>
                <w:rFonts w:ascii="宋体" w:hAnsi="宋体" w:cs="仿宋"/>
                <w:sz w:val="24"/>
              </w:rPr>
            </w:pPr>
            <w:r>
              <w:rPr>
                <w:rFonts w:hint="eastAsia" w:ascii="宋体" w:hAnsi="宋体" w:cs="仿宋"/>
                <w:sz w:val="24"/>
              </w:rPr>
              <w:t>2.采用板簧悬架的，要求空压机额定功率≥</w:t>
            </w:r>
            <w:r>
              <w:rPr>
                <w:rFonts w:ascii="宋体" w:hAnsi="宋体" w:cs="仿宋"/>
                <w:sz w:val="24"/>
              </w:rPr>
              <w:t>1.8KW</w:t>
            </w:r>
            <w:r>
              <w:rPr>
                <w:rFonts w:hint="eastAsia" w:ascii="宋体" w:hAnsi="宋体" w:cs="仿宋"/>
                <w:sz w:val="24"/>
              </w:rPr>
              <w:t>，采用空气悬架的，要求空压机额定功率≥</w:t>
            </w:r>
            <w:r>
              <w:rPr>
                <w:rFonts w:ascii="宋体" w:hAnsi="宋体" w:cs="仿宋"/>
                <w:sz w:val="24"/>
              </w:rPr>
              <w:t>2.2KW</w:t>
            </w:r>
            <w:r>
              <w:rPr>
                <w:rFonts w:hint="eastAsia" w:ascii="宋体" w:hAnsi="宋体" w:cs="仿宋"/>
                <w:sz w:val="24"/>
              </w:rPr>
              <w:t>，满足车辆需求。</w:t>
            </w:r>
          </w:p>
          <w:p>
            <w:pPr>
              <w:adjustRightInd w:val="0"/>
              <w:snapToGrid w:val="0"/>
              <w:spacing w:line="320" w:lineRule="exact"/>
              <w:jc w:val="left"/>
              <w:rPr>
                <w:rFonts w:ascii="宋体" w:hAnsi="宋体" w:cs="仿宋"/>
                <w:sz w:val="24"/>
              </w:rPr>
            </w:pPr>
            <w:r>
              <w:rPr>
                <w:rFonts w:hint="eastAsia" w:ascii="宋体" w:hAnsi="宋体" w:cs="仿宋"/>
                <w:sz w:val="24"/>
              </w:rPr>
              <w:t>3.IP68防护等级认证， EMC电磁干扰认证。</w:t>
            </w:r>
          </w:p>
          <w:p>
            <w:pPr>
              <w:adjustRightInd w:val="0"/>
              <w:snapToGrid w:val="0"/>
              <w:spacing w:line="320" w:lineRule="exact"/>
              <w:jc w:val="left"/>
              <w:rPr>
                <w:rFonts w:ascii="宋体" w:hAnsi="宋体" w:cs="仿宋"/>
                <w:sz w:val="24"/>
              </w:rPr>
            </w:pPr>
            <w:r>
              <w:rPr>
                <w:rFonts w:hint="eastAsia" w:ascii="宋体" w:hAnsi="宋体" w:cs="仿宋"/>
                <w:sz w:val="24"/>
              </w:rPr>
              <w:t>4.免费质保8年（含保养及维修工时、易损、易耗件、空气滤芯等）。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61" w:type="dxa"/>
            <w:vAlign w:val="center"/>
          </w:tcPr>
          <w:p>
            <w:pPr>
              <w:jc w:val="center"/>
              <w:rPr>
                <w:rFonts w:ascii="宋体" w:hAnsi="宋体" w:cs="仿宋"/>
                <w:bCs/>
                <w:sz w:val="24"/>
              </w:rPr>
            </w:pPr>
            <w:r>
              <w:rPr>
                <w:rFonts w:hint="eastAsia" w:ascii="宋体" w:hAnsi="宋体" w:cs="仿宋"/>
                <w:bCs/>
                <w:sz w:val="24"/>
              </w:rPr>
              <w:t>应急保障</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1.确保动力电池发生突发故障时，蓄电池能够应急供电不小于30秒，具备CAN诊断故障功能（包括电动转向电机、液压油泵、控制器）。</w:t>
            </w:r>
          </w:p>
          <w:p>
            <w:pPr>
              <w:adjustRightInd w:val="0"/>
              <w:snapToGrid w:val="0"/>
              <w:spacing w:line="320" w:lineRule="exact"/>
              <w:jc w:val="left"/>
              <w:rPr>
                <w:rFonts w:ascii="宋体" w:hAnsi="宋体" w:cs="仿宋"/>
                <w:sz w:val="24"/>
              </w:rPr>
            </w:pPr>
            <w:r>
              <w:rPr>
                <w:rFonts w:hint="eastAsia" w:ascii="宋体" w:hAnsi="宋体" w:cs="仿宋"/>
                <w:sz w:val="24"/>
              </w:rPr>
              <w:t>2.车辆操作时杜绝系统发生与操作不符导致车辆失控情况，突发高压掉断电时仍可确保转向操作轻便，同时提供紧急报警及应急操作提示，不得出现突发断电致使方向失控或锁死现象。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b/>
                <w:sz w:val="24"/>
              </w:rPr>
            </w:pPr>
            <w:r>
              <w:rPr>
                <w:rFonts w:hint="eastAsia" w:ascii="宋体" w:hAnsi="宋体" w:cs="仿宋"/>
                <w:b/>
                <w:sz w:val="24"/>
              </w:rPr>
              <w:t>3.底盘系统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b/>
                <w:bCs/>
                <w:sz w:val="24"/>
              </w:rPr>
            </w:pPr>
            <w:r>
              <w:rPr>
                <w:rFonts w:hint="eastAsia" w:ascii="宋体" w:hAnsi="宋体" w:cs="仿宋"/>
                <w:bCs/>
                <w:sz w:val="24"/>
              </w:rPr>
              <w:t>转向系统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1.采用双源电动液压助力转向系统。</w:t>
            </w:r>
          </w:p>
          <w:p>
            <w:pPr>
              <w:adjustRightInd w:val="0"/>
              <w:snapToGrid w:val="0"/>
              <w:spacing w:line="320" w:lineRule="exact"/>
              <w:jc w:val="left"/>
              <w:rPr>
                <w:rFonts w:ascii="宋体" w:hAnsi="宋体" w:cs="仿宋"/>
                <w:b/>
                <w:bCs/>
                <w:sz w:val="24"/>
              </w:rPr>
            </w:pPr>
            <w:r>
              <w:rPr>
                <w:rFonts w:hint="eastAsia" w:ascii="宋体" w:hAnsi="宋体" w:cs="仿宋"/>
                <w:snapToGrid w:val="0"/>
                <w:kern w:val="0"/>
                <w:sz w:val="24"/>
              </w:rPr>
              <w:t>2.方向机、</w:t>
            </w:r>
            <w:r>
              <w:rPr>
                <w:rFonts w:hint="eastAsia" w:ascii="宋体" w:hAnsi="宋体" w:cs="仿宋"/>
                <w:sz w:val="24"/>
              </w:rPr>
              <w:t>双源电动液压转向助力泵</w:t>
            </w:r>
            <w:r>
              <w:rPr>
                <w:rFonts w:hint="eastAsia" w:ascii="宋体" w:hAnsi="宋体" w:cs="仿宋"/>
                <w:snapToGrid w:val="0"/>
                <w:kern w:val="0"/>
                <w:sz w:val="24"/>
              </w:rPr>
              <w:t>质保8年（含工时及易损、易耗件），</w:t>
            </w:r>
            <w:r>
              <w:rPr>
                <w:rFonts w:hint="eastAsia" w:ascii="宋体" w:hAnsi="宋体" w:cs="仿宋"/>
                <w:sz w:val="24"/>
              </w:rPr>
              <w:t>投标人须中标后10天内与配套产品厂家共同提交质保承诺书。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jc w:val="center"/>
              <w:rPr>
                <w:rFonts w:ascii="宋体" w:hAnsi="宋体" w:cs="仿宋"/>
                <w:sz w:val="24"/>
              </w:rPr>
            </w:pPr>
            <w:r>
              <w:rPr>
                <w:rFonts w:hint="eastAsia" w:ascii="宋体" w:hAnsi="宋体" w:cs="仿宋"/>
                <w:bCs/>
                <w:sz w:val="24"/>
              </w:rPr>
              <w:t>车桥</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1.前桥额定载荷≥2.5T；盘式制动器；免维护专用车桥，车桥必须与免维护轮毂总成相匹配，便于制动盘、制动蹄铁总成的拆卸和安装。</w:t>
            </w:r>
          </w:p>
          <w:p>
            <w:pPr>
              <w:adjustRightInd w:val="0"/>
              <w:snapToGrid w:val="0"/>
              <w:spacing w:line="320" w:lineRule="exact"/>
              <w:jc w:val="left"/>
              <w:rPr>
                <w:rFonts w:ascii="宋体" w:hAnsi="宋体" w:cs="仿宋"/>
                <w:sz w:val="24"/>
              </w:rPr>
            </w:pPr>
            <w:r>
              <w:rPr>
                <w:rFonts w:hint="eastAsia" w:ascii="宋体" w:hAnsi="宋体" w:cs="仿宋"/>
                <w:sz w:val="24"/>
              </w:rPr>
              <w:t>2.立轴、转向臂、转向节、摇臂等免费质保8年。</w:t>
            </w:r>
          </w:p>
          <w:p>
            <w:pPr>
              <w:adjustRightInd w:val="0"/>
              <w:snapToGrid w:val="0"/>
              <w:spacing w:line="320" w:lineRule="exact"/>
              <w:jc w:val="left"/>
              <w:rPr>
                <w:rFonts w:ascii="宋体" w:hAnsi="宋体" w:cs="仿宋"/>
                <w:sz w:val="24"/>
              </w:rPr>
            </w:pPr>
            <w:r>
              <w:rPr>
                <w:rFonts w:hint="eastAsia" w:ascii="宋体" w:hAnsi="宋体" w:cs="仿宋"/>
                <w:sz w:val="24"/>
              </w:rPr>
              <w:t>3.后桥额定载荷≥2.9T；采用集成电驱桥或新能源专用主减，免维护专用车桥，车桥必须与免维护轮毂总成相匹配，便于制动盘、制动蹄铁总成的拆卸和安装。</w:t>
            </w:r>
          </w:p>
          <w:p>
            <w:pPr>
              <w:adjustRightInd w:val="0"/>
              <w:snapToGrid w:val="0"/>
              <w:spacing w:line="320" w:lineRule="exact"/>
              <w:jc w:val="left"/>
              <w:rPr>
                <w:rFonts w:ascii="宋体" w:hAnsi="宋体" w:cs="仿宋"/>
                <w:sz w:val="24"/>
              </w:rPr>
            </w:pPr>
            <w:r>
              <w:rPr>
                <w:rFonts w:hint="eastAsia" w:ascii="宋体" w:hAnsi="宋体" w:cs="仿宋"/>
                <w:sz w:val="24"/>
              </w:rPr>
              <w:t>4.主减器、半轴、桥壳、免维护轮毂总成免费质保8年（含易损件）。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制动系统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采用气压制动或液压制动</w:t>
            </w:r>
          </w:p>
          <w:p>
            <w:pPr>
              <w:adjustRightInd w:val="0"/>
              <w:snapToGrid w:val="0"/>
              <w:spacing w:line="320" w:lineRule="exact"/>
              <w:jc w:val="left"/>
              <w:rPr>
                <w:rFonts w:ascii="宋体" w:hAnsi="宋体" w:cs="仿宋"/>
                <w:sz w:val="24"/>
              </w:rPr>
            </w:pPr>
            <w:r>
              <w:rPr>
                <w:rFonts w:hint="eastAsia" w:ascii="宋体" w:hAnsi="宋体" w:cs="仿宋"/>
                <w:sz w:val="24"/>
              </w:rPr>
              <w:t>1.气压制动要求：</w:t>
            </w:r>
          </w:p>
          <w:p>
            <w:pPr>
              <w:adjustRightInd w:val="0"/>
              <w:snapToGrid w:val="0"/>
              <w:spacing w:line="320" w:lineRule="exact"/>
              <w:jc w:val="left"/>
              <w:rPr>
                <w:rFonts w:ascii="宋体" w:hAnsi="宋体" w:cs="仿宋"/>
                <w:sz w:val="24"/>
              </w:rPr>
            </w:pPr>
            <w:r>
              <w:rPr>
                <w:rFonts w:hint="eastAsia" w:ascii="宋体" w:hAnsi="宋体" w:cs="仿宋"/>
                <w:sz w:val="24"/>
              </w:rPr>
              <w:t>①.采用双管路气制动，应有干燥冷却功能，并能自动排气净化油水；制动总阀的制动灯应安装继电器保护开关；要求总泵安装位置拆卸方便。</w:t>
            </w:r>
          </w:p>
          <w:p>
            <w:pPr>
              <w:adjustRightInd w:val="0"/>
              <w:snapToGrid w:val="0"/>
              <w:spacing w:line="320" w:lineRule="exact"/>
              <w:jc w:val="left"/>
              <w:rPr>
                <w:rFonts w:ascii="宋体" w:hAnsi="宋体" w:cs="仿宋"/>
                <w:sz w:val="24"/>
              </w:rPr>
            </w:pPr>
            <w:r>
              <w:rPr>
                <w:rFonts w:hint="eastAsia" w:ascii="宋体" w:hAnsi="宋体" w:cs="仿宋"/>
                <w:sz w:val="24"/>
              </w:rPr>
              <w:t>②.各类阀类采用国内优质品牌，制动管路采用优质钢管或尼龙管。</w:t>
            </w:r>
          </w:p>
          <w:p>
            <w:pPr>
              <w:adjustRightInd w:val="0"/>
              <w:snapToGrid w:val="0"/>
              <w:spacing w:line="320" w:lineRule="exact"/>
              <w:jc w:val="left"/>
              <w:rPr>
                <w:rFonts w:ascii="宋体" w:hAnsi="宋体" w:cs="仿宋"/>
                <w:sz w:val="24"/>
              </w:rPr>
            </w:pPr>
            <w:r>
              <w:rPr>
                <w:rFonts w:hint="eastAsia" w:ascii="宋体" w:hAnsi="宋体" w:cs="仿宋"/>
                <w:sz w:val="24"/>
              </w:rPr>
              <w:t>③.带ABS或EBS防抱死制动系统。</w:t>
            </w:r>
          </w:p>
          <w:p>
            <w:pPr>
              <w:adjustRightInd w:val="0"/>
              <w:snapToGrid w:val="0"/>
              <w:spacing w:line="320" w:lineRule="exact"/>
              <w:jc w:val="left"/>
              <w:rPr>
                <w:rFonts w:ascii="宋体" w:hAnsi="宋体" w:cs="仿宋"/>
                <w:sz w:val="24"/>
              </w:rPr>
            </w:pPr>
            <w:r>
              <w:rPr>
                <w:rFonts w:hint="eastAsia" w:ascii="宋体" w:hAnsi="宋体" w:cs="仿宋"/>
                <w:sz w:val="24"/>
              </w:rPr>
              <w:t>④.制动器采用前后盘式制动。</w:t>
            </w:r>
          </w:p>
          <w:p>
            <w:pPr>
              <w:adjustRightInd w:val="0"/>
              <w:snapToGrid w:val="0"/>
              <w:spacing w:line="320" w:lineRule="exact"/>
              <w:jc w:val="left"/>
              <w:rPr>
                <w:rFonts w:ascii="宋体" w:hAnsi="宋体" w:cs="仿宋"/>
                <w:sz w:val="24"/>
              </w:rPr>
            </w:pPr>
            <w:r>
              <w:rPr>
                <w:rFonts w:hint="eastAsia" w:ascii="宋体" w:hAnsi="宋体" w:cs="仿宋"/>
                <w:sz w:val="24"/>
              </w:rPr>
              <w:t>⑤.空气干燥罐、储气罐安装自动排水阀。</w:t>
            </w:r>
          </w:p>
          <w:p>
            <w:pPr>
              <w:adjustRightInd w:val="0"/>
              <w:snapToGrid w:val="0"/>
              <w:spacing w:line="320" w:lineRule="exact"/>
              <w:jc w:val="left"/>
              <w:rPr>
                <w:rFonts w:ascii="宋体" w:hAnsi="宋体" w:cs="仿宋"/>
                <w:sz w:val="24"/>
              </w:rPr>
            </w:pPr>
            <w:r>
              <w:rPr>
                <w:rFonts w:hint="eastAsia" w:ascii="宋体" w:hAnsi="宋体" w:cs="仿宋"/>
                <w:sz w:val="24"/>
              </w:rPr>
              <w:t>⑥.采用储能弹簧制动器，手控操纵。</w:t>
            </w:r>
          </w:p>
          <w:p>
            <w:pPr>
              <w:adjustRightInd w:val="0"/>
              <w:snapToGrid w:val="0"/>
              <w:spacing w:line="320" w:lineRule="exact"/>
              <w:jc w:val="left"/>
              <w:rPr>
                <w:rFonts w:ascii="宋体" w:hAnsi="宋体" w:cs="仿宋"/>
                <w:sz w:val="24"/>
              </w:rPr>
            </w:pPr>
            <w:r>
              <w:rPr>
                <w:rFonts w:hint="eastAsia" w:ascii="宋体" w:hAnsi="宋体" w:cs="仿宋"/>
                <w:sz w:val="24"/>
              </w:rPr>
              <w:t>⑦.车辆应有解除储能制动的外接气源快速接口，在车辆无气抛锚时，能方便接进气源，解除储能制动。</w:t>
            </w:r>
          </w:p>
          <w:p>
            <w:pPr>
              <w:adjustRightInd w:val="0"/>
              <w:snapToGrid w:val="0"/>
              <w:spacing w:line="320" w:lineRule="exact"/>
              <w:jc w:val="left"/>
              <w:rPr>
                <w:rFonts w:ascii="宋体" w:hAnsi="宋体" w:cs="仿宋"/>
                <w:sz w:val="24"/>
              </w:rPr>
            </w:pPr>
            <w:r>
              <w:rPr>
                <w:rFonts w:hint="eastAsia" w:ascii="宋体" w:hAnsi="宋体" w:cs="仿宋"/>
                <w:sz w:val="24"/>
              </w:rPr>
              <w:t>⑧.管路系统应进行保压试验，达到国家标准要求。</w:t>
            </w:r>
          </w:p>
          <w:p>
            <w:pPr>
              <w:adjustRightInd w:val="0"/>
              <w:snapToGrid w:val="0"/>
              <w:spacing w:line="320" w:lineRule="exact"/>
              <w:jc w:val="left"/>
              <w:rPr>
                <w:rFonts w:ascii="宋体" w:hAnsi="宋体" w:cs="仿宋"/>
                <w:sz w:val="24"/>
              </w:rPr>
            </w:pPr>
            <w:r>
              <w:rPr>
                <w:rFonts w:hint="eastAsia" w:ascii="宋体" w:hAnsi="宋体" w:cs="仿宋"/>
                <w:sz w:val="24"/>
              </w:rPr>
              <w:t>⑨.制动系低压报警灯、蜂鸣器集成于仪表，具备报警功能。</w:t>
            </w:r>
          </w:p>
          <w:p>
            <w:pPr>
              <w:adjustRightInd w:val="0"/>
              <w:snapToGrid w:val="0"/>
              <w:spacing w:line="320" w:lineRule="exact"/>
              <w:jc w:val="left"/>
              <w:rPr>
                <w:rFonts w:ascii="宋体" w:hAnsi="宋体" w:cs="仿宋"/>
                <w:sz w:val="24"/>
              </w:rPr>
            </w:pPr>
            <w:r>
              <w:rPr>
                <w:rFonts w:hint="eastAsia" w:ascii="宋体" w:hAnsi="宋体" w:cs="仿宋"/>
                <w:sz w:val="24"/>
              </w:rPr>
              <w:t>2.液压制动要求</w:t>
            </w:r>
          </w:p>
          <w:p>
            <w:pPr>
              <w:adjustRightInd w:val="0"/>
              <w:snapToGrid w:val="0"/>
              <w:spacing w:line="320" w:lineRule="exact"/>
              <w:jc w:val="left"/>
              <w:rPr>
                <w:rFonts w:ascii="宋体" w:hAnsi="宋体" w:cs="仿宋"/>
                <w:sz w:val="24"/>
              </w:rPr>
            </w:pPr>
            <w:r>
              <w:rPr>
                <w:rFonts w:hint="eastAsia" w:ascii="宋体" w:hAnsi="宋体" w:cs="仿宋"/>
                <w:sz w:val="24"/>
              </w:rPr>
              <w:t>①采用液压制动系统，带ABS或EBS防抱死制动系统。</w:t>
            </w:r>
          </w:p>
          <w:p>
            <w:pPr>
              <w:adjustRightInd w:val="0"/>
              <w:snapToGrid w:val="0"/>
              <w:spacing w:line="320" w:lineRule="exact"/>
              <w:jc w:val="left"/>
              <w:rPr>
                <w:rFonts w:ascii="宋体" w:hAnsi="宋体" w:cs="仿宋"/>
                <w:sz w:val="24"/>
              </w:rPr>
            </w:pPr>
            <w:r>
              <w:rPr>
                <w:rFonts w:hint="eastAsia" w:ascii="宋体" w:hAnsi="宋体" w:cs="仿宋"/>
                <w:sz w:val="24"/>
              </w:rPr>
              <w:t>②制动总泵制动灯线路中应安装继电器保护开关，在手动制动和脚制动同时作用时，具有电流过载保护功能。</w:t>
            </w:r>
          </w:p>
          <w:p>
            <w:pPr>
              <w:adjustRightInd w:val="0"/>
              <w:snapToGrid w:val="0"/>
              <w:spacing w:line="320" w:lineRule="exact"/>
              <w:jc w:val="left"/>
              <w:rPr>
                <w:rFonts w:ascii="宋体" w:hAnsi="宋体" w:cs="仿宋"/>
                <w:sz w:val="24"/>
              </w:rPr>
            </w:pPr>
            <w:r>
              <w:rPr>
                <w:rFonts w:hint="eastAsia" w:ascii="宋体" w:hAnsi="宋体" w:cs="仿宋"/>
                <w:sz w:val="24"/>
              </w:rPr>
              <w:t>③手刹后轮制动。</w:t>
            </w:r>
          </w:p>
          <w:p>
            <w:pPr>
              <w:adjustRightInd w:val="0"/>
              <w:snapToGrid w:val="0"/>
              <w:spacing w:line="320" w:lineRule="exact"/>
              <w:jc w:val="left"/>
              <w:rPr>
                <w:rFonts w:ascii="宋体" w:hAnsi="宋体" w:cs="仿宋"/>
                <w:sz w:val="24"/>
              </w:rPr>
            </w:pPr>
            <w:r>
              <w:rPr>
                <w:rFonts w:hint="eastAsia" w:ascii="宋体" w:hAnsi="宋体" w:cs="仿宋"/>
                <w:sz w:val="24"/>
              </w:rPr>
              <w:t>④管路系统应进行保压试验，达到国家标准要求。</w:t>
            </w:r>
          </w:p>
          <w:p>
            <w:pPr>
              <w:adjustRightInd w:val="0"/>
              <w:snapToGrid w:val="0"/>
              <w:spacing w:line="320" w:lineRule="exact"/>
              <w:jc w:val="left"/>
              <w:rPr>
                <w:rFonts w:ascii="宋体" w:hAnsi="宋体" w:cs="仿宋"/>
                <w:sz w:val="24"/>
              </w:rPr>
            </w:pPr>
            <w:r>
              <w:rPr>
                <w:rFonts w:hint="eastAsia" w:ascii="宋体" w:hAnsi="宋体" w:cs="仿宋"/>
                <w:sz w:val="24"/>
              </w:rPr>
              <w:t>3.集中润滑系统质保8年（含工时、易损件等）。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最大总质量、装备质量、载客量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投标车辆的最大总质量、整备质量、额定载客数等数据应与工业与信息化部发布的道路机动车辆生产企业及产品公告一致。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拖 车 钩</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拖车钩应坚固，保证拖车转弯时不碰擦外蒙皮，拖车钩的位置应满足在拖车时保持车辆左右转弯不损伤车体，方便托举和拖动。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悬 架</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1.要求一级踏步低入口。</w:t>
            </w:r>
          </w:p>
          <w:p>
            <w:pPr>
              <w:adjustRightInd w:val="0"/>
              <w:snapToGrid w:val="0"/>
              <w:spacing w:line="320" w:lineRule="exact"/>
              <w:jc w:val="left"/>
              <w:rPr>
                <w:rFonts w:ascii="宋体" w:hAnsi="宋体" w:cs="仿宋"/>
                <w:sz w:val="24"/>
              </w:rPr>
            </w:pPr>
            <w:r>
              <w:rPr>
                <w:rFonts w:hint="eastAsia" w:ascii="宋体" w:hAnsi="宋体" w:cs="仿宋"/>
                <w:sz w:val="24"/>
              </w:rPr>
              <w:t>2.悬架系统质保8年（含工时及易损、易耗件）。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宋体"/>
                <w:bCs/>
                <w:sz w:val="24"/>
              </w:rPr>
            </w:pPr>
            <w:r>
              <w:rPr>
                <w:rFonts w:hint="eastAsia" w:ascii="宋体" w:hAnsi="宋体" w:cs="宋体"/>
                <w:sz w:val="24"/>
              </w:rPr>
              <w:t>导乘机构</w:t>
            </w:r>
          </w:p>
        </w:tc>
        <w:tc>
          <w:tcPr>
            <w:tcW w:w="7135" w:type="dxa"/>
            <w:vAlign w:val="center"/>
          </w:tcPr>
          <w:p>
            <w:pPr>
              <w:adjustRightInd w:val="0"/>
              <w:snapToGrid w:val="0"/>
              <w:spacing w:line="320" w:lineRule="exact"/>
              <w:jc w:val="left"/>
              <w:rPr>
                <w:rFonts w:ascii="宋体" w:hAnsi="宋体" w:cs="宋体"/>
                <w:sz w:val="24"/>
              </w:rPr>
            </w:pPr>
            <w:r>
              <w:rPr>
                <w:rFonts w:hint="eastAsia" w:ascii="宋体" w:hAnsi="宋体" w:cs="宋体"/>
                <w:sz w:val="24"/>
              </w:rPr>
              <w:t>要求配置翻盖式残疾人员专用辅助导乘板一块，要求结构灵巧精致，固定方便，表面作防滑处理。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轮胎、轮辋</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1.公交专用子午线全钢真空胎。</w:t>
            </w:r>
          </w:p>
          <w:p>
            <w:pPr>
              <w:adjustRightInd w:val="0"/>
              <w:snapToGrid w:val="0"/>
              <w:spacing w:line="320" w:lineRule="exact"/>
              <w:jc w:val="left"/>
              <w:rPr>
                <w:rFonts w:ascii="宋体" w:hAnsi="宋体" w:cs="仿宋"/>
                <w:sz w:val="24"/>
              </w:rPr>
            </w:pPr>
            <w:r>
              <w:rPr>
                <w:rFonts w:hint="eastAsia" w:ascii="宋体" w:hAnsi="宋体" w:cs="仿宋"/>
                <w:sz w:val="24"/>
              </w:rPr>
              <w:t>2.铝合金轮辋（质保8年）。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车辆安全性</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1.要求具备驱动防滑功能，通过调节驱动车轮的牵引力实现对驱动车轮滑转的控制，保持最佳的驱动力。</w:t>
            </w:r>
          </w:p>
          <w:p>
            <w:pPr>
              <w:adjustRightInd w:val="0"/>
              <w:snapToGrid w:val="0"/>
              <w:spacing w:line="320" w:lineRule="exact"/>
              <w:rPr>
                <w:rFonts w:ascii="宋体" w:hAnsi="宋体" w:cs="仿宋"/>
                <w:sz w:val="24"/>
              </w:rPr>
            </w:pPr>
            <w:r>
              <w:rPr>
                <w:rFonts w:hint="eastAsia" w:ascii="宋体" w:hAnsi="宋体" w:cs="仿宋"/>
                <w:sz w:val="24"/>
              </w:rPr>
              <w:t>2.要求具备油门防误踩功能，通过判断油门踏板异常的速度和幅度，有效控制驱动力输出，提升行车安全性。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jc w:val="left"/>
              <w:rPr>
                <w:rFonts w:ascii="宋体" w:hAnsi="宋体" w:cs="仿宋"/>
                <w:sz w:val="24"/>
              </w:rPr>
            </w:pPr>
            <w:r>
              <w:rPr>
                <w:rFonts w:hint="eastAsia" w:ascii="宋体" w:hAnsi="宋体" w:cs="仿宋"/>
                <w:b/>
                <w:sz w:val="24"/>
              </w:rPr>
              <w:t>4.电气系统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电气线路设计安装要求</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整车电路设计符合车辆安全技术要求，所有电路应设置独立保护装置，空调线束和接插件必须使用进口优质线束及防水接插件，各连接线接头安装应确保防火阻燃性能达到国标A-OMM/Min，具体要求如下：</w:t>
            </w:r>
          </w:p>
          <w:p>
            <w:pPr>
              <w:adjustRightInd w:val="0"/>
              <w:snapToGrid w:val="0"/>
              <w:spacing w:line="320" w:lineRule="exact"/>
              <w:jc w:val="left"/>
              <w:rPr>
                <w:rFonts w:ascii="宋体" w:hAnsi="宋体" w:cs="仿宋"/>
                <w:sz w:val="24"/>
              </w:rPr>
            </w:pPr>
            <w:r>
              <w:rPr>
                <w:rFonts w:hint="eastAsia" w:ascii="宋体" w:hAnsi="宋体" w:cs="仿宋"/>
                <w:sz w:val="24"/>
              </w:rPr>
              <w:t>1.采用耐高温辐照阻燃电线（105</w:t>
            </w:r>
            <w:r>
              <w:rPr>
                <w:rFonts w:hint="eastAsia" w:ascii="宋体" w:hAnsi="宋体" w:cs="仿宋"/>
                <w:sz w:val="24"/>
                <w:vertAlign w:val="superscript"/>
              </w:rPr>
              <w:t>O</w:t>
            </w:r>
            <w:r>
              <w:rPr>
                <w:rFonts w:hint="eastAsia" w:ascii="宋体" w:hAnsi="宋体" w:cs="仿宋"/>
                <w:sz w:val="24"/>
              </w:rPr>
              <w:t>C以上）。导线允许的最大电流，要在根据用电设备计算出的最大电流基础上留有足够的安全系数。</w:t>
            </w:r>
          </w:p>
          <w:p>
            <w:pPr>
              <w:adjustRightInd w:val="0"/>
              <w:snapToGrid w:val="0"/>
              <w:spacing w:line="320" w:lineRule="exact"/>
              <w:jc w:val="left"/>
              <w:rPr>
                <w:rFonts w:ascii="宋体" w:hAnsi="宋体" w:cs="仿宋"/>
                <w:sz w:val="24"/>
              </w:rPr>
            </w:pPr>
            <w:r>
              <w:rPr>
                <w:rFonts w:hint="eastAsia" w:ascii="宋体" w:hAnsi="宋体" w:cs="仿宋"/>
                <w:sz w:val="24"/>
              </w:rPr>
              <w:t>2.各用电器线路设有相应的保险保护系统电气线路走向合理。导线应分色，有线号。线束要捆扎牢靠并有绝缘防护套，打有套号。</w:t>
            </w:r>
          </w:p>
          <w:p>
            <w:pPr>
              <w:adjustRightInd w:val="0"/>
              <w:snapToGrid w:val="0"/>
              <w:spacing w:line="320" w:lineRule="exact"/>
              <w:jc w:val="left"/>
              <w:rPr>
                <w:rFonts w:ascii="宋体" w:hAnsi="宋体" w:cs="仿宋"/>
                <w:sz w:val="24"/>
              </w:rPr>
            </w:pPr>
            <w:r>
              <w:rPr>
                <w:rFonts w:hint="eastAsia" w:ascii="宋体" w:hAnsi="宋体" w:cs="仿宋"/>
                <w:sz w:val="24"/>
              </w:rPr>
              <w:t>3.线束通过梁、板孔时，应有绝缘防护圈，与其它物体固定时要用尼龙扎带，不允许线束与油、气、水管捆扎在一起。</w:t>
            </w:r>
          </w:p>
          <w:p>
            <w:pPr>
              <w:adjustRightInd w:val="0"/>
              <w:snapToGrid w:val="0"/>
              <w:spacing w:line="320" w:lineRule="exact"/>
              <w:jc w:val="left"/>
              <w:rPr>
                <w:rFonts w:ascii="宋体" w:hAnsi="宋体" w:cs="仿宋"/>
                <w:sz w:val="24"/>
              </w:rPr>
            </w:pPr>
            <w:r>
              <w:rPr>
                <w:rFonts w:hint="eastAsia" w:ascii="宋体" w:hAnsi="宋体" w:cs="仿宋"/>
                <w:sz w:val="24"/>
              </w:rPr>
              <w:t>4.采用优质防水型电器插接件，插接件连接可靠，要有防插错措施。</w:t>
            </w:r>
          </w:p>
          <w:p>
            <w:pPr>
              <w:adjustRightInd w:val="0"/>
              <w:snapToGrid w:val="0"/>
              <w:spacing w:line="320" w:lineRule="exact"/>
              <w:jc w:val="left"/>
              <w:rPr>
                <w:rFonts w:ascii="宋体" w:hAnsi="宋体" w:cs="仿宋"/>
                <w:sz w:val="24"/>
              </w:rPr>
            </w:pPr>
            <w:r>
              <w:rPr>
                <w:rFonts w:hint="eastAsia" w:ascii="宋体" w:hAnsi="宋体" w:cs="仿宋"/>
                <w:sz w:val="24"/>
              </w:rPr>
              <w:t>5.保险、开关、继电器、灯泡工作可靠，耐用，开关等表面件还应美观。</w:t>
            </w:r>
          </w:p>
          <w:p>
            <w:pPr>
              <w:adjustRightInd w:val="0"/>
              <w:snapToGrid w:val="0"/>
              <w:spacing w:line="320" w:lineRule="exact"/>
              <w:jc w:val="left"/>
              <w:rPr>
                <w:rFonts w:ascii="宋体" w:hAnsi="宋体" w:cs="仿宋"/>
                <w:sz w:val="24"/>
              </w:rPr>
            </w:pPr>
            <w:r>
              <w:rPr>
                <w:rFonts w:hint="eastAsia" w:ascii="宋体" w:hAnsi="宋体" w:cs="仿宋"/>
                <w:sz w:val="24"/>
              </w:rPr>
              <w:t>6.中控器应防尘防水，安装在车厢内。</w:t>
            </w:r>
          </w:p>
          <w:p>
            <w:pPr>
              <w:adjustRightInd w:val="0"/>
              <w:snapToGrid w:val="0"/>
              <w:spacing w:line="320" w:lineRule="exact"/>
              <w:jc w:val="left"/>
              <w:rPr>
                <w:rFonts w:ascii="宋体" w:hAnsi="宋体" w:cs="仿宋"/>
                <w:sz w:val="24"/>
              </w:rPr>
            </w:pPr>
            <w:r>
              <w:rPr>
                <w:rFonts w:hint="eastAsia" w:ascii="宋体" w:hAnsi="宋体" w:cs="仿宋"/>
                <w:sz w:val="24"/>
              </w:rPr>
              <w:t>7.靠近电瓶处安装便于驾驶员操作的总电源机械开关。</w:t>
            </w:r>
          </w:p>
          <w:p>
            <w:pPr>
              <w:adjustRightInd w:val="0"/>
              <w:snapToGrid w:val="0"/>
              <w:spacing w:line="320" w:lineRule="exact"/>
              <w:jc w:val="left"/>
              <w:rPr>
                <w:rFonts w:ascii="宋体" w:hAnsi="宋体" w:cs="仿宋"/>
                <w:sz w:val="24"/>
              </w:rPr>
            </w:pPr>
            <w:r>
              <w:rPr>
                <w:rFonts w:hint="eastAsia" w:ascii="宋体" w:hAnsi="宋体" w:cs="仿宋"/>
                <w:sz w:val="24"/>
              </w:rPr>
              <w:t>8.全车线束及中央电器控制盒、电瓶线，线芯、阻燃性能符合国家标准。</w:t>
            </w:r>
          </w:p>
          <w:p>
            <w:pPr>
              <w:adjustRightInd w:val="0"/>
              <w:snapToGrid w:val="0"/>
              <w:spacing w:line="320" w:lineRule="exact"/>
              <w:jc w:val="left"/>
              <w:rPr>
                <w:rFonts w:ascii="宋体" w:hAnsi="宋体" w:cs="仿宋"/>
                <w:sz w:val="24"/>
              </w:rPr>
            </w:pPr>
            <w:r>
              <w:rPr>
                <w:rFonts w:hint="eastAsia" w:ascii="宋体" w:hAnsi="宋体" w:cs="仿宋"/>
                <w:sz w:val="24"/>
              </w:rPr>
              <w:t>9.蓄电池采用免维护锂电池，加装大容量熔断器；蓄电池能方便更换，锁止可靠，安装合理，质保8年（含易损易耗件）。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前后大小灯</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美观大方，便于维护。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转向指示灯开关</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除在方向盘下的组合开关外，在仪表台上再设一套翘板开关，两套应能并用。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前风窗玻璃刮水器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1.两速雨刮电机。</w:t>
            </w:r>
          </w:p>
          <w:p>
            <w:pPr>
              <w:adjustRightInd w:val="0"/>
              <w:snapToGrid w:val="0"/>
              <w:spacing w:line="320" w:lineRule="exact"/>
              <w:rPr>
                <w:rFonts w:ascii="宋体" w:hAnsi="宋体" w:cs="仿宋"/>
                <w:sz w:val="24"/>
              </w:rPr>
            </w:pPr>
            <w:r>
              <w:rPr>
                <w:rFonts w:hint="eastAsia" w:ascii="宋体" w:hAnsi="宋体" w:cs="仿宋"/>
                <w:sz w:val="24"/>
              </w:rPr>
              <w:t>2.刮臂和刮片长短与前风挡高度匹配良好，工作稳定可靠。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sz w:val="24"/>
              </w:rPr>
              <w:t>5.车身系统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承载要求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全承载，</w:t>
            </w:r>
            <w:r>
              <w:rPr>
                <w:rFonts w:hint="eastAsia" w:ascii="宋体" w:hAnsi="宋体" w:cs="仿宋"/>
                <w:b/>
                <w:sz w:val="24"/>
              </w:rPr>
              <w:t>在投标文件中</w:t>
            </w:r>
            <w:r>
              <w:rPr>
                <w:rFonts w:hint="eastAsia" w:ascii="宋体" w:hAnsi="宋体" w:cs="仿宋"/>
                <w:b/>
                <w:bCs/>
                <w:sz w:val="24"/>
              </w:rPr>
              <w:t>提供工信部汽车产品技术参数页</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防腐要求</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1.要求整车采用阴极电泳工艺或铝车身材质。</w:t>
            </w:r>
          </w:p>
          <w:p>
            <w:pPr>
              <w:adjustRightInd w:val="0"/>
              <w:snapToGrid w:val="0"/>
              <w:spacing w:line="320" w:lineRule="exact"/>
              <w:rPr>
                <w:rFonts w:ascii="宋体" w:hAnsi="宋体" w:cs="仿宋"/>
                <w:sz w:val="24"/>
              </w:rPr>
            </w:pPr>
            <w:r>
              <w:rPr>
                <w:rFonts w:hint="eastAsia" w:ascii="宋体" w:hAnsi="宋体" w:cs="仿宋"/>
                <w:sz w:val="24"/>
              </w:rPr>
              <w:t>2.整车蒙皮、骨架与地板等接合缝处采用聚氨酯密封胶进行密封防水防锈处理。</w:t>
            </w:r>
          </w:p>
          <w:p>
            <w:pPr>
              <w:adjustRightInd w:val="0"/>
              <w:snapToGrid w:val="0"/>
              <w:spacing w:line="320" w:lineRule="exact"/>
              <w:rPr>
                <w:rFonts w:ascii="宋体" w:hAnsi="宋体" w:cs="仿宋"/>
                <w:sz w:val="24"/>
              </w:rPr>
            </w:pPr>
            <w:r>
              <w:rPr>
                <w:rFonts w:hint="eastAsia" w:ascii="宋体" w:hAnsi="宋体" w:cs="仿宋"/>
                <w:sz w:val="24"/>
              </w:rPr>
              <w:t>3.整车防腐效果达到8年及以上。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车身舱门、前后轮拱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1.车身有左右侧边门的采用翻开式，机械锁和气压支撑杆检修门结构，并装有胶垫防震、检修门铰链。</w:t>
            </w:r>
          </w:p>
          <w:p>
            <w:pPr>
              <w:adjustRightInd w:val="0"/>
              <w:snapToGrid w:val="0"/>
              <w:spacing w:line="320" w:lineRule="exact"/>
              <w:rPr>
                <w:rFonts w:ascii="宋体" w:hAnsi="宋体" w:cs="仿宋"/>
                <w:sz w:val="24"/>
              </w:rPr>
            </w:pPr>
            <w:r>
              <w:rPr>
                <w:rFonts w:hint="eastAsia" w:ascii="宋体" w:hAnsi="宋体" w:cs="仿宋"/>
                <w:sz w:val="24"/>
              </w:rPr>
              <w:t>2.舱门美观牢固，开启方便，锁止可靠，门与车身蒙皮缝隙均匀，液压撑杆支撑力要满足支撑检修门要求，确保安全稳定，在侧围检修门和客车骨架之间增装保险绳（挂钩或钢丝绳或链）。</w:t>
            </w:r>
          </w:p>
          <w:p>
            <w:pPr>
              <w:adjustRightInd w:val="0"/>
              <w:snapToGrid w:val="0"/>
              <w:spacing w:line="320" w:lineRule="exact"/>
              <w:rPr>
                <w:rFonts w:ascii="宋体" w:hAnsi="宋体" w:cs="仿宋"/>
                <w:sz w:val="24"/>
              </w:rPr>
            </w:pPr>
            <w:r>
              <w:rPr>
                <w:rFonts w:hint="eastAsia" w:ascii="宋体" w:hAnsi="宋体" w:cs="仿宋"/>
                <w:sz w:val="24"/>
              </w:rPr>
              <w:t>3.为方便雨刷器等部件的检修与拆装，在客车前围处设置有专用检修门，凡需检修的部位都应开设工作门或检修窗。</w:t>
            </w:r>
          </w:p>
          <w:p>
            <w:pPr>
              <w:adjustRightInd w:val="0"/>
              <w:snapToGrid w:val="0"/>
              <w:spacing w:line="320" w:lineRule="exact"/>
              <w:rPr>
                <w:rFonts w:ascii="宋体" w:hAnsi="宋体" w:cs="仿宋"/>
                <w:sz w:val="24"/>
              </w:rPr>
            </w:pPr>
            <w:r>
              <w:rPr>
                <w:rFonts w:hint="eastAsia" w:ascii="宋体" w:hAnsi="宋体" w:cs="仿宋"/>
                <w:sz w:val="24"/>
              </w:rPr>
              <w:t>4.前后轮拱区域应有密封防腐处理，保证骨架不外露、不藏水，轮罩和挡泥板均喷阻尼胶。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车身色彩图案</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1.中标后由采购人确定。</w:t>
            </w:r>
          </w:p>
          <w:p>
            <w:pPr>
              <w:adjustRightInd w:val="0"/>
              <w:snapToGrid w:val="0"/>
              <w:spacing w:line="320" w:lineRule="exact"/>
              <w:rPr>
                <w:rFonts w:ascii="宋体" w:hAnsi="宋体" w:cs="仿宋"/>
                <w:sz w:val="24"/>
              </w:rPr>
            </w:pPr>
            <w:r>
              <w:rPr>
                <w:rFonts w:hint="eastAsia" w:ascii="宋体" w:hAnsi="宋体" w:cs="仿宋"/>
                <w:sz w:val="24"/>
              </w:rPr>
              <w:t>2.采用优质金属漆。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前围部分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2.车前部安装电蜗牛喇叭及外音播报喇叭。</w:t>
            </w:r>
          </w:p>
          <w:p>
            <w:pPr>
              <w:adjustRightInd w:val="0"/>
              <w:snapToGrid w:val="0"/>
              <w:spacing w:line="320" w:lineRule="exact"/>
              <w:rPr>
                <w:rFonts w:ascii="宋体" w:hAnsi="宋体" w:cs="仿宋"/>
                <w:sz w:val="24"/>
              </w:rPr>
            </w:pPr>
            <w:r>
              <w:rPr>
                <w:rFonts w:hint="eastAsia" w:ascii="宋体" w:hAnsi="宋体" w:cs="仿宋"/>
                <w:sz w:val="24"/>
              </w:rPr>
              <w:t>3.前风窗采用双曲面全景夹胶安全玻璃，透光率70%以上，直接粘贴在风窗框上，接缝处粘贴平顺美观。驾驶员侧、前装上下拉遮阳帘。</w:t>
            </w:r>
          </w:p>
          <w:p>
            <w:pPr>
              <w:adjustRightInd w:val="0"/>
              <w:snapToGrid w:val="0"/>
              <w:spacing w:line="320" w:lineRule="exact"/>
              <w:rPr>
                <w:rFonts w:ascii="宋体" w:hAnsi="宋体" w:cs="仿宋"/>
                <w:sz w:val="24"/>
              </w:rPr>
            </w:pPr>
            <w:r>
              <w:rPr>
                <w:rFonts w:hint="eastAsia" w:ascii="宋体" w:hAnsi="宋体" w:cs="仿宋"/>
                <w:sz w:val="24"/>
              </w:rPr>
              <w:t>4.侧窗采用粘贴式内嵌推拉窗。侧窗不配窗帘布，使用浅灰色玻璃。</w:t>
            </w:r>
          </w:p>
          <w:p>
            <w:pPr>
              <w:adjustRightInd w:val="0"/>
              <w:snapToGrid w:val="0"/>
              <w:spacing w:line="320" w:lineRule="exact"/>
              <w:rPr>
                <w:rFonts w:ascii="宋体" w:hAnsi="宋体" w:cs="仿宋"/>
                <w:sz w:val="24"/>
              </w:rPr>
            </w:pPr>
            <w:r>
              <w:rPr>
                <w:rFonts w:hint="eastAsia" w:ascii="宋体" w:hAnsi="宋体" w:cs="仿宋"/>
                <w:sz w:val="24"/>
              </w:rPr>
              <w:t>5.前档遮阳帘：手动单幅下拉自锁式。</w:t>
            </w:r>
          </w:p>
          <w:p>
            <w:pPr>
              <w:adjustRightInd w:val="0"/>
              <w:snapToGrid w:val="0"/>
              <w:spacing w:line="320" w:lineRule="exact"/>
              <w:rPr>
                <w:rFonts w:ascii="宋体" w:hAnsi="宋体" w:cs="仿宋"/>
                <w:sz w:val="24"/>
              </w:rPr>
            </w:pPr>
            <w:r>
              <w:rPr>
                <w:rFonts w:hint="eastAsia" w:ascii="宋体" w:hAnsi="宋体" w:cs="仿宋"/>
                <w:sz w:val="24"/>
              </w:rPr>
              <w:t>6.司机遮阳帘：下拉自锁式司机遮阳帘。</w:t>
            </w:r>
          </w:p>
          <w:p>
            <w:pPr>
              <w:adjustRightInd w:val="0"/>
              <w:snapToGrid w:val="0"/>
              <w:spacing w:line="320" w:lineRule="exact"/>
              <w:rPr>
                <w:rFonts w:ascii="宋体" w:hAnsi="宋体" w:cs="仿宋"/>
                <w:sz w:val="24"/>
              </w:rPr>
            </w:pPr>
            <w:r>
              <w:rPr>
                <w:rFonts w:hint="eastAsia" w:ascii="宋体" w:hAnsi="宋体" w:cs="仿宋"/>
                <w:sz w:val="24"/>
              </w:rPr>
              <w:t>7.车头喷“台州公交”字样、车身侧面喷单位全称、logo及投诉举报电话，标准规范由采购人提供。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后围部分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1.玻璃钢或薄钢板冲压成型。</w:t>
            </w:r>
          </w:p>
          <w:p>
            <w:pPr>
              <w:adjustRightInd w:val="0"/>
              <w:snapToGrid w:val="0"/>
              <w:spacing w:line="320" w:lineRule="exact"/>
              <w:rPr>
                <w:rFonts w:ascii="宋体" w:hAnsi="宋体" w:cs="仿宋"/>
                <w:sz w:val="24"/>
              </w:rPr>
            </w:pPr>
            <w:r>
              <w:rPr>
                <w:rFonts w:hint="eastAsia" w:ascii="宋体" w:hAnsi="宋体" w:cs="仿宋"/>
                <w:sz w:val="24"/>
              </w:rPr>
              <w:t>2.后挡风玻璃采用钢化玻璃，直接粘贴在风窗框上。后风挡上不加贴或喷涂任何说明。</w:t>
            </w:r>
          </w:p>
          <w:p>
            <w:pPr>
              <w:adjustRightInd w:val="0"/>
              <w:snapToGrid w:val="0"/>
              <w:spacing w:line="320" w:lineRule="exact"/>
              <w:rPr>
                <w:rFonts w:ascii="宋体" w:hAnsi="宋体" w:cs="仿宋"/>
                <w:sz w:val="24"/>
              </w:rPr>
            </w:pPr>
            <w:r>
              <w:rPr>
                <w:rFonts w:hint="eastAsia" w:ascii="宋体" w:hAnsi="宋体" w:cs="仿宋"/>
                <w:sz w:val="24"/>
              </w:rPr>
              <w:t>3.上围风窗框内应考虑后路牌架，使后路牌安装后与后风窗玻璃紧贴配合良好，内下侧安装车尾广告屏，除满足车尾屏电源外，再预留一组备用电源。</w:t>
            </w:r>
          </w:p>
          <w:p>
            <w:pPr>
              <w:adjustRightInd w:val="0"/>
              <w:snapToGrid w:val="0"/>
              <w:spacing w:line="320" w:lineRule="exact"/>
              <w:rPr>
                <w:rFonts w:ascii="宋体" w:hAnsi="宋体" w:cs="仿宋"/>
                <w:sz w:val="24"/>
              </w:rPr>
            </w:pPr>
            <w:r>
              <w:rPr>
                <w:rFonts w:hint="eastAsia" w:ascii="宋体" w:hAnsi="宋体" w:cs="仿宋"/>
                <w:sz w:val="24"/>
              </w:rPr>
              <w:t>4.小膨胀水箱在机仓内布置应方便加注。</w:t>
            </w:r>
          </w:p>
          <w:p>
            <w:pPr>
              <w:adjustRightInd w:val="0"/>
              <w:snapToGrid w:val="0"/>
              <w:spacing w:line="320" w:lineRule="exact"/>
              <w:rPr>
                <w:rFonts w:ascii="宋体" w:hAnsi="宋体" w:cs="仿宋"/>
                <w:sz w:val="24"/>
              </w:rPr>
            </w:pPr>
            <w:r>
              <w:rPr>
                <w:rFonts w:hint="eastAsia" w:ascii="宋体" w:hAnsi="宋体" w:cs="仿宋"/>
                <w:sz w:val="24"/>
              </w:rPr>
              <w:t>5.车后方配车长牌，具体尺寸由采购方提供。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侧围外蒙皮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1.预应力涨拉蒙皮，蒙皮应做防腐、防锈蚀处理，蒙皮内侧应有隔热减振措施。蒙皮厚度不小于1mm。</w:t>
            </w:r>
          </w:p>
          <w:p>
            <w:pPr>
              <w:adjustRightInd w:val="0"/>
              <w:snapToGrid w:val="0"/>
              <w:spacing w:line="320" w:lineRule="exact"/>
              <w:rPr>
                <w:rFonts w:ascii="宋体" w:hAnsi="宋体" w:cs="仿宋"/>
                <w:sz w:val="24"/>
              </w:rPr>
            </w:pPr>
            <w:r>
              <w:rPr>
                <w:rFonts w:hint="eastAsia" w:ascii="宋体" w:hAnsi="宋体" w:cs="仿宋"/>
                <w:sz w:val="24"/>
              </w:rPr>
              <w:t>2.各种型材应采用国内优质产品并提供供货清单。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骨架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1.骨架质保8年（含蒙皮），</w:t>
            </w:r>
            <w:r>
              <w:rPr>
                <w:rFonts w:hint="eastAsia" w:ascii="宋体" w:hAnsi="宋体" w:cs="仿宋"/>
                <w:b/>
                <w:bCs/>
                <w:sz w:val="24"/>
              </w:rPr>
              <w:t>投标人须在标书内提供书面承诺。</w:t>
            </w:r>
          </w:p>
          <w:p>
            <w:pPr>
              <w:adjustRightInd w:val="0"/>
              <w:snapToGrid w:val="0"/>
              <w:spacing w:line="320" w:lineRule="exact"/>
              <w:rPr>
                <w:rFonts w:ascii="宋体" w:hAnsi="宋体" w:cs="仿宋"/>
                <w:strike/>
                <w:sz w:val="24"/>
              </w:rPr>
            </w:pPr>
            <w:r>
              <w:rPr>
                <w:rFonts w:hint="eastAsia" w:ascii="宋体" w:hAnsi="宋体" w:cs="仿宋"/>
                <w:sz w:val="24"/>
              </w:rPr>
              <w:t>2.足够的强度和刚度，焊接可靠，提高整车骨架的防腐、防锈蚀性能。各种型材应采用优质产品。</w:t>
            </w:r>
          </w:p>
          <w:p>
            <w:pPr>
              <w:adjustRightInd w:val="0"/>
              <w:snapToGrid w:val="0"/>
              <w:spacing w:line="320" w:lineRule="exact"/>
              <w:rPr>
                <w:rFonts w:ascii="宋体" w:hAnsi="宋体" w:cs="仿宋"/>
                <w:sz w:val="24"/>
              </w:rPr>
            </w:pPr>
            <w:r>
              <w:rPr>
                <w:rFonts w:hint="eastAsia" w:ascii="宋体" w:hAnsi="宋体" w:cs="仿宋"/>
                <w:sz w:val="24"/>
              </w:rPr>
              <w:t>3.左右侧围骨架、顶盖骨架之间充填A0级阻燃型隔热材料，发泡层均匀厚度不得小于35mm，以保证客车的隔热性能。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地板</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整车采用大平面环保阻燃PVC或PP蜂窝式地板，厚度不小于18MM，符合JT/T1095等最新标准，安装工艺必须符合地板安装相关技术要求，具有无毒、防水防潮，完全阻燃性达到AO级获得国家3C强制认证。</w:t>
            </w:r>
          </w:p>
          <w:p>
            <w:pPr>
              <w:adjustRightInd w:val="0"/>
              <w:snapToGrid w:val="0"/>
              <w:spacing w:line="320" w:lineRule="exact"/>
              <w:rPr>
                <w:rFonts w:ascii="宋体" w:hAnsi="宋体" w:cs="仿宋"/>
                <w:sz w:val="24"/>
              </w:rPr>
            </w:pPr>
            <w:r>
              <w:rPr>
                <w:rFonts w:hint="eastAsia" w:ascii="宋体" w:hAnsi="宋体" w:cs="仿宋"/>
                <w:sz w:val="24"/>
              </w:rPr>
              <w:t>2.地板与客车底架采用胶水及专用螺栓连接，铺设区客车底架横梁加密、地板及座椅固定螺栓要求连接在横梁或替板上、紧固可靠（8年内不发生地板拱起，螺栓松脱开现象），地板各连接缝、地板与车身的接缝处应涂密封胶。</w:t>
            </w:r>
          </w:p>
          <w:p>
            <w:pPr>
              <w:adjustRightInd w:val="0"/>
              <w:snapToGrid w:val="0"/>
              <w:spacing w:line="320" w:lineRule="exact"/>
              <w:rPr>
                <w:rFonts w:ascii="宋体" w:hAnsi="宋体" w:cs="仿宋"/>
                <w:sz w:val="24"/>
              </w:rPr>
            </w:pPr>
            <w:r>
              <w:rPr>
                <w:rFonts w:hint="eastAsia" w:ascii="宋体" w:hAnsi="宋体" w:cs="仿宋"/>
                <w:sz w:val="24"/>
              </w:rPr>
              <w:t>3.车顶棚骨架等使用防火保温隔热材料，充分考虑当地气候特点，考虑内饰阻燃特性；产品要求防潮、抗菌、防霉、节能环保材料。技术性能必须达到 GB38262-2019《汽车内饰材料燃烧特性》，防火等级A0级。</w:t>
            </w:r>
            <w:r>
              <w:rPr>
                <w:rFonts w:hint="eastAsia" w:ascii="宋体" w:hAnsi="宋体" w:cs="仿宋"/>
                <w:b/>
                <w:sz w:val="24"/>
              </w:rPr>
              <w:t>在投标文件中提供检测报告</w:t>
            </w:r>
            <w:r>
              <w:rPr>
                <w:rFonts w:hint="eastAsia" w:ascii="宋体" w:hAnsi="宋体" w:cs="仿宋"/>
                <w:bCs/>
                <w:sz w:val="24"/>
              </w:rPr>
              <w:t>。</w:t>
            </w:r>
          </w:p>
          <w:p>
            <w:pPr>
              <w:adjustRightInd w:val="0"/>
              <w:snapToGrid w:val="0"/>
              <w:spacing w:line="320" w:lineRule="exact"/>
              <w:rPr>
                <w:rFonts w:ascii="宋体" w:hAnsi="宋体" w:cs="仿宋"/>
                <w:sz w:val="24"/>
              </w:rPr>
            </w:pPr>
            <w:r>
              <w:rPr>
                <w:rFonts w:hint="eastAsia" w:ascii="宋体" w:hAnsi="宋体" w:cs="仿宋"/>
                <w:sz w:val="24"/>
              </w:rPr>
              <w:t>4.客舱使用降噪材料和气凝胶防火材料，电池仓和电机仓、客舱等部分合理铺设使用气凝胶防火材料，符合GB 8624标准“燃烧性能等级，A级不燃”要求；符合JT/T 1095内饰件阻燃特性要求。</w:t>
            </w:r>
          </w:p>
          <w:p>
            <w:pPr>
              <w:adjustRightInd w:val="0"/>
              <w:snapToGrid w:val="0"/>
              <w:spacing w:line="320" w:lineRule="exact"/>
              <w:rPr>
                <w:rFonts w:ascii="宋体" w:hAnsi="宋体" w:cs="仿宋"/>
                <w:sz w:val="24"/>
              </w:rPr>
            </w:pPr>
            <w:r>
              <w:rPr>
                <w:rFonts w:hint="eastAsia" w:ascii="宋体" w:hAnsi="宋体" w:cs="仿宋"/>
                <w:sz w:val="24"/>
              </w:rPr>
              <w:t>5.整车采用耐磨防滑石英沙城市客车专用地板革，符合JT/T1095-2016标准，地板与地板革采用进口高强度防水专用地板革胶粘接，做到不脱胶、不起泡、不开裂。地板革拼接采用焊接工艺，接缝处剔割平整，具有防渗水性能。</w:t>
            </w:r>
          </w:p>
          <w:p>
            <w:pPr>
              <w:adjustRightInd w:val="0"/>
              <w:snapToGrid w:val="0"/>
              <w:spacing w:line="320" w:lineRule="exact"/>
              <w:rPr>
                <w:rFonts w:ascii="宋体" w:hAnsi="宋体" w:cs="仿宋"/>
                <w:sz w:val="24"/>
              </w:rPr>
            </w:pPr>
            <w:r>
              <w:rPr>
                <w:rFonts w:hint="eastAsia" w:ascii="宋体" w:hAnsi="宋体" w:cs="仿宋"/>
                <w:sz w:val="24"/>
              </w:rPr>
              <w:t>6.前后乘客门踏步区域采用黄色踏步专用地板革，并标明“禁止站立”字样。</w:t>
            </w:r>
          </w:p>
          <w:p>
            <w:pPr>
              <w:adjustRightInd w:val="0"/>
              <w:snapToGrid w:val="0"/>
              <w:spacing w:line="320" w:lineRule="exact"/>
              <w:rPr>
                <w:rFonts w:ascii="宋体" w:hAnsi="宋体" w:cs="仿宋"/>
                <w:sz w:val="24"/>
              </w:rPr>
            </w:pPr>
            <w:r>
              <w:rPr>
                <w:rFonts w:hint="eastAsia" w:ascii="宋体" w:hAnsi="宋体" w:cs="仿宋"/>
                <w:sz w:val="24"/>
              </w:rPr>
              <w:t>7.地板如设有检修孔和盖板，检修盖板拉手隐性结构，地板上的检修舱口盖压边框为整体式铝型材，采用双层密封结构。</w:t>
            </w:r>
          </w:p>
          <w:p>
            <w:pPr>
              <w:adjustRightInd w:val="0"/>
              <w:snapToGrid w:val="0"/>
              <w:spacing w:line="320" w:lineRule="exact"/>
              <w:rPr>
                <w:rFonts w:ascii="宋体" w:hAnsi="宋体" w:cs="仿宋"/>
                <w:sz w:val="24"/>
              </w:rPr>
            </w:pPr>
            <w:r>
              <w:rPr>
                <w:rFonts w:hint="eastAsia" w:ascii="宋体" w:hAnsi="宋体" w:cs="仿宋"/>
                <w:sz w:val="24"/>
              </w:rPr>
              <w:t>8.车厢内各阴阳角拼缝处采用铝合金型材拼压或地板革焊接工艺，直角拼缝处采用磨光45°对接，圆弧拼缝处则可采用成型或锯齿状弯曲拼压，确保拼压平整贴服，地板革折边高于地板水平面10CM以上。</w:t>
            </w:r>
          </w:p>
          <w:p>
            <w:pPr>
              <w:adjustRightInd w:val="0"/>
              <w:snapToGrid w:val="0"/>
              <w:spacing w:line="320" w:lineRule="exact"/>
              <w:rPr>
                <w:rFonts w:ascii="宋体" w:hAnsi="宋体" w:cs="仿宋"/>
                <w:sz w:val="24"/>
              </w:rPr>
            </w:pPr>
            <w:r>
              <w:rPr>
                <w:rFonts w:hint="eastAsia" w:ascii="宋体" w:hAnsi="宋体" w:cs="仿宋"/>
                <w:sz w:val="24"/>
              </w:rPr>
              <w:t>9.地板革颜色应与整车内饰协调。</w:t>
            </w:r>
          </w:p>
          <w:p>
            <w:pPr>
              <w:adjustRightInd w:val="0"/>
              <w:snapToGrid w:val="0"/>
              <w:spacing w:line="320" w:lineRule="exact"/>
              <w:rPr>
                <w:rFonts w:ascii="宋体" w:hAnsi="宋体" w:cs="仿宋"/>
                <w:sz w:val="24"/>
              </w:rPr>
            </w:pPr>
            <w:r>
              <w:rPr>
                <w:rFonts w:hint="eastAsia" w:ascii="宋体" w:hAnsi="宋体" w:cs="仿宋"/>
                <w:sz w:val="24"/>
              </w:rPr>
              <w:t>10.地板、地板革质保8年（含工时及易损易耗件），</w:t>
            </w:r>
            <w:r>
              <w:rPr>
                <w:rFonts w:hint="eastAsia" w:ascii="宋体" w:hAnsi="宋体" w:cs="仿宋"/>
                <w:bCs/>
                <w:sz w:val="24"/>
              </w:rPr>
              <w:t>并在标书中附承诺书。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车门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1.单中门设计，且中门宽度≥1200mm。</w:t>
            </w:r>
          </w:p>
          <w:p>
            <w:pPr>
              <w:adjustRightInd w:val="0"/>
              <w:snapToGrid w:val="0"/>
              <w:spacing w:line="320" w:lineRule="exact"/>
              <w:rPr>
                <w:rFonts w:ascii="宋体" w:hAnsi="宋体" w:cs="仿宋"/>
                <w:sz w:val="24"/>
              </w:rPr>
            </w:pPr>
            <w:r>
              <w:rPr>
                <w:rFonts w:hint="eastAsia" w:ascii="宋体" w:hAnsi="宋体" w:cs="仿宋"/>
                <w:sz w:val="24"/>
              </w:rPr>
              <w:t>2.配电动塞拉门，车身右侧设1个乘客门，设置禁止攀扶标志。</w:t>
            </w:r>
          </w:p>
          <w:p>
            <w:pPr>
              <w:adjustRightInd w:val="0"/>
              <w:snapToGrid w:val="0"/>
              <w:spacing w:line="320" w:lineRule="exact"/>
              <w:rPr>
                <w:rFonts w:ascii="宋体" w:hAnsi="宋体" w:cs="仿宋"/>
                <w:sz w:val="24"/>
              </w:rPr>
            </w:pPr>
            <w:r>
              <w:rPr>
                <w:rFonts w:hint="eastAsia" w:ascii="宋体" w:hAnsi="宋体" w:cs="仿宋"/>
                <w:sz w:val="24"/>
              </w:rPr>
              <w:t>3.车辆停稳前不允许开门，车辆门没关闭不允许起步，车速达到5码以上不能打开车门。</w:t>
            </w:r>
          </w:p>
          <w:p>
            <w:pPr>
              <w:adjustRightInd w:val="0"/>
              <w:snapToGrid w:val="0"/>
              <w:spacing w:line="320" w:lineRule="exact"/>
              <w:rPr>
                <w:rFonts w:ascii="宋体" w:hAnsi="宋体" w:cs="仿宋"/>
                <w:sz w:val="24"/>
              </w:rPr>
            </w:pPr>
            <w:r>
              <w:rPr>
                <w:rFonts w:hint="eastAsia" w:ascii="宋体" w:hAnsi="宋体" w:cs="仿宋"/>
                <w:sz w:val="24"/>
              </w:rPr>
              <w:t>4.车门整体（包括门泵及驱动系统等）免费质保8年（含工时及易损易耗件）。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rPr>
                <w:rFonts w:ascii="宋体" w:hAnsi="宋体" w:cs="仿宋"/>
                <w:sz w:val="24"/>
              </w:rPr>
            </w:pPr>
            <w:r>
              <w:rPr>
                <w:rFonts w:hint="eastAsia" w:ascii="宋体" w:hAnsi="宋体" w:cs="仿宋"/>
                <w:b/>
                <w:bCs/>
                <w:sz w:val="24"/>
              </w:rPr>
              <w:t>6.车内设置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公交标识</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1.上客门、下客门、爱心专座等标识按最新版《城市公共交通标志》标准制作。</w:t>
            </w:r>
          </w:p>
          <w:p>
            <w:pPr>
              <w:adjustRightInd w:val="0"/>
              <w:snapToGrid w:val="0"/>
              <w:spacing w:line="320" w:lineRule="exact"/>
              <w:rPr>
                <w:rFonts w:ascii="宋体" w:hAnsi="宋体" w:cs="仿宋"/>
                <w:sz w:val="24"/>
              </w:rPr>
            </w:pPr>
            <w:r>
              <w:rPr>
                <w:rFonts w:hint="eastAsia" w:ascii="宋体" w:hAnsi="宋体" w:cs="仿宋"/>
                <w:sz w:val="24"/>
              </w:rPr>
              <w:t>2.前门处扶手杆上制作1.2米儿童免票标志。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sz w:val="24"/>
              </w:rPr>
            </w:pPr>
            <w:r>
              <w:rPr>
                <w:rFonts w:hint="eastAsia" w:ascii="宋体" w:hAnsi="宋体" w:cs="仿宋"/>
                <w:sz w:val="24"/>
              </w:rPr>
              <w:t>车内外后视镜</w:t>
            </w:r>
          </w:p>
        </w:tc>
        <w:tc>
          <w:tcPr>
            <w:tcW w:w="7135" w:type="dxa"/>
            <w:vAlign w:val="center"/>
          </w:tcPr>
          <w:p>
            <w:pPr>
              <w:rPr>
                <w:rFonts w:ascii="宋体" w:hAnsi="宋体" w:cs="仿宋"/>
                <w:sz w:val="24"/>
              </w:rPr>
            </w:pPr>
            <w:r>
              <w:rPr>
                <w:rFonts w:hint="eastAsia" w:ascii="宋体" w:hAnsi="宋体" w:cs="仿宋"/>
                <w:sz w:val="24"/>
              </w:rPr>
              <w:t>普通杆式无盲区左短右长后视镜。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ind w:right="113"/>
              <w:jc w:val="center"/>
              <w:rPr>
                <w:rFonts w:ascii="宋体" w:hAnsi="宋体" w:cs="仿宋"/>
                <w:sz w:val="24"/>
              </w:rPr>
            </w:pPr>
            <w:r>
              <w:rPr>
                <w:rFonts w:hint="eastAsia" w:ascii="宋体" w:hAnsi="宋体" w:cs="仿宋"/>
                <w:bCs/>
                <w:sz w:val="24"/>
              </w:rPr>
              <w:t>扶手杠和吊环拉手</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1.扶手采用铝合金或不锈钢材质，表面安装橡胶扶套，采取不落地安装。</w:t>
            </w:r>
          </w:p>
          <w:p>
            <w:pPr>
              <w:adjustRightInd w:val="0"/>
              <w:snapToGrid w:val="0"/>
              <w:spacing w:line="320" w:lineRule="exact"/>
              <w:rPr>
                <w:rFonts w:ascii="宋体" w:hAnsi="宋体" w:cs="仿宋"/>
                <w:strike/>
                <w:sz w:val="24"/>
              </w:rPr>
            </w:pPr>
            <w:r>
              <w:rPr>
                <w:rFonts w:hint="eastAsia" w:ascii="宋体" w:hAnsi="宋体" w:cs="仿宋"/>
                <w:strike/>
                <w:sz w:val="24"/>
              </w:rPr>
              <w:t>2.</w:t>
            </w:r>
            <w:r>
              <w:rPr>
                <w:rFonts w:hint="eastAsia" w:ascii="宋体" w:hAnsi="宋体" w:cs="仿宋"/>
                <w:sz w:val="24"/>
              </w:rPr>
              <w:t>上下客门处安装上下车扶手。</w:t>
            </w:r>
          </w:p>
          <w:p>
            <w:pPr>
              <w:adjustRightInd w:val="0"/>
              <w:snapToGrid w:val="0"/>
              <w:spacing w:line="320" w:lineRule="exact"/>
              <w:rPr>
                <w:rFonts w:ascii="宋体" w:hAnsi="宋体" w:cs="仿宋"/>
                <w:sz w:val="24"/>
              </w:rPr>
            </w:pPr>
            <w:r>
              <w:rPr>
                <w:rFonts w:hint="eastAsia" w:ascii="宋体" w:hAnsi="宋体" w:cs="仿宋"/>
                <w:sz w:val="24"/>
              </w:rPr>
              <w:t>3.吊环拉手安装分布均匀、合理，只数与载客数相符。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jc w:val="center"/>
              <w:rPr>
                <w:rFonts w:ascii="宋体" w:hAnsi="宋体" w:cs="仿宋"/>
                <w:kern w:val="0"/>
                <w:sz w:val="24"/>
              </w:rPr>
            </w:pPr>
            <w:r>
              <w:rPr>
                <w:rFonts w:hint="eastAsia" w:ascii="宋体" w:hAnsi="宋体" w:cs="仿宋"/>
                <w:bCs/>
                <w:sz w:val="24"/>
              </w:rPr>
              <w:t>下车提示按铃</w:t>
            </w:r>
          </w:p>
        </w:tc>
        <w:tc>
          <w:tcPr>
            <w:tcW w:w="7135" w:type="dxa"/>
          </w:tcPr>
          <w:p>
            <w:pPr>
              <w:adjustRightInd w:val="0"/>
              <w:snapToGrid w:val="0"/>
              <w:spacing w:line="320" w:lineRule="exact"/>
              <w:rPr>
                <w:rFonts w:ascii="宋体" w:hAnsi="宋体" w:cs="仿宋"/>
                <w:sz w:val="24"/>
              </w:rPr>
            </w:pPr>
            <w:r>
              <w:rPr>
                <w:rFonts w:hint="eastAsia" w:ascii="宋体" w:hAnsi="宋体" w:cs="仿宋"/>
                <w:sz w:val="24"/>
              </w:rPr>
              <w:t>配下车门停车门铃2只按钮（无线门铃），语音提示：您好，请开门，在车厢立柱合适位置，门铃按钮以上位置粘贴 “下车请按铃”标识。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公交座椅</w:t>
            </w:r>
          </w:p>
        </w:tc>
        <w:tc>
          <w:tcPr>
            <w:tcW w:w="7135" w:type="dxa"/>
            <w:vAlign w:val="center"/>
          </w:tcPr>
          <w:p>
            <w:pPr>
              <w:spacing w:line="360" w:lineRule="exact"/>
              <w:ind w:right="140" w:rightChars="50"/>
              <w:jc w:val="left"/>
              <w:rPr>
                <w:rFonts w:ascii="宋体" w:hAnsi="宋体" w:cs="仿宋"/>
                <w:kern w:val="0"/>
                <w:sz w:val="24"/>
                <w:lang w:val="zh-CN" w:bidi="zh-CN"/>
              </w:rPr>
            </w:pPr>
            <w:r>
              <w:rPr>
                <w:rFonts w:hint="eastAsia" w:ascii="宋体" w:hAnsi="宋体" w:cs="仿宋"/>
                <w:kern w:val="0"/>
                <w:sz w:val="24"/>
                <w:lang w:bidi="zh-CN"/>
              </w:rPr>
              <w:t>1.</w:t>
            </w:r>
            <w:r>
              <w:rPr>
                <w:rFonts w:hint="eastAsia" w:ascii="宋体" w:hAnsi="宋体" w:cs="仿宋"/>
                <w:kern w:val="0"/>
                <w:sz w:val="24"/>
                <w:lang w:val="zh-CN" w:bidi="zh-CN"/>
              </w:rPr>
              <w:t>座椅合理布置，选用高档轻量化，采用国内优质产品，颜色和内饰协调，座椅支架不落地安装，固定可靠，符合公交车相关标准要求。</w:t>
            </w:r>
          </w:p>
          <w:p>
            <w:pPr>
              <w:adjustRightInd w:val="0"/>
              <w:snapToGrid w:val="0"/>
              <w:spacing w:line="320" w:lineRule="exact"/>
              <w:rPr>
                <w:rFonts w:ascii="宋体" w:hAnsi="宋体" w:cs="仿宋"/>
                <w:sz w:val="24"/>
              </w:rPr>
            </w:pPr>
            <w:r>
              <w:rPr>
                <w:rFonts w:hint="eastAsia" w:ascii="宋体" w:hAnsi="宋体" w:cs="仿宋"/>
                <w:sz w:val="24"/>
              </w:rPr>
              <w:t>2.配4个爱心座椅及标志，设于车厢内方便上下乘坐的位置，方向为面朝前进方向。</w:t>
            </w:r>
          </w:p>
          <w:p>
            <w:pPr>
              <w:adjustRightInd w:val="0"/>
              <w:snapToGrid w:val="0"/>
              <w:spacing w:line="320" w:lineRule="exact"/>
              <w:rPr>
                <w:rFonts w:ascii="宋体" w:hAnsi="宋体" w:cs="仿宋"/>
                <w:sz w:val="24"/>
              </w:rPr>
            </w:pPr>
            <w:r>
              <w:rPr>
                <w:rFonts w:hint="eastAsia" w:ascii="宋体" w:hAnsi="宋体" w:cs="仿宋"/>
                <w:sz w:val="24"/>
              </w:rPr>
              <w:t>3.质保8年。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bCs/>
                <w:sz w:val="24"/>
              </w:rPr>
              <w:t>驾驶室</w:t>
            </w:r>
          </w:p>
        </w:tc>
        <w:tc>
          <w:tcPr>
            <w:tcW w:w="7135" w:type="dxa"/>
            <w:vAlign w:val="center"/>
          </w:tcPr>
          <w:p>
            <w:pPr>
              <w:numPr>
                <w:ilvl w:val="0"/>
                <w:numId w:val="5"/>
              </w:numPr>
              <w:adjustRightInd w:val="0"/>
              <w:snapToGrid w:val="0"/>
              <w:spacing w:line="320" w:lineRule="exact"/>
              <w:rPr>
                <w:rFonts w:ascii="宋体" w:hAnsi="宋体" w:cs="仿宋"/>
                <w:sz w:val="24"/>
              </w:rPr>
            </w:pPr>
            <w:r>
              <w:rPr>
                <w:rFonts w:hint="eastAsia" w:ascii="宋体" w:hAnsi="宋体" w:cs="仿宋"/>
                <w:sz w:val="24"/>
              </w:rPr>
              <w:t>仪表台精美、平整、软化处理；仪表台可靠耐用，与整车内饰协调。</w:t>
            </w:r>
          </w:p>
          <w:p>
            <w:pPr>
              <w:adjustRightInd w:val="0"/>
              <w:snapToGrid w:val="0"/>
              <w:spacing w:line="320" w:lineRule="exact"/>
              <w:rPr>
                <w:rFonts w:ascii="宋体" w:hAnsi="宋体" w:cs="仿宋"/>
                <w:sz w:val="24"/>
              </w:rPr>
            </w:pPr>
            <w:r>
              <w:rPr>
                <w:rFonts w:hint="eastAsia" w:ascii="宋体" w:hAnsi="宋体" w:cs="仿宋"/>
                <w:sz w:val="24"/>
              </w:rPr>
              <w:t>2.仪表区域应充分考虑满足配装电脑报站器、电子路牌、客门监视器、GPS 车载机、IC卡POS机、投币机、空调、换气扇开关、数字电视等布置一体化要求；仪表台上安装驾驶员喊话器及插口；前后门未关时仪表台有报警灯显示；顶灯，车厢灯，电子路牌单独安装开关。</w:t>
            </w:r>
          </w:p>
          <w:p>
            <w:pPr>
              <w:adjustRightInd w:val="0"/>
              <w:snapToGrid w:val="0"/>
              <w:spacing w:line="320" w:lineRule="exact"/>
              <w:rPr>
                <w:rFonts w:ascii="宋体" w:hAnsi="宋体" w:cs="仿宋"/>
                <w:sz w:val="24"/>
              </w:rPr>
            </w:pPr>
            <w:r>
              <w:rPr>
                <w:rFonts w:hint="eastAsia" w:ascii="宋体" w:hAnsi="宋体" w:cs="仿宋"/>
                <w:sz w:val="24"/>
              </w:rPr>
              <w:t>3.采用转向柱安装组合式开关，包括大小灯、转向灯、雨括器控制开关。</w:t>
            </w:r>
          </w:p>
          <w:p>
            <w:pPr>
              <w:adjustRightInd w:val="0"/>
              <w:snapToGrid w:val="0"/>
              <w:spacing w:line="320" w:lineRule="exact"/>
              <w:rPr>
                <w:rFonts w:ascii="宋体" w:hAnsi="宋体" w:cs="仿宋"/>
                <w:sz w:val="24"/>
              </w:rPr>
            </w:pPr>
            <w:r>
              <w:rPr>
                <w:rFonts w:hint="eastAsia" w:ascii="宋体" w:hAnsi="宋体" w:cs="仿宋"/>
                <w:sz w:val="24"/>
              </w:rPr>
              <w:t>4.驾驶员座位左上方侧安装小电扇，配置茶杯架。</w:t>
            </w:r>
          </w:p>
          <w:p>
            <w:pPr>
              <w:adjustRightInd w:val="0"/>
              <w:snapToGrid w:val="0"/>
              <w:spacing w:line="320" w:lineRule="exact"/>
              <w:rPr>
                <w:rFonts w:ascii="宋体" w:hAnsi="宋体" w:cs="仿宋"/>
                <w:sz w:val="24"/>
              </w:rPr>
            </w:pPr>
            <w:r>
              <w:rPr>
                <w:rFonts w:hint="eastAsia" w:ascii="宋体" w:hAnsi="宋体" w:cs="仿宋"/>
                <w:sz w:val="24"/>
              </w:rPr>
              <w:t>5.安装驾驶员荣誉榜铝合金框，标准规范由采购人提供。</w:t>
            </w:r>
          </w:p>
          <w:p>
            <w:pPr>
              <w:adjustRightInd w:val="0"/>
              <w:snapToGrid w:val="0"/>
              <w:spacing w:line="320" w:lineRule="exact"/>
              <w:rPr>
                <w:rFonts w:ascii="宋体" w:hAnsi="宋体" w:cs="仿宋"/>
                <w:sz w:val="24"/>
              </w:rPr>
            </w:pPr>
            <w:r>
              <w:rPr>
                <w:rFonts w:hint="eastAsia" w:ascii="宋体" w:hAnsi="宋体" w:cs="仿宋"/>
                <w:sz w:val="24"/>
              </w:rPr>
              <w:t>6.车门内“紧急开门应急阀”装在驾驶区，车门内外各1只“紧急开门应急阀”应设明显使用标识。</w:t>
            </w:r>
          </w:p>
          <w:p>
            <w:pPr>
              <w:adjustRightInd w:val="0"/>
              <w:snapToGrid w:val="0"/>
              <w:spacing w:line="320" w:lineRule="exact"/>
              <w:rPr>
                <w:rFonts w:ascii="宋体" w:hAnsi="宋体" w:cs="仿宋"/>
                <w:sz w:val="24"/>
              </w:rPr>
            </w:pPr>
            <w:r>
              <w:rPr>
                <w:rFonts w:hint="eastAsia" w:ascii="宋体" w:hAnsi="宋体" w:cs="仿宋"/>
                <w:bCs/>
                <w:sz w:val="24"/>
              </w:rPr>
              <w:t>7.驾驶室布置驾驶员手机袋。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司机包围</w:t>
            </w:r>
          </w:p>
        </w:tc>
        <w:tc>
          <w:tcPr>
            <w:tcW w:w="7135" w:type="dxa"/>
            <w:vAlign w:val="center"/>
          </w:tcPr>
          <w:p>
            <w:pPr>
              <w:adjustRightInd w:val="0"/>
              <w:snapToGrid w:val="0"/>
              <w:spacing w:line="320" w:lineRule="exact"/>
              <w:rPr>
                <w:rFonts w:ascii="宋体" w:hAnsi="宋体" w:cs="仿宋"/>
                <w:bCs/>
                <w:sz w:val="24"/>
              </w:rPr>
            </w:pPr>
            <w:r>
              <w:rPr>
                <w:rFonts w:hint="eastAsia" w:ascii="宋体" w:hAnsi="宋体" w:cs="仿宋"/>
                <w:sz w:val="24"/>
              </w:rPr>
              <w:t>1.安装驾驶区域安全防护隔离设施，</w:t>
            </w:r>
            <w:r>
              <w:rPr>
                <w:rFonts w:hint="eastAsia" w:ascii="宋体" w:hAnsi="宋体" w:cs="仿宋"/>
                <w:bCs/>
                <w:sz w:val="24"/>
              </w:rPr>
              <w:t>铝合金材质，符合国家新标要求。</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驾驶员座椅</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1.驾驶员座椅为机械减震司机座椅，配三点式安全带，调节幅度大于20CM,伸缩自如可上下调节，配置驾驶员未系安全带提醒。</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后 视 镜</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1.车厢内配有内视镜，图像清晰，易更换。</w:t>
            </w:r>
          </w:p>
          <w:p>
            <w:pPr>
              <w:adjustRightInd w:val="0"/>
              <w:snapToGrid w:val="0"/>
              <w:spacing w:line="320" w:lineRule="exact"/>
              <w:rPr>
                <w:rFonts w:ascii="宋体" w:hAnsi="宋体" w:cs="仿宋"/>
                <w:sz w:val="24"/>
              </w:rPr>
            </w:pPr>
            <w:r>
              <w:rPr>
                <w:rFonts w:hint="eastAsia" w:ascii="宋体" w:hAnsi="宋体" w:cs="仿宋"/>
                <w:sz w:val="24"/>
              </w:rPr>
              <w:t>2.安装上下客摄像头。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内饰、空调风道、车内照明</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1.侧墙板采用防水易清洁PVC覆膜板。</w:t>
            </w:r>
          </w:p>
          <w:p>
            <w:pPr>
              <w:adjustRightInd w:val="0"/>
              <w:snapToGrid w:val="0"/>
              <w:spacing w:line="320" w:lineRule="exact"/>
              <w:rPr>
                <w:rFonts w:ascii="宋体" w:hAnsi="宋体" w:cs="仿宋"/>
                <w:sz w:val="24"/>
              </w:rPr>
            </w:pPr>
            <w:r>
              <w:rPr>
                <w:rFonts w:hint="eastAsia" w:ascii="宋体" w:hAnsi="宋体" w:cs="仿宋"/>
                <w:sz w:val="24"/>
              </w:rPr>
              <w:t>2.顶板采用冲孔铝塑板或GTM超轻纤维板。</w:t>
            </w:r>
          </w:p>
          <w:p>
            <w:pPr>
              <w:adjustRightInd w:val="0"/>
              <w:snapToGrid w:val="0"/>
              <w:spacing w:line="320" w:lineRule="exact"/>
              <w:rPr>
                <w:rFonts w:ascii="宋体" w:hAnsi="宋体" w:cs="仿宋"/>
                <w:sz w:val="24"/>
              </w:rPr>
            </w:pPr>
            <w:r>
              <w:rPr>
                <w:rFonts w:hint="eastAsia" w:ascii="宋体" w:hAnsi="宋体" w:cs="仿宋"/>
                <w:sz w:val="24"/>
              </w:rPr>
              <w:t>3.车厢前方右角配置时间、温度显示器。</w:t>
            </w:r>
          </w:p>
          <w:p>
            <w:pPr>
              <w:adjustRightInd w:val="0"/>
              <w:snapToGrid w:val="0"/>
              <w:spacing w:line="320" w:lineRule="exact"/>
              <w:rPr>
                <w:rFonts w:ascii="宋体" w:hAnsi="宋体" w:cs="仿宋"/>
                <w:sz w:val="24"/>
              </w:rPr>
            </w:pPr>
            <w:r>
              <w:rPr>
                <w:rFonts w:hint="eastAsia" w:ascii="宋体" w:hAnsi="宋体" w:cs="仿宋"/>
                <w:sz w:val="24"/>
              </w:rPr>
              <w:t>4.风道两侧设置广告位。具体尺寸、数量、广告位内容由采购人提供。</w:t>
            </w:r>
          </w:p>
          <w:p>
            <w:pPr>
              <w:adjustRightInd w:val="0"/>
              <w:snapToGrid w:val="0"/>
              <w:spacing w:line="320" w:lineRule="exact"/>
              <w:rPr>
                <w:rFonts w:ascii="宋体" w:hAnsi="宋体" w:cs="仿宋"/>
                <w:sz w:val="24"/>
              </w:rPr>
            </w:pPr>
            <w:r>
              <w:rPr>
                <w:rFonts w:hint="eastAsia" w:ascii="宋体" w:hAnsi="宋体" w:cs="仿宋"/>
                <w:sz w:val="24"/>
              </w:rPr>
              <w:t>5.LED照明灯:应满足夜间行驶车厢内亮化要求。LED双条顶灯，厢灯控制为二挡及以上，驾驶区一挡，车厢区一挡及以上，开灯时，前档玻璃不能产生眩目光，影响驾驶安全。</w:t>
            </w:r>
          </w:p>
          <w:p>
            <w:pPr>
              <w:adjustRightInd w:val="0"/>
              <w:snapToGrid w:val="0"/>
              <w:spacing w:line="320" w:lineRule="exact"/>
              <w:rPr>
                <w:rFonts w:ascii="宋体" w:hAnsi="宋体" w:cs="仿宋"/>
                <w:sz w:val="24"/>
              </w:rPr>
            </w:pPr>
            <w:r>
              <w:rPr>
                <w:rFonts w:hint="eastAsia" w:ascii="宋体" w:hAnsi="宋体" w:cs="仿宋"/>
                <w:sz w:val="24"/>
              </w:rPr>
              <w:t>6.驾驶室区空调出风口必须安装可调式开关</w:t>
            </w:r>
          </w:p>
          <w:p>
            <w:pPr>
              <w:adjustRightInd w:val="0"/>
              <w:snapToGrid w:val="0"/>
              <w:spacing w:line="320" w:lineRule="exact"/>
              <w:rPr>
                <w:rFonts w:ascii="宋体" w:hAnsi="宋体" w:cs="仿宋"/>
                <w:sz w:val="24"/>
              </w:rPr>
            </w:pPr>
            <w:r>
              <w:rPr>
                <w:rFonts w:hint="eastAsia" w:ascii="宋体" w:hAnsi="宋体" w:cs="仿宋"/>
                <w:sz w:val="24"/>
              </w:rPr>
              <w:t>7.冷风道不得与前、后路牌窗和发动机机舱贯通，锁止方便可靠，表面平整圆顺，固定安装可靠。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7.空调系统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空调</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1.采用独立式纯电制冷空调，制冷降温速率高、制冷效果显著。标准制冷量≥11000大卡，满足公交运行需求。</w:t>
            </w:r>
          </w:p>
          <w:p>
            <w:pPr>
              <w:adjustRightInd w:val="0"/>
              <w:snapToGrid w:val="0"/>
              <w:spacing w:line="320" w:lineRule="exact"/>
              <w:rPr>
                <w:rFonts w:ascii="宋体" w:hAnsi="宋体" w:cs="仿宋"/>
                <w:sz w:val="24"/>
              </w:rPr>
            </w:pPr>
            <w:r>
              <w:rPr>
                <w:rFonts w:hint="eastAsia" w:ascii="宋体" w:hAnsi="宋体" w:cs="仿宋"/>
                <w:sz w:val="24"/>
              </w:rPr>
              <w:t>2.冷凝风机采用优质直流无碳刷风机。冷凝器盘管为内螺纹铜管亲水铝箔高效换热器。蒸发器盘管为内螺纹铜管亲水铝箔高效换热器。蒸发风机采用直流无碳刷风机。膨胀阀、止逆阀、视液镜采用进口配置，转换器为DC-DC转换器，配国产优质品牌，安全可靠耐震动、抗干扰。变频器需配国产优质品牌，安全可靠耐震动、抗干扰。压缩机采用进口或合资品牌压缩机。配备新风装置。风速要求达到国家标准。</w:t>
            </w:r>
          </w:p>
          <w:p>
            <w:pPr>
              <w:adjustRightInd w:val="0"/>
              <w:snapToGrid w:val="0"/>
              <w:spacing w:line="320" w:lineRule="exact"/>
              <w:rPr>
                <w:rFonts w:ascii="宋体" w:hAnsi="宋体" w:cs="仿宋"/>
                <w:sz w:val="24"/>
              </w:rPr>
            </w:pPr>
            <w:r>
              <w:rPr>
                <w:rFonts w:hint="eastAsia" w:ascii="宋体" w:hAnsi="宋体" w:cs="仿宋"/>
                <w:sz w:val="24"/>
              </w:rPr>
              <w:t>3.空调整机免费质保8年（含工时费、易损、易耗件），</w:t>
            </w:r>
            <w:r>
              <w:rPr>
                <w:rFonts w:hint="eastAsia" w:ascii="宋体" w:hAnsi="宋体" w:cs="仿宋"/>
                <w:b/>
                <w:sz w:val="24"/>
              </w:rPr>
              <w:t>并在投标文件中附</w:t>
            </w:r>
            <w:r>
              <w:rPr>
                <w:rFonts w:hint="eastAsia" w:ascii="宋体" w:hAnsi="宋体" w:cs="仿宋"/>
                <w:b/>
                <w:bCs/>
                <w:sz w:val="24"/>
              </w:rPr>
              <w:t>客车厂及配套厂承诺书</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bCs/>
                <w:sz w:val="24"/>
              </w:rPr>
              <w:t>除霜器</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1.前挡风玻璃安装高压除霜机,司机处增设一个出风口（便于司机脚部取暖）。</w:t>
            </w:r>
          </w:p>
          <w:p>
            <w:pPr>
              <w:adjustRightInd w:val="0"/>
              <w:snapToGrid w:val="0"/>
              <w:spacing w:line="320" w:lineRule="exact"/>
              <w:rPr>
                <w:rFonts w:ascii="宋体" w:hAnsi="宋体" w:cs="仿宋"/>
                <w:sz w:val="24"/>
              </w:rPr>
            </w:pPr>
            <w:r>
              <w:rPr>
                <w:rFonts w:hint="eastAsia" w:ascii="宋体" w:hAnsi="宋体" w:cs="仿宋"/>
                <w:sz w:val="24"/>
              </w:rPr>
              <w:t>2.免费质保8年（含工时费、易损、易耗件）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sz w:val="24"/>
              </w:rPr>
            </w:pPr>
            <w:r>
              <w:rPr>
                <w:rFonts w:hint="eastAsia" w:ascii="宋体" w:hAnsi="宋体" w:cs="仿宋"/>
                <w:b/>
                <w:bCs/>
                <w:sz w:val="24"/>
              </w:rPr>
              <w:t>8.消防设备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电池箱灭火装置</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1.具有温度传感器、气体分解传感器、烟雾传感器并实现报警功能。</w:t>
            </w:r>
          </w:p>
          <w:p>
            <w:pPr>
              <w:adjustRightInd w:val="0"/>
              <w:snapToGrid w:val="0"/>
              <w:spacing w:line="320" w:lineRule="exact"/>
              <w:rPr>
                <w:rFonts w:ascii="宋体" w:hAnsi="宋体" w:cs="仿宋"/>
                <w:sz w:val="24"/>
              </w:rPr>
            </w:pPr>
            <w:r>
              <w:rPr>
                <w:rFonts w:hint="eastAsia" w:ascii="宋体" w:hAnsi="宋体" w:cs="仿宋"/>
                <w:sz w:val="24"/>
              </w:rPr>
              <w:t>2.能实现电解液漏液自动检测报警和火灾自动探测报警功能。</w:t>
            </w:r>
          </w:p>
          <w:p>
            <w:pPr>
              <w:adjustRightInd w:val="0"/>
              <w:snapToGrid w:val="0"/>
              <w:spacing w:line="320" w:lineRule="exact"/>
              <w:rPr>
                <w:rFonts w:ascii="宋体" w:hAnsi="宋体" w:cs="仿宋"/>
                <w:sz w:val="24"/>
              </w:rPr>
            </w:pPr>
            <w:r>
              <w:rPr>
                <w:rFonts w:hint="eastAsia" w:ascii="宋体" w:hAnsi="宋体" w:cs="仿宋"/>
                <w:sz w:val="24"/>
              </w:rPr>
              <w:t>3.具有灭火装置和启动开关，并能实现自动启动和手动启动功能。</w:t>
            </w:r>
          </w:p>
          <w:p>
            <w:pPr>
              <w:adjustRightInd w:val="0"/>
              <w:snapToGrid w:val="0"/>
              <w:spacing w:line="320" w:lineRule="exact"/>
              <w:rPr>
                <w:rFonts w:ascii="宋体" w:hAnsi="宋体" w:cs="仿宋"/>
                <w:sz w:val="24"/>
              </w:rPr>
            </w:pPr>
            <w:r>
              <w:rPr>
                <w:rFonts w:hint="eastAsia" w:ascii="宋体" w:hAnsi="宋体" w:cs="仿宋"/>
                <w:sz w:val="24"/>
              </w:rPr>
              <w:t>4.</w:t>
            </w:r>
            <w:r>
              <w:rPr>
                <w:rFonts w:hint="eastAsia" w:ascii="宋体" w:hAnsi="宋体" w:cs="仿宋"/>
                <w:b/>
                <w:bCs/>
                <w:sz w:val="24"/>
              </w:rPr>
              <w:t>具有权威消防研究中心对该产品的检测试验报告</w:t>
            </w:r>
            <w:r>
              <w:rPr>
                <w:rFonts w:hint="eastAsia" w:ascii="宋体" w:hAnsi="宋体" w:cs="仿宋"/>
                <w:sz w:val="24"/>
              </w:rPr>
              <w:t>。</w:t>
            </w:r>
          </w:p>
          <w:p>
            <w:pPr>
              <w:adjustRightInd w:val="0"/>
              <w:snapToGrid w:val="0"/>
              <w:spacing w:line="320" w:lineRule="exact"/>
              <w:rPr>
                <w:rFonts w:ascii="宋体" w:hAnsi="宋体" w:cs="仿宋"/>
                <w:sz w:val="24"/>
              </w:rPr>
            </w:pPr>
            <w:r>
              <w:rPr>
                <w:rFonts w:hint="eastAsia" w:ascii="宋体" w:hAnsi="宋体" w:cs="仿宋"/>
                <w:sz w:val="24"/>
              </w:rPr>
              <w:t>5.探测装置、灭火装置等要求质保8年。要求采用全氟己酮或七氟丙烷灭火剂，大于等于3Kg，</w:t>
            </w:r>
            <w:r>
              <w:rPr>
                <w:rFonts w:hint="eastAsia" w:ascii="宋体" w:hAnsi="宋体" w:cs="仿宋"/>
                <w:b/>
                <w:sz w:val="24"/>
              </w:rPr>
              <w:t>在投标文件中</w:t>
            </w:r>
            <w:r>
              <w:rPr>
                <w:rFonts w:hint="eastAsia" w:ascii="宋体" w:hAnsi="宋体" w:cs="仿宋"/>
                <w:b/>
                <w:bCs/>
                <w:sz w:val="24"/>
              </w:rPr>
              <w:t>提供相关检测报告及消防产品技术鉴定证书，并提供配套供应商质保承诺函</w:t>
            </w:r>
            <w:r>
              <w:rPr>
                <w:rFonts w:hint="eastAsia" w:ascii="宋体" w:hAnsi="宋体" w:cs="仿宋"/>
                <w:sz w:val="24"/>
              </w:rPr>
              <w:t>。</w:t>
            </w:r>
          </w:p>
          <w:p>
            <w:pPr>
              <w:adjustRightInd w:val="0"/>
              <w:snapToGrid w:val="0"/>
              <w:spacing w:line="320" w:lineRule="exact"/>
              <w:rPr>
                <w:rFonts w:ascii="宋体" w:hAnsi="宋体" w:cs="仿宋"/>
                <w:sz w:val="24"/>
              </w:rPr>
            </w:pPr>
            <w:r>
              <w:rPr>
                <w:rFonts w:hint="eastAsia" w:ascii="宋体" w:hAnsi="宋体" w:cs="仿宋"/>
                <w:sz w:val="24"/>
              </w:rPr>
              <w:t>6、电池箱火灾防控装置需有8年商业保险承诺，承诺非人为损坏和失效的免费更换。如因装用不合格的磷酸铁锂电池箱灭火装置引起的各种损失及责任，由成交供应商承担。</w:t>
            </w:r>
          </w:p>
          <w:p>
            <w:pPr>
              <w:adjustRightInd w:val="0"/>
              <w:snapToGrid w:val="0"/>
              <w:spacing w:line="320" w:lineRule="exact"/>
              <w:rPr>
                <w:rFonts w:ascii="宋体" w:hAnsi="宋体" w:cs="仿宋"/>
                <w:sz w:val="24"/>
              </w:rPr>
            </w:pPr>
            <w:r>
              <w:rPr>
                <w:rFonts w:hint="eastAsia" w:ascii="宋体" w:hAnsi="宋体" w:cs="仿宋"/>
                <w:sz w:val="24"/>
              </w:rPr>
              <w:t>7.电池箱防护等级在IP67以上（</w:t>
            </w:r>
            <w:r>
              <w:rPr>
                <w:rFonts w:hint="eastAsia" w:ascii="宋体" w:hAnsi="宋体" w:cs="仿宋"/>
                <w:b/>
                <w:sz w:val="24"/>
              </w:rPr>
              <w:t>在投标文件中</w:t>
            </w:r>
            <w:r>
              <w:rPr>
                <w:rFonts w:hint="eastAsia" w:ascii="宋体" w:hAnsi="宋体" w:cs="仿宋"/>
                <w:b/>
                <w:bCs/>
                <w:sz w:val="24"/>
              </w:rPr>
              <w:t>提供国家或第三方机构检验报告等证明材料</w:t>
            </w:r>
            <w:r>
              <w:rPr>
                <w:rFonts w:hint="eastAsia" w:ascii="宋体" w:hAnsi="宋体"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车辆消防设备</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1.车厢内配置2只以上单个不低于4公斤的干粉灭火器，灭火器及配置数量应符合国家标准规定，并取得公安部认证。</w:t>
            </w:r>
          </w:p>
          <w:p>
            <w:pPr>
              <w:adjustRightInd w:val="0"/>
              <w:snapToGrid w:val="0"/>
              <w:spacing w:line="320" w:lineRule="exact"/>
              <w:rPr>
                <w:rFonts w:ascii="宋体" w:hAnsi="宋体" w:cs="仿宋"/>
                <w:strike/>
                <w:sz w:val="24"/>
              </w:rPr>
            </w:pPr>
            <w:r>
              <w:rPr>
                <w:rFonts w:hint="eastAsia" w:ascii="宋体" w:hAnsi="宋体" w:cs="仿宋"/>
                <w:sz w:val="24"/>
              </w:rPr>
              <w:t>2.高压仓、电池仓配备管网式干粉灭火装置且重量符合国家相关要求，具备声光报警及手动操作功能，方便更换。质保8年（到期免费更换，含更换工时费及易损易耗件）。</w:t>
            </w:r>
          </w:p>
          <w:p>
            <w:pPr>
              <w:adjustRightInd w:val="0"/>
              <w:snapToGrid w:val="0"/>
              <w:spacing w:line="320" w:lineRule="exact"/>
              <w:rPr>
                <w:rFonts w:ascii="宋体" w:hAnsi="宋体" w:cs="仿宋"/>
                <w:sz w:val="24"/>
              </w:rPr>
            </w:pPr>
            <w:r>
              <w:rPr>
                <w:rFonts w:hint="eastAsia" w:ascii="宋体" w:hAnsi="宋体" w:cs="仿宋"/>
                <w:sz w:val="24"/>
              </w:rPr>
              <w:t>3.安装客车车门应急控制系统，门泵总控制开关安装在副仪表台位置。车门内和驾驶室各安装应急开关。应急开关应设有明显的警示使用标识。</w:t>
            </w:r>
          </w:p>
          <w:p>
            <w:pPr>
              <w:adjustRightInd w:val="0"/>
              <w:snapToGrid w:val="0"/>
              <w:spacing w:line="320" w:lineRule="exact"/>
              <w:rPr>
                <w:rFonts w:ascii="宋体" w:hAnsi="宋体" w:cs="仿宋"/>
                <w:sz w:val="24"/>
              </w:rPr>
            </w:pPr>
            <w:r>
              <w:rPr>
                <w:rFonts w:hint="eastAsia" w:ascii="宋体" w:hAnsi="宋体" w:cs="仿宋"/>
                <w:sz w:val="24"/>
              </w:rPr>
              <w:t>4.按要求配5只以上（带防盗自动报警型）安全锤，其中司机旁安装1只，符合GB7258-2017《机动车运行安全技术条件》要求。</w:t>
            </w:r>
          </w:p>
          <w:p>
            <w:pPr>
              <w:adjustRightInd w:val="0"/>
              <w:snapToGrid w:val="0"/>
              <w:spacing w:line="320" w:lineRule="exact"/>
              <w:rPr>
                <w:rFonts w:ascii="宋体" w:hAnsi="宋体" w:cs="仿宋"/>
                <w:sz w:val="24"/>
              </w:rPr>
            </w:pPr>
            <w:r>
              <w:rPr>
                <w:rFonts w:hint="eastAsia" w:ascii="宋体" w:hAnsi="宋体" w:cs="仿宋"/>
                <w:sz w:val="24"/>
              </w:rPr>
              <w:t>5.整车侧窗左右两侧安装手自一体破窗器，带翻盖报警功能，每车安装四处，布置相关说明，每个窗户配置安全标识-逃生出口。破窗器免费质保8年。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9.电子信息设施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CAN总线</w:t>
            </w:r>
          </w:p>
        </w:tc>
        <w:tc>
          <w:tcPr>
            <w:tcW w:w="7135" w:type="dxa"/>
            <w:vAlign w:val="center"/>
          </w:tcPr>
          <w:p>
            <w:pPr>
              <w:tabs>
                <w:tab w:val="left" w:pos="360"/>
              </w:tabs>
              <w:adjustRightInd w:val="0"/>
              <w:snapToGrid w:val="0"/>
              <w:spacing w:line="320" w:lineRule="exact"/>
              <w:rPr>
                <w:rFonts w:ascii="宋体" w:hAnsi="宋体" w:cs="仿宋"/>
                <w:sz w:val="24"/>
              </w:rPr>
            </w:pPr>
            <w:r>
              <w:rPr>
                <w:rFonts w:hint="eastAsia" w:ascii="宋体" w:hAnsi="宋体" w:cs="仿宋"/>
                <w:sz w:val="24"/>
              </w:rPr>
              <w:t>1.全车线路控制采用阻燃整车三级（三路）CAN总线系统。</w:t>
            </w:r>
          </w:p>
          <w:p>
            <w:pPr>
              <w:adjustRightInd w:val="0"/>
              <w:snapToGrid w:val="0"/>
              <w:spacing w:line="320" w:lineRule="exact"/>
              <w:jc w:val="left"/>
              <w:rPr>
                <w:rFonts w:ascii="宋体" w:hAnsi="宋体" w:cs="仿宋"/>
                <w:sz w:val="24"/>
              </w:rPr>
            </w:pPr>
            <w:r>
              <w:rPr>
                <w:rFonts w:hint="eastAsia" w:ascii="宋体" w:hAnsi="宋体" w:cs="仿宋"/>
                <w:sz w:val="24"/>
              </w:rPr>
              <w:t>2.全车CAN智能控制系统，包括1个彩屏仪表+总线控制器(驱动控制模块可互换），对接云总线系统。</w:t>
            </w:r>
          </w:p>
          <w:p>
            <w:pPr>
              <w:adjustRightInd w:val="0"/>
              <w:snapToGrid w:val="0"/>
              <w:spacing w:line="320" w:lineRule="exact"/>
              <w:jc w:val="left"/>
              <w:rPr>
                <w:rFonts w:ascii="宋体" w:hAnsi="宋体" w:cs="仿宋"/>
                <w:sz w:val="24"/>
              </w:rPr>
            </w:pPr>
            <w:r>
              <w:rPr>
                <w:rFonts w:hint="eastAsia" w:ascii="宋体" w:hAnsi="宋体" w:cs="仿宋"/>
                <w:sz w:val="24"/>
              </w:rPr>
              <w:t>3.彩屏总线仪表带彩色液晶显示屏，集成倒车和中门监控，集成各电机管理信息、电池管理信息、整车控制器等运行实时状态和故障显示。</w:t>
            </w:r>
          </w:p>
          <w:p>
            <w:pPr>
              <w:adjustRightInd w:val="0"/>
              <w:snapToGrid w:val="0"/>
              <w:spacing w:line="320" w:lineRule="exact"/>
              <w:jc w:val="left"/>
              <w:rPr>
                <w:rFonts w:ascii="宋体" w:hAnsi="宋体" w:cs="仿宋"/>
                <w:sz w:val="24"/>
              </w:rPr>
            </w:pPr>
            <w:r>
              <w:rPr>
                <w:rFonts w:hint="eastAsia" w:ascii="宋体" w:hAnsi="宋体" w:cs="仿宋"/>
                <w:sz w:val="24"/>
              </w:rPr>
              <w:t>4.CAN总线，质保期8年（含工时及易损易耗件）。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智能调度、监控系统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1.安装智能调度系统、监控系统（具体安装要求见表1）技术要求与采购人对接。</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必须配备灾备盒，可以保障内部存储数据在以下情况下的数据安全：车辆火灾（一般260~1100℃，zui高1250℃）、猛烈冲击(150km/h速度下刚性碰撞)、落水并长时间浸泡（100米深，超过24小时）、高强度挤压、尖锐穿刺撞击、急速冷却等。</w:t>
            </w:r>
          </w:p>
          <w:p>
            <w:pPr>
              <w:adjustRightInd w:val="0"/>
              <w:snapToGrid w:val="0"/>
              <w:spacing w:line="320" w:lineRule="exact"/>
              <w:rPr>
                <w:rFonts w:ascii="宋体" w:hAnsi="宋体" w:cs="仿宋"/>
                <w:sz w:val="24"/>
              </w:rPr>
            </w:pPr>
            <w:r>
              <w:rPr>
                <w:rFonts w:hint="eastAsia" w:ascii="宋体" w:hAnsi="宋体" w:cs="仿宋"/>
                <w:sz w:val="24"/>
              </w:rPr>
              <w:t>4.支持4G或4G以上网络制式；支持GPS和北斗双模定位；配备1T及以上固态硬盘的车载硬盘；</w:t>
            </w:r>
          </w:p>
          <w:p>
            <w:pPr>
              <w:adjustRightInd w:val="0"/>
              <w:snapToGrid w:val="0"/>
              <w:spacing w:line="320" w:lineRule="exact"/>
              <w:rPr>
                <w:rFonts w:ascii="宋体" w:hAnsi="宋体" w:cs="仿宋"/>
                <w:sz w:val="24"/>
              </w:rPr>
            </w:pPr>
            <w:r>
              <w:rPr>
                <w:rFonts w:hint="eastAsia" w:ascii="宋体" w:hAnsi="宋体" w:cs="仿宋"/>
                <w:sz w:val="24"/>
              </w:rPr>
              <w:t>5.安装10英寸及以上信息终端，要求安装在司机位置仪表台，配备遮阳罩，必须支持定制化开发，实现与其他业务系统及数据中台进行交互。</w:t>
            </w:r>
          </w:p>
          <w:p>
            <w:pPr>
              <w:adjustRightInd w:val="0"/>
              <w:snapToGrid w:val="0"/>
              <w:spacing w:line="320" w:lineRule="exact"/>
              <w:rPr>
                <w:rFonts w:ascii="宋体" w:hAnsi="宋体" w:cs="仿宋"/>
                <w:sz w:val="24"/>
              </w:rPr>
            </w:pPr>
            <w:r>
              <w:rPr>
                <w:rFonts w:hint="eastAsia" w:ascii="宋体" w:hAnsi="宋体" w:cs="仿宋"/>
                <w:sz w:val="24"/>
              </w:rPr>
              <w:t>6.麦克风必须为鹅颈麦克风，安装在司机位置仪表台。</w:t>
            </w:r>
          </w:p>
          <w:p>
            <w:pPr>
              <w:adjustRightInd w:val="0"/>
              <w:snapToGrid w:val="0"/>
              <w:spacing w:line="320" w:lineRule="exact"/>
              <w:rPr>
                <w:rFonts w:ascii="宋体" w:hAnsi="宋体" w:cs="仿宋"/>
                <w:sz w:val="24"/>
              </w:rPr>
            </w:pPr>
            <w:r>
              <w:rPr>
                <w:rFonts w:hint="eastAsia" w:ascii="宋体" w:hAnsi="宋体" w:cs="仿宋"/>
                <w:sz w:val="24"/>
              </w:rPr>
              <w:t>7.质保期8年（含工时及易损易耗件）。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车内影像系统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1.安装车内影像系统1个显示屏和1个车载无线播放器，车载无线播放器安装在电器箱内（具体设施项目要求见表2），须接入采购人现有的影像平台系统。</w:t>
            </w:r>
          </w:p>
          <w:p>
            <w:pPr>
              <w:adjustRightInd w:val="0"/>
              <w:snapToGrid w:val="0"/>
              <w:spacing w:line="320" w:lineRule="exact"/>
              <w:rPr>
                <w:rFonts w:ascii="宋体" w:hAnsi="宋体" w:cs="仿宋"/>
                <w:sz w:val="24"/>
              </w:rPr>
            </w:pPr>
            <w:r>
              <w:rPr>
                <w:rFonts w:hint="eastAsia" w:ascii="宋体" w:hAnsi="宋体" w:cs="仿宋"/>
                <w:sz w:val="24"/>
              </w:rPr>
              <w:t>2.质保8年（含工时及易损易耗件）。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LED电子路牌</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1.电子路牌为前、后、侧牌采用全彩显示电子路牌。</w:t>
            </w:r>
          </w:p>
          <w:p>
            <w:pPr>
              <w:adjustRightInd w:val="0"/>
              <w:snapToGrid w:val="0"/>
              <w:spacing w:line="320" w:lineRule="exact"/>
              <w:rPr>
                <w:rFonts w:ascii="宋体" w:hAnsi="宋体" w:cs="仿宋"/>
                <w:sz w:val="24"/>
              </w:rPr>
            </w:pPr>
            <w:r>
              <w:rPr>
                <w:rFonts w:hint="eastAsia" w:ascii="宋体" w:hAnsi="宋体" w:cs="仿宋"/>
                <w:sz w:val="24"/>
              </w:rPr>
              <w:t>2.根据车辆实际情况配置，后牌显示车辆转弯、刹车等车辆实时信息。与采购方现有系统对接，路牌设有光感探头，可随外界亮度变化自动调节亮度，内容可以静止、滚动等多种方式显。</w:t>
            </w:r>
          </w:p>
          <w:p>
            <w:pPr>
              <w:adjustRightInd w:val="0"/>
              <w:snapToGrid w:val="0"/>
              <w:spacing w:line="320" w:lineRule="exact"/>
              <w:rPr>
                <w:rFonts w:ascii="宋体" w:hAnsi="宋体" w:cs="仿宋"/>
                <w:sz w:val="24"/>
              </w:rPr>
            </w:pPr>
            <w:r>
              <w:rPr>
                <w:rFonts w:hint="eastAsia" w:ascii="宋体" w:hAnsi="宋体" w:cs="仿宋"/>
                <w:sz w:val="24"/>
              </w:rPr>
              <w:t>3.免费质保8年+本地维修。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导乘屏</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1.车内安装1块LCD导乘屏显示实时到站信息。</w:t>
            </w:r>
          </w:p>
          <w:p>
            <w:pPr>
              <w:adjustRightInd w:val="0"/>
              <w:snapToGrid w:val="0"/>
              <w:spacing w:line="320" w:lineRule="exac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rPr>
                <w:rFonts w:ascii="宋体" w:hAnsi="宋体" w:cs="仿宋"/>
                <w:sz w:val="24"/>
              </w:rPr>
            </w:pPr>
            <w:r>
              <w:rPr>
                <w:rFonts w:hint="eastAsia" w:ascii="宋体" w:hAnsi="宋体" w:cs="仿宋"/>
                <w:sz w:val="24"/>
              </w:rPr>
              <w:t>3.免费质保8年（含工时及易损易耗件），要求本地维修。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客流分析仪</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1.体感摄像头安装在前门/后门正上方，镜头要求与车身平行安装，摄像头正面朝下并无遮挡物遮挡；前中门信号线要求门打开或关闭时提供脉冲电平（24V），且要求放置在主机位置处。</w:t>
            </w:r>
          </w:p>
          <w:p>
            <w:pPr>
              <w:adjustRightInd w:val="0"/>
              <w:snapToGrid w:val="0"/>
              <w:spacing w:line="320" w:lineRule="exact"/>
              <w:jc w:val="left"/>
              <w:rPr>
                <w:rFonts w:ascii="宋体" w:hAnsi="宋体" w:cs="仿宋"/>
                <w:sz w:val="24"/>
              </w:rPr>
            </w:pPr>
            <w:r>
              <w:rPr>
                <w:rFonts w:hint="eastAsia" w:ascii="宋体" w:hAnsi="宋体" w:cs="仿宋"/>
                <w:sz w:val="24"/>
              </w:rPr>
              <w:t>2.车载设备必须对接台州智慧公交云脑系统。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3.质保期8年（含工时及易损易耗件），</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驾驶员主动防御系统</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1.具有云总线硬件设施及软件系统。</w:t>
            </w:r>
          </w:p>
          <w:p>
            <w:pPr>
              <w:adjustRightInd w:val="0"/>
              <w:snapToGrid w:val="0"/>
              <w:spacing w:line="320" w:lineRule="exact"/>
              <w:jc w:val="left"/>
              <w:rPr>
                <w:rFonts w:ascii="宋体" w:hAnsi="宋体" w:cs="仿宋"/>
                <w:sz w:val="24"/>
              </w:rPr>
            </w:pPr>
            <w:r>
              <w:rPr>
                <w:rFonts w:hint="eastAsia" w:ascii="宋体" w:hAnsi="宋体" w:cs="仿宋"/>
                <w:sz w:val="24"/>
              </w:rPr>
              <w:t>2.通过云总线对驾驶员行为进行分析，具备开机自检、过流、过压、过温保护功能，能判断轻载、过载、短路、开路等故障状态；CAN模块可通用、互换、具备较强的抗电磁干扰和静电冲击能力，使用通过ISO电磁兼容认证的产品；云总线系统具备大数据管理技术，CAN数据采集，实时信息处理、动力系统及车身底盘等相关电气负载信息显示及故障报警的能力。</w:t>
            </w:r>
          </w:p>
          <w:p>
            <w:pPr>
              <w:adjustRightInd w:val="0"/>
              <w:snapToGrid w:val="0"/>
              <w:spacing w:line="320" w:lineRule="exact"/>
              <w:jc w:val="left"/>
              <w:rPr>
                <w:rFonts w:ascii="宋体" w:hAnsi="宋体" w:cs="仿宋"/>
                <w:sz w:val="24"/>
              </w:rPr>
            </w:pPr>
            <w:r>
              <w:rPr>
                <w:rFonts w:hint="eastAsia" w:ascii="宋体" w:hAnsi="宋体" w:cs="仿宋"/>
                <w:sz w:val="24"/>
              </w:rPr>
              <w:t>3.车辆智能视频监控报警装置（含DSM和ADAS），具备驾驶员不安全驾驶行为监控和车辆前方行驶碰撞预警功能：符合《交通运输部办公厅关于推广应用智能视频监控报警技术的通知》（交办运〔2018〕115号）附件“道路运输车辆智能视频监控报警装置技术规范（暂行）”及符合浙江省道路运输协会发布的《道路运输车辆智能视频监控报警系统终端技术规范》（T/ZJRTA01—2018）要求。</w:t>
            </w:r>
          </w:p>
          <w:p>
            <w:pPr>
              <w:adjustRightInd w:val="0"/>
              <w:snapToGrid w:val="0"/>
              <w:spacing w:line="320" w:lineRule="exact"/>
              <w:jc w:val="left"/>
              <w:rPr>
                <w:rFonts w:ascii="宋体" w:hAnsi="宋体" w:cs="仿宋"/>
                <w:sz w:val="24"/>
              </w:rPr>
            </w:pPr>
            <w:r>
              <w:rPr>
                <w:rFonts w:hint="eastAsia" w:ascii="宋体" w:hAnsi="宋体" w:cs="仿宋"/>
                <w:sz w:val="24"/>
              </w:rPr>
              <w:t>4.配备相应系统平台，实现车辆运行状态实时监控、报警，能耗统计、驾驶员技能行为分析、驾驶员安全行为分析、线路驾驶规范、事故疑点数据采集与分析等功能并实现与DSM设备交互实现人脸识别、语音播报、安全行为考核评价等功能，满足业务的定制化开发要求，硬件与系统平台必须同步提供所有功能。</w:t>
            </w:r>
          </w:p>
          <w:p>
            <w:pPr>
              <w:adjustRightInd w:val="0"/>
              <w:snapToGrid w:val="0"/>
              <w:spacing w:line="320" w:lineRule="exact"/>
              <w:jc w:val="left"/>
              <w:rPr>
                <w:rFonts w:ascii="宋体" w:hAnsi="宋体" w:cs="仿宋"/>
                <w:sz w:val="24"/>
              </w:rPr>
            </w:pPr>
            <w:r>
              <w:rPr>
                <w:rFonts w:hint="eastAsia" w:ascii="宋体" w:hAnsi="宋体" w:cs="仿宋"/>
                <w:sz w:val="24"/>
              </w:rPr>
              <w:t>5.系统平台必须支持PC、移动端等使用方式，</w:t>
            </w:r>
          </w:p>
          <w:p>
            <w:pPr>
              <w:adjustRightInd w:val="0"/>
              <w:snapToGrid w:val="0"/>
              <w:spacing w:line="320" w:lineRule="exact"/>
              <w:jc w:val="left"/>
              <w:rPr>
                <w:rFonts w:ascii="宋体" w:hAnsi="宋体" w:cs="仿宋"/>
                <w:sz w:val="24"/>
              </w:rPr>
            </w:pPr>
            <w:r>
              <w:rPr>
                <w:rFonts w:hint="eastAsia" w:ascii="宋体" w:hAnsi="宋体" w:cs="仿宋"/>
                <w:sz w:val="24"/>
              </w:rPr>
              <w:t>6.系统平台与采购人现有云总线系统进行适配，互相同步或覆盖，系统平台必须全面兼容现有设备。</w:t>
            </w:r>
          </w:p>
          <w:p>
            <w:pPr>
              <w:adjustRightInd w:val="0"/>
              <w:snapToGrid w:val="0"/>
              <w:spacing w:line="320" w:lineRule="exact"/>
              <w:jc w:val="left"/>
              <w:rPr>
                <w:rFonts w:ascii="宋体" w:hAnsi="宋体" w:cs="仿宋"/>
                <w:sz w:val="24"/>
              </w:rPr>
            </w:pPr>
            <w:r>
              <w:rPr>
                <w:rFonts w:hint="eastAsia" w:ascii="宋体" w:hAnsi="宋体" w:cs="仿宋"/>
                <w:sz w:val="24"/>
              </w:rPr>
              <w:t>7.系统平台必须完全对接台州智慧公交云脑系统。</w:t>
            </w:r>
          </w:p>
          <w:p>
            <w:pPr>
              <w:adjustRightInd w:val="0"/>
              <w:snapToGrid w:val="0"/>
              <w:spacing w:line="320" w:lineRule="exact"/>
              <w:jc w:val="left"/>
              <w:rPr>
                <w:rFonts w:ascii="宋体" w:hAnsi="宋体" w:cs="仿宋"/>
                <w:sz w:val="24"/>
              </w:rPr>
            </w:pPr>
            <w:r>
              <w:rPr>
                <w:rFonts w:hint="eastAsia" w:ascii="宋体" w:hAnsi="宋体" w:cs="仿宋"/>
                <w:sz w:val="24"/>
              </w:rPr>
              <w:t>8.系统软硬件要求质保期8年（含工时及易损易耗件等），</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电子设备箱</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在适当位置设置电子设备箱，可容纳所需的电子设备。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61" w:type="dxa"/>
            <w:vAlign w:val="center"/>
          </w:tcPr>
          <w:p>
            <w:pPr>
              <w:adjustRightInd w:val="0"/>
              <w:snapToGrid w:val="0"/>
              <w:spacing w:line="320" w:lineRule="exact"/>
              <w:jc w:val="center"/>
              <w:rPr>
                <w:rFonts w:ascii="宋体" w:hAnsi="宋体" w:cs="仿宋"/>
                <w:sz w:val="24"/>
              </w:rPr>
            </w:pPr>
            <w:r>
              <w:rPr>
                <w:rFonts w:hint="eastAsia" w:ascii="宋体" w:hAnsi="宋体" w:cs="仿宋"/>
                <w:sz w:val="24"/>
              </w:rPr>
              <w:t>360全景及电子后视镜系统</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1.高清显示，两块12.3英寸高清车规级显示屏（1920x720P），左屏分区显示，2/3后视显示，1/3显示360环视，车速大于20KM/H切换为全屏显示，右屏后视全屏显示。</w:t>
            </w:r>
          </w:p>
          <w:p>
            <w:pPr>
              <w:adjustRightInd w:val="0"/>
              <w:snapToGrid w:val="0"/>
              <w:spacing w:line="320" w:lineRule="exact"/>
              <w:rPr>
                <w:rFonts w:ascii="宋体" w:hAnsi="宋体" w:cs="仿宋"/>
                <w:sz w:val="24"/>
              </w:rPr>
            </w:pPr>
            <w:r>
              <w:rPr>
                <w:rFonts w:hint="eastAsia" w:ascii="宋体" w:hAnsi="宋体" w:cs="仿宋"/>
                <w:sz w:val="24"/>
              </w:rPr>
              <w:t>2.支持2路1080P高清分辨率摄像头（1920x1080），其中两路后视摄像头，支持4路360环视摄像头，摄像头为标清摄像头。</w:t>
            </w:r>
          </w:p>
          <w:p>
            <w:pPr>
              <w:adjustRightInd w:val="0"/>
              <w:snapToGrid w:val="0"/>
              <w:spacing w:line="320" w:lineRule="exact"/>
              <w:rPr>
                <w:rFonts w:ascii="宋体" w:hAnsi="宋体" w:cs="仿宋"/>
                <w:sz w:val="24"/>
              </w:rPr>
            </w:pPr>
            <w:r>
              <w:rPr>
                <w:rFonts w:hint="eastAsia" w:ascii="宋体" w:hAnsi="宋体" w:cs="仿宋"/>
                <w:sz w:val="24"/>
              </w:rPr>
              <w:t>3.自动画面，支持CAN传输通用协议，并可根据车速和左右转弯信号进行左边12.3寸屏画面的自动切换。</w:t>
            </w:r>
          </w:p>
          <w:p>
            <w:pPr>
              <w:adjustRightInd w:val="0"/>
              <w:snapToGrid w:val="0"/>
              <w:spacing w:line="320" w:lineRule="exact"/>
              <w:rPr>
                <w:rFonts w:ascii="宋体" w:hAnsi="宋体" w:cs="仿宋"/>
                <w:sz w:val="24"/>
              </w:rPr>
            </w:pPr>
            <w:r>
              <w:rPr>
                <w:rFonts w:hint="eastAsia" w:ascii="宋体" w:hAnsi="宋体" w:cs="仿宋"/>
                <w:sz w:val="24"/>
              </w:rPr>
              <w:t>4.自动光感，屏幕亮度自适应调节，适应白天和晚上各种应用场景，自适应防眩护目。</w:t>
            </w:r>
          </w:p>
          <w:p>
            <w:pPr>
              <w:adjustRightInd w:val="0"/>
              <w:snapToGrid w:val="0"/>
              <w:spacing w:line="320" w:lineRule="exact"/>
              <w:rPr>
                <w:rFonts w:ascii="宋体" w:hAnsi="宋体" w:cs="仿宋"/>
                <w:sz w:val="24"/>
              </w:rPr>
            </w:pPr>
            <w:r>
              <w:rPr>
                <w:rFonts w:hint="eastAsia" w:ascii="宋体" w:hAnsi="宋体" w:cs="仿宋"/>
                <w:sz w:val="24"/>
              </w:rPr>
              <w:t>5.具有存储功能，且自带存储容量不小于128G， 具备模拟视频输出能力。</w:t>
            </w:r>
          </w:p>
          <w:p>
            <w:pPr>
              <w:adjustRightInd w:val="0"/>
              <w:snapToGrid w:val="0"/>
              <w:spacing w:line="320" w:lineRule="exact"/>
              <w:rPr>
                <w:rFonts w:ascii="宋体" w:hAnsi="宋体" w:cs="仿宋"/>
                <w:sz w:val="24"/>
              </w:rPr>
            </w:pPr>
            <w:r>
              <w:rPr>
                <w:rFonts w:hint="eastAsia" w:ascii="宋体" w:hAnsi="宋体" w:cs="仿宋"/>
                <w:sz w:val="24"/>
              </w:rPr>
              <w:t>6.系统可以提供车辆四周360度全景鸟瞰图，司机在驾驶位可看到车辆四周的状况，无盲区。</w:t>
            </w:r>
          </w:p>
          <w:p>
            <w:pPr>
              <w:adjustRightInd w:val="0"/>
              <w:snapToGrid w:val="0"/>
              <w:spacing w:line="320" w:lineRule="exact"/>
              <w:rPr>
                <w:rFonts w:ascii="宋体" w:hAnsi="宋体" w:cs="仿宋"/>
                <w:sz w:val="24"/>
              </w:rPr>
            </w:pPr>
            <w:r>
              <w:rPr>
                <w:rFonts w:hint="eastAsia" w:ascii="宋体" w:hAnsi="宋体" w:cs="仿宋"/>
                <w:sz w:val="24"/>
              </w:rPr>
              <w:t>7.系统采用红外超广角摄像头，能够适应不同的光源。</w:t>
            </w:r>
          </w:p>
          <w:p>
            <w:pPr>
              <w:adjustRightInd w:val="0"/>
              <w:snapToGrid w:val="0"/>
              <w:spacing w:line="320" w:lineRule="exact"/>
              <w:rPr>
                <w:rFonts w:ascii="宋体" w:hAnsi="宋体" w:cs="仿宋"/>
                <w:sz w:val="24"/>
              </w:rPr>
            </w:pPr>
            <w:r>
              <w:rPr>
                <w:rFonts w:hint="eastAsia" w:ascii="宋体" w:hAnsi="宋体" w:cs="仿宋"/>
                <w:sz w:val="24"/>
              </w:rPr>
              <w:t>8.多种视图模式切换，分别是前视行车图，倒车后视视图，左侧行车视图，右侧行车视图，倒车视图可以替代传统的倒车监控。</w:t>
            </w:r>
          </w:p>
          <w:p>
            <w:pPr>
              <w:adjustRightInd w:val="0"/>
              <w:snapToGrid w:val="0"/>
              <w:spacing w:line="320" w:lineRule="exact"/>
              <w:rPr>
                <w:rFonts w:ascii="宋体" w:hAnsi="宋体" w:cs="仿宋"/>
                <w:sz w:val="24"/>
              </w:rPr>
            </w:pPr>
            <w:r>
              <w:rPr>
                <w:rFonts w:hint="eastAsia" w:ascii="宋体" w:hAnsi="宋体" w:cs="仿宋"/>
                <w:sz w:val="24"/>
              </w:rPr>
              <w:t>9.质保8年（含工时及易损易耗件），要求本地维护，</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投币箱</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1.嵌入式智能指纹投币机，体积小，支持嵌入式安装和立式安装方式，具有刷指纹、刷卡开门功能，支持币胆无线供电。配3个币胆，适配币胆具有电子标签，自动封门，无线供电功能。</w:t>
            </w:r>
          </w:p>
          <w:p>
            <w:pPr>
              <w:adjustRightInd w:val="0"/>
              <w:snapToGrid w:val="0"/>
              <w:spacing w:line="320" w:lineRule="exact"/>
              <w:jc w:val="left"/>
              <w:rPr>
                <w:rFonts w:ascii="宋体" w:hAnsi="宋体" w:cs="仿宋"/>
                <w:sz w:val="24"/>
              </w:rPr>
            </w:pPr>
            <w:r>
              <w:rPr>
                <w:rFonts w:hint="eastAsia" w:ascii="宋体" w:hAnsi="宋体" w:cs="仿宋"/>
                <w:sz w:val="24"/>
              </w:rPr>
              <w:t>2.质保8年（内外箱锁具、钥匙、票箱等易损易耗件+日常维修配件），</w:t>
            </w:r>
            <w:r>
              <w:rPr>
                <w:rFonts w:hint="eastAsia" w:ascii="宋体" w:hAnsi="宋体" w:cs="仿宋"/>
                <w:b/>
                <w:sz w:val="24"/>
              </w:rPr>
              <w:t>并在投标文件中附加盖公章的承诺书。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IC卡POS机</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1.安装IC卡POS机，具有可支持读写符合ISO 14443 TYPE A/B的MF1、CPU卡，支持交通部、住建部标准的CPU卡,银联PBOC3.0标准CPU卡，移动SIMPASS卡，支持NFC、银联云闪付，支持2.4G标准卡消费应用，且二维码识读窗口大、视场角度宽等优点；识别方式752×480CMOS；识读码制：二维FDF417，Data Matrix，QR Code,一维纸质码；识读模式：感应识读；识读精度：10mil；支持支付宝、微信、银联标准二维码支付应用，支持4G全网通、支持GPS/北斗定位，需接入采购人现有系统平台。</w:t>
            </w:r>
          </w:p>
          <w:p>
            <w:pPr>
              <w:adjustRightInd w:val="0"/>
              <w:snapToGrid w:val="0"/>
              <w:spacing w:line="320" w:lineRule="exact"/>
              <w:jc w:val="left"/>
              <w:rPr>
                <w:rFonts w:ascii="宋体" w:hAnsi="宋体" w:cs="仿宋"/>
                <w:sz w:val="24"/>
              </w:rPr>
            </w:pPr>
            <w:r>
              <w:rPr>
                <w:rFonts w:hint="eastAsia" w:ascii="宋体" w:hAnsi="宋体" w:cs="仿宋"/>
                <w:sz w:val="24"/>
              </w:rPr>
              <w:t>2.质保8年（含工时及易损易耗件），</w:t>
            </w:r>
            <w:r>
              <w:rPr>
                <w:rFonts w:hint="eastAsia" w:ascii="宋体" w:hAnsi="宋体" w:cs="仿宋"/>
                <w:b/>
                <w:sz w:val="24"/>
              </w:rPr>
              <w:t>并在投标文件中附加盖公章的承诺书。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车尾广告屏</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1.整屏规格：根据车后挡风玻璃尺寸配置；点阵距：P4；单元板像素点：H:40*W:80；全屏分辨率（像素点）：W:400*H:80；全屏画面比例：5:1；刷新率：1200；灰度等级：4096；亮度：64；</w:t>
            </w:r>
          </w:p>
          <w:p>
            <w:pPr>
              <w:adjustRightInd w:val="0"/>
              <w:snapToGrid w:val="0"/>
              <w:spacing w:line="320" w:lineRule="exact"/>
              <w:jc w:val="left"/>
              <w:rPr>
                <w:rFonts w:ascii="宋体" w:hAnsi="宋体" w:cs="仿宋"/>
                <w:sz w:val="24"/>
              </w:rPr>
            </w:pPr>
            <w:r>
              <w:rPr>
                <w:rFonts w:hint="eastAsia" w:ascii="宋体" w:hAnsi="宋体" w:cs="仿宋"/>
                <w:sz w:val="24"/>
              </w:rPr>
              <w:t>2.管芯芯片：台湾晶元/三安/华灿；LED 封装方式：SMD1921；白平衡最高亮度≥6500；亮度（cd/ m2）：5500cd/平方米；亮度等级 64；灰度等级：灰色等级65536 刷新率1920支持 JPG,BMP,WMF等视频格式；电源配置：40A电源配置4个；控制开关：车尾后屏外部设置电源开关，方便年检等情况关闭电源；线材便用耐高温105℃、阻燃线材；</w:t>
            </w:r>
          </w:p>
          <w:p>
            <w:pPr>
              <w:adjustRightInd w:val="0"/>
              <w:snapToGrid w:val="0"/>
              <w:spacing w:line="320" w:lineRule="exact"/>
              <w:jc w:val="left"/>
              <w:rPr>
                <w:rFonts w:ascii="宋体" w:hAnsi="宋体" w:cs="仿宋"/>
                <w:sz w:val="24"/>
              </w:rPr>
            </w:pPr>
            <w:r>
              <w:rPr>
                <w:rFonts w:hint="eastAsia" w:ascii="宋体" w:hAnsi="宋体" w:cs="仿宋"/>
                <w:sz w:val="24"/>
              </w:rPr>
              <w:t>3.售后服务：4小时内响应，12小时内修复，疑难问题需要有整机备件更换；负责与采购方现有发布平台品牌（熙彩通）对接，保证正常发布；</w:t>
            </w:r>
          </w:p>
          <w:p>
            <w:pPr>
              <w:adjustRightInd w:val="0"/>
              <w:snapToGrid w:val="0"/>
              <w:spacing w:line="320" w:lineRule="exact"/>
              <w:jc w:val="left"/>
              <w:rPr>
                <w:rFonts w:ascii="宋体" w:hAnsi="宋体" w:cs="仿宋"/>
                <w:sz w:val="24"/>
              </w:rPr>
            </w:pPr>
            <w:r>
              <w:rPr>
                <w:rFonts w:hint="eastAsia" w:ascii="宋体" w:hAnsi="宋体" w:cs="仿宋"/>
                <w:sz w:val="24"/>
              </w:rPr>
              <w:t>4.质保8年（含工时及易损易耗件），要求本地维护，</w:t>
            </w:r>
            <w:r>
              <w:rPr>
                <w:rFonts w:hint="eastAsia" w:ascii="宋体" w:hAnsi="宋体" w:cs="仿宋"/>
                <w:b/>
                <w:bCs/>
                <w:sz w:val="24"/>
              </w:rPr>
              <w:t>投标人须中标后</w:t>
            </w:r>
            <w:r>
              <w:rPr>
                <w:rFonts w:ascii="宋体" w:hAnsi="宋体" w:cs="仿宋"/>
                <w:b/>
                <w:bCs/>
                <w:sz w:val="24"/>
              </w:rPr>
              <w:t>10天内提交质保承诺书，质保期承诺须由配套产品厂家和车辆制造厂家共同书面承诺。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61" w:type="dxa"/>
            <w:vAlign w:val="center"/>
          </w:tcPr>
          <w:p>
            <w:pPr>
              <w:adjustRightInd w:val="0"/>
              <w:spacing w:line="312" w:lineRule="atLeast"/>
              <w:jc w:val="center"/>
              <w:textAlignment w:val="baseline"/>
              <w:rPr>
                <w:rFonts w:ascii="宋体" w:hAnsi="宋体" w:cs="仿宋"/>
                <w:kern w:val="0"/>
                <w:sz w:val="24"/>
              </w:rPr>
            </w:pPr>
            <w:r>
              <w:rPr>
                <w:rFonts w:hint="eastAsia" w:ascii="宋体" w:hAnsi="宋体" w:cs="仿宋"/>
                <w:kern w:val="0"/>
                <w:sz w:val="24"/>
              </w:rPr>
              <w:t>其他</w:t>
            </w:r>
          </w:p>
        </w:tc>
        <w:tc>
          <w:tcPr>
            <w:tcW w:w="7135" w:type="dxa"/>
            <w:vAlign w:val="center"/>
          </w:tcPr>
          <w:p>
            <w:pPr>
              <w:adjustRightInd w:val="0"/>
              <w:snapToGrid w:val="0"/>
              <w:spacing w:line="320" w:lineRule="exact"/>
              <w:jc w:val="left"/>
              <w:rPr>
                <w:rFonts w:ascii="宋体" w:hAnsi="宋体" w:cs="仿宋"/>
                <w:sz w:val="24"/>
              </w:rPr>
            </w:pPr>
            <w:r>
              <w:rPr>
                <w:rFonts w:hint="eastAsia" w:ascii="宋体" w:hAnsi="宋体" w:cs="仿宋"/>
                <w:sz w:val="24"/>
              </w:rPr>
              <w:t>1.预留一组DCDC电源备用。</w:t>
            </w:r>
          </w:p>
          <w:p>
            <w:pPr>
              <w:adjustRightInd w:val="0"/>
              <w:snapToGrid w:val="0"/>
              <w:spacing w:line="320" w:lineRule="exact"/>
              <w:jc w:val="left"/>
              <w:rPr>
                <w:rFonts w:ascii="宋体" w:hAnsi="宋体" w:cs="仿宋"/>
                <w:sz w:val="24"/>
              </w:rPr>
            </w:pPr>
            <w:r>
              <w:rPr>
                <w:rFonts w:hint="eastAsia" w:ascii="宋体" w:hAnsi="宋体" w:cs="仿宋"/>
                <w:sz w:val="24"/>
              </w:rPr>
              <w:t>2.安装可打印式行车记录仪。</w:t>
            </w:r>
          </w:p>
          <w:p>
            <w:pPr>
              <w:adjustRightInd w:val="0"/>
              <w:snapToGrid w:val="0"/>
              <w:spacing w:line="320" w:lineRule="exact"/>
              <w:jc w:val="left"/>
              <w:rPr>
                <w:rFonts w:ascii="宋体" w:hAnsi="宋体" w:cs="仿宋"/>
                <w:sz w:val="24"/>
              </w:rPr>
            </w:pPr>
            <w:r>
              <w:rPr>
                <w:rFonts w:hint="eastAsia" w:ascii="宋体" w:hAnsi="宋体" w:cs="仿宋"/>
                <w:sz w:val="24"/>
              </w:rPr>
              <w:t>3.采购方其他采购的设备，由中标方负责安装。</w:t>
            </w:r>
          </w:p>
          <w:p>
            <w:pPr>
              <w:adjustRightInd w:val="0"/>
              <w:snapToGrid w:val="0"/>
              <w:spacing w:line="320" w:lineRule="exact"/>
              <w:jc w:val="left"/>
              <w:rPr>
                <w:rFonts w:ascii="宋体" w:hAnsi="宋体" w:cs="仿宋"/>
                <w:sz w:val="24"/>
              </w:rPr>
            </w:pPr>
            <w:r>
              <w:rPr>
                <w:rFonts w:hint="eastAsia" w:ascii="宋体" w:hAnsi="宋体" w:cs="仿宋"/>
                <w:sz w:val="24"/>
              </w:rPr>
              <w:t>4.全车低压供电12V或24V。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6" w:type="dxa"/>
            <w:gridSpan w:val="2"/>
            <w:vAlign w:val="center"/>
          </w:tcPr>
          <w:p>
            <w:pPr>
              <w:adjustRightInd w:val="0"/>
              <w:snapToGrid w:val="0"/>
              <w:spacing w:line="320" w:lineRule="exact"/>
              <w:rPr>
                <w:rFonts w:ascii="宋体" w:hAnsi="宋体" w:cs="仿宋"/>
                <w:b/>
                <w:bCs/>
                <w:sz w:val="24"/>
              </w:rPr>
            </w:pPr>
            <w:r>
              <w:rPr>
                <w:rFonts w:hint="eastAsia" w:ascii="宋体" w:hAnsi="宋体" w:cs="仿宋"/>
                <w:b/>
                <w:bCs/>
                <w:sz w:val="24"/>
              </w:rPr>
              <w:t>10.随车及其他附件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2261" w:type="dxa"/>
            <w:vAlign w:val="center"/>
          </w:tcPr>
          <w:p>
            <w:pPr>
              <w:adjustRightInd w:val="0"/>
              <w:snapToGrid w:val="0"/>
              <w:spacing w:line="320" w:lineRule="exact"/>
              <w:rPr>
                <w:rFonts w:ascii="宋体" w:hAnsi="宋体" w:cs="仿宋"/>
                <w:sz w:val="24"/>
              </w:rPr>
            </w:pPr>
            <w:r>
              <w:rPr>
                <w:rFonts w:hint="eastAsia" w:ascii="宋体" w:hAnsi="宋体" w:cs="仿宋"/>
                <w:b/>
                <w:bCs/>
                <w:sz w:val="24"/>
              </w:rPr>
              <w:t>随车及其他附件</w:t>
            </w:r>
          </w:p>
        </w:tc>
        <w:tc>
          <w:tcPr>
            <w:tcW w:w="7135" w:type="dxa"/>
            <w:vAlign w:val="center"/>
          </w:tcPr>
          <w:p>
            <w:pPr>
              <w:adjustRightInd w:val="0"/>
              <w:snapToGrid w:val="0"/>
              <w:spacing w:line="320" w:lineRule="exact"/>
              <w:rPr>
                <w:rFonts w:ascii="宋体" w:hAnsi="宋体" w:cs="仿宋"/>
                <w:sz w:val="24"/>
              </w:rPr>
            </w:pPr>
            <w:r>
              <w:rPr>
                <w:rFonts w:hint="eastAsia" w:ascii="宋体" w:hAnsi="宋体" w:cs="仿宋"/>
                <w:sz w:val="24"/>
              </w:rPr>
              <w:t>1.车厢内安装一个不锈钢置物箱，置物箱式样及安装位置与采购方对接后确认。</w:t>
            </w:r>
          </w:p>
          <w:p>
            <w:pPr>
              <w:adjustRightInd w:val="0"/>
              <w:snapToGrid w:val="0"/>
              <w:spacing w:line="320" w:lineRule="exact"/>
              <w:rPr>
                <w:rFonts w:ascii="宋体" w:hAnsi="宋体" w:cs="仿宋"/>
                <w:sz w:val="24"/>
              </w:rPr>
            </w:pPr>
            <w:r>
              <w:rPr>
                <w:rFonts w:hint="eastAsia" w:ascii="宋体" w:hAnsi="宋体" w:cs="仿宋"/>
                <w:sz w:val="24"/>
              </w:rPr>
              <w:t>2.提供五台车辆故障检测仪。</w:t>
            </w:r>
          </w:p>
          <w:p>
            <w:pPr>
              <w:adjustRightInd w:val="0"/>
              <w:snapToGrid w:val="0"/>
              <w:spacing w:line="320" w:lineRule="exact"/>
              <w:rPr>
                <w:rFonts w:ascii="宋体" w:hAnsi="宋体" w:cs="仿宋"/>
                <w:sz w:val="24"/>
              </w:rPr>
            </w:pPr>
            <w:r>
              <w:rPr>
                <w:rFonts w:hint="eastAsia" w:ascii="宋体" w:hAnsi="宋体" w:cs="仿宋"/>
                <w:sz w:val="24"/>
              </w:rPr>
              <w:t>1.每辆车配一个备胎（含轮辋）、随车工具一套。三角警示牌1个、止推器2个、反光背心1件。</w:t>
            </w:r>
          </w:p>
          <w:p>
            <w:pPr>
              <w:adjustRightInd w:val="0"/>
              <w:snapToGrid w:val="0"/>
              <w:spacing w:line="320" w:lineRule="exact"/>
              <w:rPr>
                <w:rFonts w:ascii="宋体" w:hAnsi="宋体" w:cs="仿宋"/>
                <w:sz w:val="24"/>
              </w:rPr>
            </w:pPr>
            <w:r>
              <w:rPr>
                <w:rFonts w:hint="eastAsia" w:ascii="宋体" w:hAnsi="宋体" w:cs="仿宋"/>
                <w:sz w:val="24"/>
              </w:rPr>
              <w:t>3.安装垃圾分类专用垃圾桶，尺寸、外观等由采购方确认，</w:t>
            </w:r>
          </w:p>
          <w:p>
            <w:pPr>
              <w:adjustRightInd w:val="0"/>
              <w:snapToGrid w:val="0"/>
              <w:spacing w:line="320" w:lineRule="exact"/>
              <w:rPr>
                <w:rFonts w:ascii="宋体" w:hAnsi="宋体" w:cs="仿宋"/>
                <w:sz w:val="24"/>
              </w:rPr>
            </w:pPr>
            <w:r>
              <w:rPr>
                <w:rFonts w:hint="eastAsia" w:ascii="宋体" w:hAnsi="宋体" w:cs="仿宋"/>
                <w:sz w:val="24"/>
              </w:rPr>
              <w:t>合适位置安装不锈钢拖把箱一只。在驾驶室前区域合理放置便民服务箱。安装意见箱，尺寸由采购方提供。</w:t>
            </w:r>
          </w:p>
          <w:p>
            <w:pPr>
              <w:adjustRightInd w:val="0"/>
              <w:snapToGrid w:val="0"/>
              <w:spacing w:line="320" w:lineRule="exact"/>
              <w:rPr>
                <w:rFonts w:ascii="宋体" w:hAnsi="宋体" w:cs="仿宋"/>
                <w:sz w:val="24"/>
              </w:rPr>
            </w:pPr>
            <w:r>
              <w:rPr>
                <w:rFonts w:hint="eastAsia" w:ascii="宋体" w:hAnsi="宋体" w:cs="仿宋"/>
                <w:sz w:val="24"/>
              </w:rPr>
              <w:t>4.车辆前挡序号与车钢印相符表格一份;配整车电路图和主要配件生产型号或图号及生产厂家资料电子档各1份。</w:t>
            </w:r>
          </w:p>
          <w:p>
            <w:pPr>
              <w:adjustRightInd w:val="0"/>
              <w:snapToGrid w:val="0"/>
              <w:spacing w:line="320" w:lineRule="exact"/>
              <w:rPr>
                <w:rFonts w:ascii="宋体" w:hAnsi="宋体" w:cs="仿宋"/>
                <w:sz w:val="24"/>
              </w:rPr>
            </w:pPr>
            <w:r>
              <w:rPr>
                <w:rFonts w:hint="eastAsia" w:ascii="宋体" w:hAnsi="宋体" w:cs="仿宋"/>
                <w:sz w:val="24"/>
              </w:rPr>
              <w:t xml:space="preserve">5.零配件供应体系方案应完整（提供资料、型号、价格清单） </w:t>
            </w:r>
          </w:p>
        </w:tc>
      </w:tr>
    </w:tbl>
    <w:p>
      <w:pPr>
        <w:autoSpaceDE w:val="0"/>
        <w:autoSpaceDN w:val="0"/>
        <w:adjustRightInd w:val="0"/>
        <w:snapToGrid w:val="0"/>
        <w:spacing w:line="320" w:lineRule="exact"/>
        <w:jc w:val="left"/>
        <w:rPr>
          <w:rFonts w:ascii="宋体" w:hAnsi="宋体" w:cs="仿宋"/>
          <w:b/>
          <w:spacing w:val="-8"/>
          <w:szCs w:val="21"/>
        </w:rPr>
      </w:pPr>
      <w:r>
        <w:rPr>
          <w:rFonts w:hint="eastAsia" w:ascii="宋体" w:hAnsi="宋体" w:cs="仿宋"/>
          <w:b/>
          <w:spacing w:val="-8"/>
          <w:szCs w:val="21"/>
        </w:rPr>
        <w:t>表1：设备安装要求</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4282"/>
        <w:gridCol w:w="739"/>
        <w:gridCol w:w="850"/>
        <w:gridCol w:w="2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9356" w:type="dxa"/>
            <w:gridSpan w:val="5"/>
          </w:tcPr>
          <w:p>
            <w:pPr>
              <w:adjustRightInd w:val="0"/>
              <w:snapToGrid w:val="0"/>
              <w:spacing w:line="320" w:lineRule="exact"/>
              <w:jc w:val="left"/>
              <w:rPr>
                <w:rFonts w:ascii="宋体" w:hAnsi="宋体" w:cs="仿宋"/>
                <w:szCs w:val="21"/>
              </w:rPr>
            </w:pPr>
            <w:r>
              <w:rPr>
                <w:rFonts w:hint="eastAsia" w:ascii="宋体" w:hAnsi="宋体" w:cs="仿宋"/>
                <w:szCs w:val="21"/>
              </w:rPr>
              <w:t>1、安装GPS定位天线到车外顶部；</w:t>
            </w:r>
          </w:p>
          <w:p>
            <w:pPr>
              <w:adjustRightInd w:val="0"/>
              <w:snapToGrid w:val="0"/>
              <w:spacing w:line="320" w:lineRule="exact"/>
              <w:jc w:val="left"/>
              <w:rPr>
                <w:rFonts w:ascii="宋体" w:hAnsi="宋体" w:cs="仿宋"/>
                <w:szCs w:val="21"/>
              </w:rPr>
            </w:pPr>
            <w:r>
              <w:rPr>
                <w:rFonts w:hint="eastAsia" w:ascii="宋体" w:hAnsi="宋体" w:cs="仿宋"/>
                <w:szCs w:val="21"/>
              </w:rPr>
              <w:t>2、在驾驶员附近安装用于和调度中心通话的喇叭；</w:t>
            </w:r>
          </w:p>
          <w:p>
            <w:pPr>
              <w:adjustRightInd w:val="0"/>
              <w:snapToGrid w:val="0"/>
              <w:spacing w:line="320" w:lineRule="exact"/>
              <w:jc w:val="left"/>
              <w:rPr>
                <w:rFonts w:ascii="宋体" w:hAnsi="宋体" w:cs="仿宋"/>
                <w:szCs w:val="21"/>
              </w:rPr>
            </w:pPr>
            <w:r>
              <w:rPr>
                <w:rFonts w:hint="eastAsia" w:ascii="宋体" w:hAnsi="宋体" w:cs="仿宋"/>
                <w:szCs w:val="21"/>
              </w:rPr>
              <w:t>3、6路摄像头监控区域：①照车前；②从前往后照车箱；③照前门、投币机；④照司机；⑤照中门；⑥照倒车；其中照车前的摄像头要求安装在仪表台上；</w:t>
            </w:r>
          </w:p>
          <w:p>
            <w:pPr>
              <w:adjustRightInd w:val="0"/>
              <w:snapToGrid w:val="0"/>
              <w:spacing w:line="320" w:lineRule="exact"/>
              <w:jc w:val="left"/>
              <w:rPr>
                <w:rFonts w:ascii="宋体" w:hAnsi="宋体" w:cs="仿宋"/>
                <w:szCs w:val="21"/>
              </w:rPr>
            </w:pPr>
            <w:r>
              <w:rPr>
                <w:rFonts w:hint="eastAsia" w:ascii="宋体" w:hAnsi="宋体" w:cs="仿宋"/>
                <w:szCs w:val="21"/>
              </w:rPr>
              <w:t>4、要求车辆配备分层可抽拉的设备箱；</w:t>
            </w:r>
          </w:p>
          <w:p>
            <w:pPr>
              <w:adjustRightInd w:val="0"/>
              <w:snapToGrid w:val="0"/>
              <w:spacing w:line="320" w:lineRule="exact"/>
              <w:jc w:val="left"/>
              <w:rPr>
                <w:rFonts w:ascii="宋体" w:hAnsi="宋体" w:cs="仿宋"/>
                <w:szCs w:val="21"/>
              </w:rPr>
            </w:pPr>
            <w:r>
              <w:rPr>
                <w:rFonts w:hint="eastAsia" w:ascii="宋体" w:hAnsi="宋体" w:cs="仿宋"/>
                <w:szCs w:val="21"/>
              </w:rPr>
              <w:t>5、安装协议转换器，实现与相应厂家路牌的通讯。</w:t>
            </w:r>
          </w:p>
          <w:p>
            <w:pPr>
              <w:adjustRightInd w:val="0"/>
              <w:snapToGrid w:val="0"/>
              <w:spacing w:line="320" w:lineRule="exact"/>
              <w:jc w:val="left"/>
              <w:rPr>
                <w:rFonts w:ascii="宋体" w:hAnsi="宋体" w:cs="仿宋"/>
                <w:szCs w:val="21"/>
              </w:rPr>
            </w:pPr>
            <w:r>
              <w:rPr>
                <w:rFonts w:hint="eastAsia" w:ascii="宋体" w:hAnsi="宋体" w:cs="仿宋"/>
                <w:szCs w:val="21"/>
              </w:rPr>
              <w:t>6、驾驶员安全行车分析仪，主机设备安装必须便于使用U盘拷贝更新新程序和更换SIM卡，便于配件的维护及设备的更换，要求主机的两侧需流出足够的操作空间。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jc w:val="center"/>
        </w:trPr>
        <w:tc>
          <w:tcPr>
            <w:tcW w:w="5563" w:type="dxa"/>
            <w:gridSpan w:val="2"/>
            <w:tcBorders>
              <w:top w:val="nil"/>
              <w:left w:val="nil"/>
              <w:bottom w:val="nil"/>
              <w:right w:val="nil"/>
            </w:tcBorders>
            <w:vAlign w:val="center"/>
          </w:tcPr>
          <w:p>
            <w:pPr>
              <w:widowControl/>
              <w:adjustRightInd w:val="0"/>
              <w:snapToGrid w:val="0"/>
              <w:spacing w:line="320" w:lineRule="exact"/>
              <w:rPr>
                <w:rFonts w:ascii="宋体" w:hAnsi="宋体" w:cs="仿宋"/>
                <w:b/>
                <w:bCs/>
                <w:kern w:val="0"/>
                <w:szCs w:val="21"/>
              </w:rPr>
            </w:pPr>
            <w:r>
              <w:rPr>
                <w:rFonts w:hint="eastAsia" w:ascii="宋体" w:hAnsi="宋体" w:cs="仿宋"/>
                <w:b/>
                <w:bCs/>
                <w:kern w:val="0"/>
                <w:szCs w:val="21"/>
              </w:rPr>
              <w:t>表2：车载移动电视目录</w:t>
            </w:r>
          </w:p>
        </w:tc>
        <w:tc>
          <w:tcPr>
            <w:tcW w:w="739"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850"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c>
          <w:tcPr>
            <w:tcW w:w="2204" w:type="dxa"/>
            <w:tcBorders>
              <w:top w:val="nil"/>
              <w:left w:val="nil"/>
              <w:bottom w:val="nil"/>
              <w:right w:val="nil"/>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名称</w:t>
            </w:r>
          </w:p>
        </w:tc>
        <w:tc>
          <w:tcPr>
            <w:tcW w:w="428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功能</w:t>
            </w:r>
          </w:p>
        </w:tc>
        <w:tc>
          <w:tcPr>
            <w:tcW w:w="739"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单位</w:t>
            </w:r>
          </w:p>
        </w:tc>
        <w:tc>
          <w:tcPr>
            <w:tcW w:w="85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数量</w:t>
            </w:r>
          </w:p>
        </w:tc>
        <w:tc>
          <w:tcPr>
            <w:tcW w:w="2204"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b/>
                <w:bCs/>
                <w:kern w:val="0"/>
                <w:szCs w:val="21"/>
              </w:rPr>
            </w:pPr>
            <w:r>
              <w:rPr>
                <w:rFonts w:hint="eastAsia" w:ascii="宋体" w:hAnsi="宋体" w:cs="仿宋"/>
                <w:b/>
                <w:bCs/>
                <w:kern w:val="0"/>
                <w:szCs w:val="21"/>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0" w:hRule="atLeast"/>
          <w:jc w:val="center"/>
        </w:trPr>
        <w:tc>
          <w:tcPr>
            <w:tcW w:w="1281"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428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73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85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c>
          <w:tcPr>
            <w:tcW w:w="220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left"/>
              <w:rPr>
                <w:rFonts w:ascii="宋体" w:hAnsi="宋体" w:cs="仿宋"/>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9" w:hRule="atLeast"/>
          <w:jc w:val="center"/>
        </w:trPr>
        <w:tc>
          <w:tcPr>
            <w:tcW w:w="1281"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车载播放器</w:t>
            </w:r>
          </w:p>
        </w:tc>
        <w:tc>
          <w:tcPr>
            <w:tcW w:w="4282" w:type="dxa"/>
            <w:tcBorders>
              <w:top w:val="nil"/>
              <w:left w:val="nil"/>
              <w:bottom w:val="single" w:color="000000"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用于视频接收播放功能</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Wifi模块</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安全电池</w:t>
            </w:r>
          </w:p>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8G存储卡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LED显示器</w:t>
            </w:r>
          </w:p>
        </w:tc>
        <w:tc>
          <w:tcPr>
            <w:tcW w:w="4282"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 xml:space="preserve"> LED车用液晶显示屏</w:t>
            </w:r>
          </w:p>
        </w:tc>
        <w:tc>
          <w:tcPr>
            <w:tcW w:w="73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台</w:t>
            </w:r>
          </w:p>
        </w:tc>
        <w:tc>
          <w:tcPr>
            <w:tcW w:w="850"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w:t>
            </w:r>
          </w:p>
        </w:tc>
        <w:tc>
          <w:tcPr>
            <w:tcW w:w="2204"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hAnsi="宋体" w:cs="仿宋"/>
                <w:kern w:val="0"/>
                <w:szCs w:val="21"/>
              </w:rPr>
            </w:pPr>
            <w:r>
              <w:rPr>
                <w:rFonts w:hint="eastAsia" w:ascii="宋体" w:hAnsi="宋体" w:cs="仿宋"/>
                <w:kern w:val="0"/>
                <w:szCs w:val="21"/>
              </w:rPr>
              <w:t>18.5寸　</w:t>
            </w:r>
          </w:p>
        </w:tc>
      </w:tr>
    </w:tbl>
    <w:p>
      <w:pPr>
        <w:rPr>
          <w:rFonts w:ascii="宋体" w:hAnsi="宋体" w:cs="仿宋"/>
          <w:b/>
          <w:bCs/>
          <w:sz w:val="24"/>
        </w:rPr>
      </w:pPr>
    </w:p>
    <w:p>
      <w:pPr>
        <w:rPr>
          <w:rFonts w:ascii="宋体" w:hAnsi="宋体" w:cs="仿宋"/>
          <w:b/>
          <w:bCs/>
          <w:sz w:val="24"/>
        </w:rPr>
      </w:pPr>
      <w:r>
        <w:rPr>
          <w:rFonts w:hint="eastAsia" w:ascii="宋体" w:hAnsi="宋体" w:cs="仿宋"/>
          <w:b/>
          <w:bCs/>
          <w:sz w:val="24"/>
        </w:rPr>
        <w:t>说明：</w:t>
      </w:r>
    </w:p>
    <w:p>
      <w:pPr>
        <w:spacing w:line="360" w:lineRule="auto"/>
        <w:ind w:firstLine="480" w:firstLineChars="200"/>
        <w:rPr>
          <w:rFonts w:ascii="宋体" w:hAnsi="宋体" w:cs="仿宋"/>
          <w:sz w:val="24"/>
        </w:rPr>
      </w:pPr>
      <w:r>
        <w:rPr>
          <w:rFonts w:hint="eastAsia" w:ascii="宋体" w:hAnsi="宋体" w:cs="仿宋"/>
          <w:sz w:val="24"/>
        </w:rPr>
        <w:t>1.在车辆检查或使用中发现响应配置与实际配置不相符的，按虚假应标处理，追究差额及相关损失，由采购人直接在应付款（包括中标厂家其他批次的应付款）或质保金（质保函）中扣除，并上报台州市国资委，列入采购方失信名单。2.中标车辆必须符合台州地区上牌要求，由中标厂家完成车辆上牌工作，其正常检测上牌费用由采购单位支付。</w:t>
      </w:r>
    </w:p>
    <w:p>
      <w:pPr>
        <w:spacing w:line="360" w:lineRule="auto"/>
        <w:ind w:firstLine="480" w:firstLineChars="200"/>
        <w:rPr>
          <w:rFonts w:ascii="宋体" w:hAnsi="宋体" w:cs="仿宋"/>
          <w:strike/>
          <w:sz w:val="24"/>
        </w:rPr>
      </w:pPr>
      <w:r>
        <w:rPr>
          <w:rFonts w:ascii="宋体" w:hAnsi="宋体" w:cs="仿宋"/>
          <w:sz w:val="24"/>
        </w:rPr>
        <w:t>3.所有的终端设备产品，</w:t>
      </w:r>
      <w:r>
        <w:rPr>
          <w:rFonts w:hint="eastAsia" w:ascii="宋体" w:hAnsi="宋体" w:cs="仿宋"/>
          <w:sz w:val="24"/>
        </w:rPr>
        <w:t>原则上应在中标厂家安装完毕后方可出厂。</w:t>
      </w:r>
    </w:p>
    <w:p>
      <w:pPr>
        <w:spacing w:line="360" w:lineRule="auto"/>
        <w:ind w:firstLine="480" w:firstLineChars="200"/>
        <w:rPr>
          <w:rFonts w:ascii="宋体" w:hAnsi="宋体" w:cs="仿宋"/>
          <w:sz w:val="24"/>
        </w:rPr>
      </w:pPr>
      <w:r>
        <w:rPr>
          <w:rFonts w:hint="eastAsia" w:ascii="宋体" w:hAnsi="宋体" w:cs="仿宋"/>
          <w:sz w:val="24"/>
        </w:rPr>
        <w:t>4.中标厂家必须履行质保承诺，在约定时间未作出响应而造成损失的，采购人有权自行联系维修，所产生的直接费用与损失由中标厂家承担，采购人有权直接在应付款（包括中标厂家其他批次的应付款）中扣除，造成严重后果的，将通过法律途径维权（需提供书面承诺）。</w:t>
      </w:r>
    </w:p>
    <w:p>
      <w:pPr>
        <w:spacing w:line="360" w:lineRule="auto"/>
        <w:ind w:firstLine="480" w:firstLineChars="200"/>
        <w:rPr>
          <w:rFonts w:ascii="宋体" w:hAnsi="宋体" w:cs="仿宋"/>
          <w:sz w:val="24"/>
        </w:rPr>
      </w:pPr>
      <w:r>
        <w:rPr>
          <w:rFonts w:hint="eastAsia" w:ascii="宋体" w:hAnsi="宋体" w:cs="仿宋"/>
          <w:sz w:val="24"/>
        </w:rPr>
        <w:t>5.整车运行安全技术条件必须符合中华人民共和国国家标准或相关行业标准，同时依据国家有关产品质量法规和制造标准、技术要求等邀约进行验收。</w:t>
      </w:r>
    </w:p>
    <w:p>
      <w:pPr>
        <w:spacing w:line="360" w:lineRule="auto"/>
        <w:ind w:firstLine="480" w:firstLineChars="200"/>
        <w:rPr>
          <w:rFonts w:ascii="宋体" w:hAnsi="宋体" w:cs="仿宋"/>
          <w:sz w:val="24"/>
        </w:rPr>
      </w:pPr>
      <w:r>
        <w:rPr>
          <w:rFonts w:hint="eastAsia" w:ascii="宋体" w:hAnsi="宋体" w:cs="仿宋"/>
          <w:sz w:val="24"/>
        </w:rPr>
        <w:t>6.投标厂家需认真阅读并完全理解本技术配置要求，投标人无权擅自改动或降低相关标准与要求。</w:t>
      </w:r>
    </w:p>
    <w:p>
      <w:pPr>
        <w:spacing w:line="360" w:lineRule="auto"/>
        <w:rPr>
          <w:rFonts w:ascii="宋体" w:hAnsi="宋体" w:cs="仿宋"/>
          <w:b/>
          <w:sz w:val="24"/>
        </w:rPr>
      </w:pPr>
      <w:r>
        <w:rPr>
          <w:rFonts w:hint="eastAsia" w:ascii="宋体" w:hAnsi="宋体" w:cs="仿宋"/>
          <w:sz w:val="24"/>
        </w:rPr>
        <w:t>7.动力电池须在质保期内做好定期保养维护，由投标人提供维护方案并组织实施。</w:t>
      </w:r>
    </w:p>
    <w:p>
      <w:pPr>
        <w:spacing w:line="360" w:lineRule="auto"/>
        <w:rPr>
          <w:rFonts w:ascii="宋体" w:hAnsi="宋体" w:cs="仿宋"/>
          <w:b/>
          <w:sz w:val="24"/>
        </w:rPr>
      </w:pPr>
      <w:r>
        <w:rPr>
          <w:rFonts w:hint="eastAsia" w:ascii="宋体" w:hAnsi="宋体" w:cs="仿宋"/>
          <w:b/>
          <w:sz w:val="24"/>
        </w:rPr>
        <w:t>三、商务需求（标段一、二、三）</w:t>
      </w:r>
    </w:p>
    <w:p>
      <w:pPr>
        <w:spacing w:line="360" w:lineRule="auto"/>
        <w:rPr>
          <w:rFonts w:ascii="宋体" w:hAnsi="宋体" w:cs="仿宋"/>
          <w:b/>
          <w:sz w:val="24"/>
        </w:rPr>
      </w:pPr>
      <w:r>
        <w:rPr>
          <w:rFonts w:hint="eastAsia" w:ascii="宋体" w:hAnsi="宋体" w:cs="仿宋"/>
          <w:b/>
          <w:sz w:val="24"/>
        </w:rPr>
        <w:t>1、质保期：</w:t>
      </w:r>
    </w:p>
    <w:p>
      <w:pPr>
        <w:spacing w:line="360" w:lineRule="auto"/>
        <w:ind w:firstLine="480" w:firstLineChars="200"/>
        <w:rPr>
          <w:rFonts w:ascii="宋体" w:hAnsi="宋体" w:cs="仿宋"/>
          <w:sz w:val="21"/>
        </w:rPr>
      </w:pPr>
      <w:r>
        <w:rPr>
          <w:rFonts w:hint="eastAsia" w:ascii="宋体" w:hAnsi="宋体" w:cs="仿宋"/>
          <w:sz w:val="24"/>
        </w:rPr>
        <w:t>整车免费质保4年，其余车辆重要部位及重要零部件其质保期同具体技术参数。（投标供应商需按要求对在技术参数中所提到的各个质保期进行逐一承诺）。</w:t>
      </w:r>
    </w:p>
    <w:p>
      <w:pPr>
        <w:spacing w:line="360" w:lineRule="auto"/>
        <w:rPr>
          <w:rFonts w:ascii="宋体" w:hAnsi="宋体" w:cs="仿宋"/>
          <w:sz w:val="24"/>
        </w:rPr>
      </w:pPr>
      <w:r>
        <w:rPr>
          <w:rFonts w:hint="eastAsia" w:ascii="宋体" w:hAnsi="宋体" w:cs="仿宋"/>
          <w:b/>
          <w:sz w:val="24"/>
        </w:rPr>
        <w:t>2、交货时间及地点：</w:t>
      </w:r>
      <w:r>
        <w:rPr>
          <w:rFonts w:hint="eastAsia" w:ascii="宋体" w:hAnsi="宋体" w:cs="仿宋"/>
          <w:sz w:val="24"/>
        </w:rPr>
        <w:t>合同签订后</w:t>
      </w:r>
      <w:r>
        <w:rPr>
          <w:rFonts w:ascii="宋体" w:hAnsi="宋体" w:cs="仿宋"/>
          <w:sz w:val="24"/>
        </w:rPr>
        <w:t>45</w:t>
      </w:r>
      <w:r>
        <w:rPr>
          <w:rFonts w:hint="eastAsia" w:ascii="宋体" w:hAnsi="宋体" w:cs="仿宋"/>
          <w:sz w:val="24"/>
        </w:rPr>
        <w:t>天内完成供货、调试、验收和车辆登记上牌工作并移交至甲方指定交货地点。</w:t>
      </w:r>
    </w:p>
    <w:p>
      <w:pPr>
        <w:spacing w:line="360" w:lineRule="auto"/>
        <w:rPr>
          <w:rFonts w:ascii="宋体" w:hAnsi="宋体" w:cs="仿宋"/>
          <w:b/>
          <w:bCs/>
          <w:sz w:val="21"/>
        </w:rPr>
      </w:pPr>
      <w:r>
        <w:rPr>
          <w:rFonts w:hint="eastAsia" w:ascii="宋体" w:hAnsi="宋体" w:cs="仿宋"/>
          <w:b/>
          <w:sz w:val="24"/>
        </w:rPr>
        <w:t>3、付款条件：</w:t>
      </w:r>
      <w:r>
        <w:rPr>
          <w:rFonts w:hint="eastAsia" w:ascii="宋体" w:hAnsi="宋体" w:cs="仿宋"/>
          <w:sz w:val="24"/>
        </w:rPr>
        <w:t>车辆上牌、验收合格、收到质量保证金后15日内，支付80%货款，一年后支付剩余20%货款。</w:t>
      </w:r>
    </w:p>
    <w:p>
      <w:pPr>
        <w:spacing w:line="360" w:lineRule="auto"/>
        <w:rPr>
          <w:rFonts w:ascii="宋体" w:hAnsi="宋体" w:cs="仿宋"/>
          <w:sz w:val="24"/>
        </w:rPr>
      </w:pPr>
      <w:r>
        <w:rPr>
          <w:rFonts w:hint="eastAsia" w:ascii="宋体" w:hAnsi="宋体" w:cs="仿宋"/>
          <w:b/>
          <w:sz w:val="24"/>
        </w:rPr>
        <w:t>4、备品备件及耗材等要求：</w:t>
      </w:r>
      <w:r>
        <w:rPr>
          <w:rFonts w:hint="eastAsia" w:ascii="宋体" w:hAnsi="宋体" w:cs="仿宋"/>
          <w:sz w:val="24"/>
        </w:rPr>
        <w:t>见具体技术需求。</w:t>
      </w:r>
    </w:p>
    <w:p>
      <w:pPr>
        <w:spacing w:line="360" w:lineRule="auto"/>
        <w:rPr>
          <w:rFonts w:ascii="宋体" w:hAnsi="宋体" w:cs="仿宋"/>
          <w:b/>
          <w:sz w:val="24"/>
        </w:rPr>
      </w:pPr>
      <w:r>
        <w:rPr>
          <w:rFonts w:hint="eastAsia" w:ascii="宋体" w:hAnsi="宋体" w:cs="仿宋"/>
          <w:b/>
          <w:sz w:val="24"/>
        </w:rPr>
        <w:t>5、质量保证金：</w:t>
      </w:r>
    </w:p>
    <w:p>
      <w:pPr>
        <w:autoSpaceDE w:val="0"/>
        <w:autoSpaceDN w:val="0"/>
        <w:adjustRightInd w:val="0"/>
        <w:spacing w:line="360" w:lineRule="auto"/>
        <w:ind w:left="280" w:leftChars="100" w:firstLine="480" w:firstLineChars="200"/>
        <w:jc w:val="left"/>
        <w:rPr>
          <w:rFonts w:ascii="宋体" w:hAnsi="宋体" w:cs="宋体"/>
          <w:sz w:val="24"/>
        </w:rPr>
      </w:pPr>
      <w:r>
        <w:rPr>
          <w:rFonts w:hint="eastAsia" w:ascii="宋体" w:hAnsi="宋体" w:cs="仿宋"/>
          <w:sz w:val="24"/>
        </w:rPr>
        <w:t>在验收合格后3个工作日内各标段中标人须向采购人现金转账方式缴纳各标段结算总价5%的质量保证金，质量保证金在车辆运行一年后且无违约扣除情况下，允许中标人以等额见索即付的银行保函置换。</w:t>
      </w:r>
    </w:p>
    <w:p>
      <w:pPr>
        <w:pStyle w:val="33"/>
        <w:spacing w:line="360" w:lineRule="auto"/>
        <w:rPr>
          <w:rFonts w:ascii="宋体" w:hAnsi="宋体" w:cs="宋体"/>
        </w:rPr>
      </w:pPr>
    </w:p>
    <w:p>
      <w:pPr>
        <w:spacing w:line="360" w:lineRule="auto"/>
        <w:ind w:firstLine="600" w:firstLineChars="200"/>
        <w:jc w:val="center"/>
        <w:rPr>
          <w:rFonts w:ascii="宋体" w:hAnsi="宋体"/>
          <w:sz w:val="30"/>
          <w:szCs w:val="30"/>
        </w:rPr>
      </w:pPr>
      <w:r>
        <w:rPr>
          <w:rFonts w:ascii="宋体" w:hAnsi="宋体"/>
          <w:sz w:val="30"/>
          <w:szCs w:val="30"/>
        </w:rPr>
        <w:br w:type="page"/>
      </w:r>
      <w:r>
        <w:rPr>
          <w:rFonts w:ascii="宋体" w:hAnsi="宋体"/>
          <w:sz w:val="30"/>
          <w:szCs w:val="30"/>
        </w:rPr>
        <w:t xml:space="preserve">第三章  </w:t>
      </w:r>
      <w:r>
        <w:rPr>
          <w:rFonts w:hint="eastAsia" w:ascii="宋体" w:hAnsi="宋体"/>
          <w:sz w:val="30"/>
          <w:szCs w:val="30"/>
        </w:rPr>
        <w:t>供应商</w:t>
      </w:r>
      <w:r>
        <w:rPr>
          <w:rFonts w:ascii="宋体" w:hAnsi="宋体"/>
          <w:sz w:val="30"/>
          <w:szCs w:val="30"/>
        </w:rPr>
        <w:t>须知</w:t>
      </w:r>
    </w:p>
    <w:p>
      <w:pPr>
        <w:snapToGrid w:val="0"/>
        <w:spacing w:before="120" w:beforeLines="50" w:after="120" w:afterLines="50" w:line="360" w:lineRule="auto"/>
        <w:ind w:left="238"/>
        <w:jc w:val="center"/>
        <w:outlineLvl w:val="1"/>
        <w:rPr>
          <w:rFonts w:ascii="宋体" w:hAnsi="宋体"/>
          <w:b/>
          <w:szCs w:val="28"/>
        </w:rPr>
      </w:pPr>
      <w:r>
        <w:rPr>
          <w:rFonts w:hint="eastAsia" w:ascii="宋体" w:hAnsi="宋体"/>
          <w:b/>
          <w:szCs w:val="28"/>
        </w:rPr>
        <w:t>前 附 表</w:t>
      </w:r>
    </w:p>
    <w:tbl>
      <w:tblPr>
        <w:tblStyle w:val="42"/>
        <w:tblW w:w="9240" w:type="dxa"/>
        <w:tblInd w:w="-5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序号</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1</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ind w:left="1050" w:hanging="1050" w:hangingChars="500"/>
              <w:rPr>
                <w:rFonts w:ascii="宋体" w:hAnsi="宋体"/>
                <w:sz w:val="21"/>
                <w:szCs w:val="21"/>
              </w:rPr>
            </w:pPr>
            <w:r>
              <w:rPr>
                <w:rFonts w:hint="eastAsia" w:ascii="宋体" w:hAnsi="宋体"/>
                <w:sz w:val="21"/>
                <w:szCs w:val="21"/>
              </w:rPr>
              <w:t>项目名称：台州公交巴士5.9米级新能源公交车采购项目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2</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采购数量：详见第二章招标需求</w:t>
            </w:r>
          </w:p>
          <w:p>
            <w:pPr>
              <w:snapToGrid w:val="0"/>
              <w:spacing w:line="324" w:lineRule="auto"/>
              <w:rPr>
                <w:rFonts w:ascii="宋体" w:hAnsi="宋体"/>
                <w:sz w:val="21"/>
                <w:szCs w:val="21"/>
              </w:rPr>
            </w:pPr>
            <w:r>
              <w:rPr>
                <w:rFonts w:hint="eastAsia" w:ascii="宋体" w:hAnsi="宋体"/>
                <w:sz w:val="21"/>
                <w:szCs w:val="21"/>
              </w:rPr>
              <w:t>采购单位：台州市公交巴士有限公司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3</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投标报价及费用：</w:t>
            </w:r>
            <w:r>
              <w:rPr>
                <w:rFonts w:ascii="宋体" w:hAnsi="宋体"/>
                <w:sz w:val="21"/>
                <w:szCs w:val="21"/>
              </w:rPr>
              <w:t>1</w:t>
            </w:r>
            <w:r>
              <w:rPr>
                <w:rFonts w:hint="eastAsia" w:ascii="宋体" w:hAnsi="宋体"/>
                <w:sz w:val="21"/>
                <w:szCs w:val="21"/>
              </w:rPr>
              <w:t>.本项目投标应以人民币报价；</w:t>
            </w:r>
            <w:r>
              <w:rPr>
                <w:rFonts w:ascii="宋体" w:hAnsi="宋体"/>
                <w:sz w:val="21"/>
                <w:szCs w:val="21"/>
              </w:rPr>
              <w:t>2</w:t>
            </w:r>
            <w:r>
              <w:rPr>
                <w:rFonts w:hint="eastAsia" w:ascii="宋体" w:hAnsi="宋体"/>
                <w:sz w:val="21"/>
                <w:szCs w:val="21"/>
              </w:rPr>
              <w:t>.不论投标结果如何，供应商均应自行承担所有与投标有关的全部费用。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4</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投标保证金：按《公开招标采购公告》第九条规定交纳。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5</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6</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演示时间及地点（如有）：无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7</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rPr>
                <w:rFonts w:ascii="宋体" w:hAnsi="宋体"/>
                <w:sz w:val="21"/>
                <w:szCs w:val="21"/>
              </w:rPr>
            </w:pPr>
            <w:r>
              <w:rPr>
                <w:rFonts w:hint="eastAsia" w:ascii="宋体" w:hAnsi="宋体"/>
                <w:sz w:val="21"/>
                <w:szCs w:val="21"/>
              </w:rPr>
              <w:t>答疑与澄清：供应商如认为招标文件表述不清晰、存在歧视性、排他性或者其他违法内容的，必须在投标截止时间10日前以书面形式要求招标采购单位作出解释、澄清或者向招标采购单位提出书面质疑；招标采购单位的回复将以公告形式送达所有潜在的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8</w:t>
            </w:r>
          </w:p>
        </w:tc>
        <w:tc>
          <w:tcPr>
            <w:tcW w:w="8371" w:type="dxa"/>
            <w:tcBorders>
              <w:top w:val="single" w:color="auto" w:sz="4" w:space="0"/>
              <w:left w:val="single" w:color="auto" w:sz="4" w:space="0"/>
              <w:bottom w:val="single" w:color="auto" w:sz="4" w:space="0"/>
              <w:right w:val="single" w:color="auto" w:sz="4" w:space="0"/>
            </w:tcBorders>
            <w:vAlign w:val="center"/>
          </w:tcPr>
          <w:p>
            <w:pPr>
              <w:pStyle w:val="59"/>
              <w:ind w:firstLine="0" w:firstLineChars="0"/>
              <w:rPr>
                <w:rFonts w:hAnsi="宋体"/>
                <w:sz w:val="21"/>
                <w:szCs w:val="21"/>
              </w:rPr>
            </w:pPr>
            <w:r>
              <w:rPr>
                <w:rFonts w:hint="eastAsia" w:hAnsi="宋体"/>
                <w:sz w:val="21"/>
                <w:szCs w:val="21"/>
              </w:rPr>
              <w:t>投标文件组成：</w:t>
            </w:r>
          </w:p>
          <w:p>
            <w:pPr>
              <w:pStyle w:val="59"/>
              <w:ind w:firstLine="0" w:firstLineChars="0"/>
              <w:rPr>
                <w:rFonts w:hAnsi="宋体"/>
                <w:sz w:val="21"/>
                <w:szCs w:val="21"/>
              </w:rPr>
            </w:pPr>
            <w:r>
              <w:rPr>
                <w:rFonts w:hint="eastAsia" w:hAnsi="宋体"/>
                <w:sz w:val="21"/>
                <w:szCs w:val="21"/>
              </w:rPr>
              <w:t>1、电子投标文件：一份（上传至交易平台）。（电子文件应签章齐全，办理CA证书的的投标人可采用单位电子公章代替单位公章，法定代表人电子章代替法定代表人签字，在投标文件编制工具中签章）。</w:t>
            </w:r>
          </w:p>
          <w:p>
            <w:pPr>
              <w:pStyle w:val="59"/>
              <w:ind w:firstLine="0" w:firstLineChars="0"/>
              <w:rPr>
                <w:rFonts w:hAnsi="宋体"/>
                <w:b/>
                <w:sz w:val="21"/>
                <w:szCs w:val="21"/>
              </w:rPr>
            </w:pPr>
            <w:r>
              <w:rPr>
                <w:rFonts w:hint="eastAsia" w:hAnsi="宋体"/>
                <w:b/>
                <w:sz w:val="21"/>
                <w:szCs w:val="21"/>
              </w:rPr>
              <w:t>2、样车：</w:t>
            </w:r>
          </w:p>
          <w:p>
            <w:pPr>
              <w:pStyle w:val="59"/>
              <w:ind w:firstLine="0" w:firstLineChars="0"/>
              <w:rPr>
                <w:rFonts w:hAnsi="宋体"/>
                <w:b/>
                <w:sz w:val="21"/>
                <w:szCs w:val="21"/>
              </w:rPr>
            </w:pPr>
            <w:r>
              <w:rPr>
                <w:rFonts w:hint="eastAsia" w:hAnsi="宋体"/>
                <w:b/>
                <w:sz w:val="21"/>
                <w:szCs w:val="21"/>
              </w:rPr>
              <w:t>每标段需提供评审样车1辆，所投车型应与招标需求一致，未提供样车的，样车部分评审不得分。</w:t>
            </w:r>
          </w:p>
          <w:p>
            <w:pPr>
              <w:pStyle w:val="59"/>
              <w:ind w:firstLine="0" w:firstLineChars="0"/>
              <w:rPr>
                <w:rFonts w:hAnsi="宋体"/>
                <w:b/>
                <w:sz w:val="21"/>
                <w:szCs w:val="21"/>
              </w:rPr>
            </w:pPr>
            <w:r>
              <w:rPr>
                <w:rFonts w:hint="eastAsia" w:hAnsi="宋体"/>
                <w:b/>
                <w:sz w:val="21"/>
                <w:szCs w:val="21"/>
              </w:rPr>
              <w:t>提供时间：投标截止时间前；</w:t>
            </w:r>
          </w:p>
          <w:p>
            <w:pPr>
              <w:pStyle w:val="59"/>
              <w:ind w:firstLine="0" w:firstLineChars="0"/>
            </w:pPr>
            <w:r>
              <w:rPr>
                <w:rFonts w:hint="eastAsia" w:hAnsi="宋体"/>
                <w:b/>
                <w:sz w:val="21"/>
                <w:szCs w:val="21"/>
              </w:rPr>
              <w:t>存放地点：采购单位指定地点（联系人：陈先生13867657332）。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9</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left"/>
              <w:rPr>
                <w:rFonts w:ascii="宋体" w:hAnsi="宋体"/>
                <w:sz w:val="21"/>
                <w:szCs w:val="21"/>
              </w:rPr>
            </w:pPr>
            <w:r>
              <w:rPr>
                <w:rFonts w:hint="eastAsia" w:ascii="宋体" w:hAnsi="宋体"/>
                <w:sz w:val="21"/>
                <w:szCs w:val="21"/>
              </w:rPr>
              <w:t>投标截止时间及地点：</w:t>
            </w:r>
            <w:r>
              <w:rPr>
                <w:rFonts w:hint="eastAsia" w:ascii="宋体" w:hAnsi="宋体" w:cs="Arial"/>
                <w:sz w:val="21"/>
                <w:szCs w:val="21"/>
                <w:u w:val="single"/>
              </w:rPr>
              <w:t>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10</w:t>
            </w:r>
          </w:p>
        </w:tc>
        <w:tc>
          <w:tcPr>
            <w:tcW w:w="8371"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left"/>
              <w:rPr>
                <w:rFonts w:ascii="宋体" w:hAnsi="宋体"/>
                <w:sz w:val="21"/>
                <w:szCs w:val="21"/>
              </w:rPr>
            </w:pPr>
            <w:r>
              <w:rPr>
                <w:rFonts w:hint="eastAsia" w:ascii="宋体" w:hAnsi="宋体"/>
                <w:sz w:val="21"/>
                <w:szCs w:val="21"/>
              </w:rPr>
              <w:t>开标时间及地点：</w:t>
            </w:r>
            <w:r>
              <w:rPr>
                <w:rFonts w:hint="eastAsia" w:ascii="宋体" w:hAnsi="宋体" w:cs="Arial"/>
                <w:sz w:val="21"/>
                <w:szCs w:val="21"/>
                <w:u w:val="single"/>
              </w:rPr>
              <w:t>见招标公告；</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11</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评标办法及评分标准：详见本招标文件第四章《评标办法及评分标准》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12</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结果公示：台州市公共资源交易网(http://tzztb.zjtz.gov.cn/)、台州市产权交易网（http://www.tzpre.com）。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13</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投标保证金退还（不计息）：除招标文件规定不予退还保证金的情形外，未中标供应商的投标保证金在中标通知书发出后5个工作日内退还，中标供应商的投标保证金在合同签订后5天内退还。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14</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签订合同时间：中标通知书发出后</w:t>
            </w:r>
            <w:r>
              <w:rPr>
                <w:rFonts w:ascii="宋体" w:hAnsi="宋体"/>
                <w:sz w:val="21"/>
                <w:szCs w:val="21"/>
              </w:rPr>
              <w:t>15</w:t>
            </w:r>
            <w:r>
              <w:rPr>
                <w:rFonts w:hint="eastAsia" w:ascii="宋体" w:hAnsi="宋体"/>
                <w:sz w:val="21"/>
                <w:szCs w:val="21"/>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ascii="宋体" w:hAnsi="宋体"/>
                <w:sz w:val="21"/>
                <w:szCs w:val="21"/>
              </w:rPr>
              <w:t>15</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履约保证金的收取及退还:</w:t>
            </w:r>
            <w:r>
              <w:rPr>
                <w:rFonts w:hint="eastAsia"/>
              </w:rPr>
              <w:t xml:space="preserve"> </w:t>
            </w:r>
            <w:r>
              <w:rPr>
                <w:rFonts w:hint="eastAsia" w:ascii="宋体" w:hAnsi="宋体"/>
                <w:sz w:val="21"/>
                <w:szCs w:val="21"/>
              </w:rPr>
              <w:t>在合同签订前中标人须向采购单位缴纳合同金额1%（现金、银行转账、支票、汇票、本票或者金融机构、担保机构出具的保函等形式提交）的履约保证金，履约保证金在本项目验收合格且无违约扣除情况后30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16</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付款方式：详见招标需求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1"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17</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电子投标文件上传步骤：</w:t>
            </w:r>
          </w:p>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1)登录台州市产权电子交易平台（网址：https://ggzy.tzztb.zjtz.gov.cn/t9/）；</w:t>
            </w:r>
          </w:p>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2)选择投标项目，输入MD5码，点击“上传标书”；</w:t>
            </w:r>
          </w:p>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3）电子投标文件上传完成。</w:t>
            </w:r>
          </w:p>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投标人应在投标截止时间前上传完成电子投标文件。电子投标工具安装包下载地址及具体操作步骤见《台州产权系统应用操作说明及工具安装包》</w:t>
            </w:r>
          </w:p>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网址：</w:t>
            </w:r>
            <w:r>
              <w:rPr>
                <w:rFonts w:ascii="宋体" w:hAnsi="宋体"/>
                <w:b/>
                <w:sz w:val="21"/>
                <w:szCs w:val="21"/>
              </w:rPr>
              <w:t>https://ggzy.tzztb.zjtz.gov.cn/tzcms/xxfb123/363574.htm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18</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ind w:firstLine="420" w:firstLineChars="200"/>
              <w:textAlignment w:val="bottom"/>
              <w:rPr>
                <w:rFonts w:ascii="宋体" w:hAnsi="宋体"/>
                <w:sz w:val="21"/>
                <w:szCs w:val="21"/>
              </w:rPr>
            </w:pPr>
            <w:r>
              <w:rPr>
                <w:rFonts w:hint="eastAsia" w:ascii="宋体" w:hAnsi="宋体"/>
                <w:sz w:val="21"/>
                <w:szCs w:val="21"/>
              </w:rPr>
              <w:t>投标文件有效期：90天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5"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19</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一、开标程序如下：</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1.项目所有投标人进入不见面开标大厅（https://ggzy.tzztb.zjtz.gov.cn/auth2/toLogin.do）。</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2.由招标代理开启视频直播，对开标现场情况进行全程直播。</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2.招标代理使用编制招标文件的数字证书在新应用中对所有投标文件进行统一解密。解密后，新应用将直接显示投标人名称、解密状态（若解密失败，新应用将显示解密失败的原因）及解密时间。</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3.评标委员会根据招标文件规定的评标程序进行评审，投标单位可自行在不见面开标大厅中观看开标过程。</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4.各投标单位委托代理人或法定代表人须在开评标期间保持电话及网络畅通。</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5.在使用不见面开标大厅过程中，如遇到异常情况，请及时与杭州擎洲软件有限公司联系。</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（联系电话（崔先生）：0576-88685779/0576-88685159）</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以上环节应在行业监管部门、交易中心工作人员、招标人代表三方同时在场时进行。</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二、开标特别说明</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（1）各投标单位授权委托人必须在开评标期间保持电话及网络畅通，招标代理人员将电话询标。</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（2）因投标人原因造成其电子投标文件未解密的，视为撤销其投标文件；因投标人之外的原因造成电子投标文件未解密的，视为撤回其投标文件；</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）正常解密的投标文件在3家（含）以上时，部分投标人的电子投标文件无法解密的，其他投标文件的开标可以继续进行；</w:t>
            </w:r>
          </w:p>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）各投标单位授权委托人对开评标过程有异议的，可通过电子邮件或不见面开标大厅的“互动”模块向代理机构提出质疑。异议材料须转化为PDF（盖章）。（招标代理联系人：金梦瑶，联系电话：0576-</w:t>
            </w:r>
            <w:r>
              <w:rPr>
                <w:rFonts w:ascii="宋体" w:hAnsi="宋体"/>
                <w:sz w:val="21"/>
                <w:szCs w:val="21"/>
              </w:rPr>
              <w:t>88685507</w:t>
            </w:r>
            <w:r>
              <w:rPr>
                <w:rFonts w:hint="eastAsia" w:ascii="宋体" w:hAnsi="宋体"/>
                <w:sz w:val="21"/>
                <w:szCs w:val="21"/>
              </w:rPr>
              <w:t>，电子邮箱：</w:t>
            </w:r>
            <w:r>
              <w:rPr>
                <w:rFonts w:ascii="宋体" w:hAnsi="宋体"/>
                <w:sz w:val="21"/>
                <w:szCs w:val="21"/>
              </w:rPr>
              <w:t>13588825324</w:t>
            </w:r>
            <w:r>
              <w:rPr>
                <w:rFonts w:hint="eastAsia" w:ascii="宋体" w:hAnsi="宋体"/>
                <w:sz w:val="21"/>
                <w:szCs w:val="21"/>
              </w:rPr>
              <w:t>@</w:t>
            </w:r>
            <w:r>
              <w:rPr>
                <w:rFonts w:ascii="宋体" w:hAnsi="宋体"/>
                <w:sz w:val="21"/>
                <w:szCs w:val="21"/>
              </w:rPr>
              <w:t>163</w:t>
            </w:r>
            <w:r>
              <w:rPr>
                <w:rFonts w:hint="eastAsia" w:ascii="宋体" w:hAnsi="宋体"/>
                <w:sz w:val="21"/>
                <w:szCs w:val="21"/>
              </w:rPr>
              <w:t>.com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b/>
                <w:bCs/>
                <w:sz w:val="21"/>
                <w:szCs w:val="21"/>
              </w:rPr>
            </w:pPr>
            <w:r>
              <w:rPr>
                <w:rFonts w:hint="eastAsia" w:ascii="宋体" w:hAnsi="宋体"/>
                <w:b/>
                <w:bCs/>
                <w:sz w:val="21"/>
                <w:szCs w:val="21"/>
              </w:rPr>
              <w:t>20</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b/>
                <w:bCs/>
                <w:sz w:val="21"/>
                <w:szCs w:val="21"/>
              </w:rPr>
            </w:pPr>
            <w:r>
              <w:rPr>
                <w:rFonts w:hint="eastAsia" w:ascii="宋体" w:hAnsi="宋体"/>
                <w:b/>
                <w:bCs/>
                <w:sz w:val="21"/>
                <w:szCs w:val="21"/>
              </w:rPr>
              <w:t>本项目先资格标评审， 再评审技术资信标， 技术资信标评审结束后再开商务标。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spacing w:line="324" w:lineRule="auto"/>
              <w:jc w:val="center"/>
              <w:rPr>
                <w:rFonts w:ascii="宋体" w:hAnsi="宋体"/>
                <w:sz w:val="21"/>
                <w:szCs w:val="21"/>
              </w:rPr>
            </w:pPr>
            <w:r>
              <w:rPr>
                <w:rFonts w:hint="eastAsia" w:ascii="宋体" w:hAnsi="宋体"/>
                <w:sz w:val="21"/>
                <w:szCs w:val="21"/>
              </w:rPr>
              <w:t>21</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4" w:lineRule="auto"/>
              <w:textAlignment w:val="bottom"/>
              <w:rPr>
                <w:rFonts w:ascii="宋体" w:hAnsi="宋体"/>
                <w:sz w:val="21"/>
                <w:szCs w:val="21"/>
              </w:rPr>
            </w:pPr>
            <w:r>
              <w:rPr>
                <w:rFonts w:hint="eastAsia" w:ascii="宋体" w:hAnsi="宋体"/>
                <w:sz w:val="21"/>
                <w:szCs w:val="21"/>
              </w:rPr>
              <w:t>解释：本招标文件的解释权属于招标采购单位。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exact"/>
        </w:trPr>
        <w:tc>
          <w:tcPr>
            <w:tcW w:w="8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1"/>
                <w:szCs w:val="21"/>
              </w:rPr>
            </w:pPr>
            <w:r>
              <w:rPr>
                <w:rFonts w:hint="eastAsia" w:ascii="宋体" w:hAnsi="宋体"/>
                <w:sz w:val="21"/>
                <w:szCs w:val="21"/>
              </w:rPr>
              <w:t>22</w:t>
            </w:r>
          </w:p>
        </w:tc>
        <w:tc>
          <w:tcPr>
            <w:tcW w:w="8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ascii="宋体" w:hAnsi="宋体"/>
                <w:sz w:val="21"/>
                <w:szCs w:val="21"/>
              </w:rPr>
            </w:pPr>
            <w:r>
              <w:rPr>
                <w:rFonts w:hint="eastAsia" w:ascii="宋体" w:hAnsi="宋体"/>
                <w:b/>
                <w:bCs/>
                <w:sz w:val="21"/>
                <w:szCs w:val="21"/>
              </w:rPr>
              <w:t>电子招标文件的评标办法与本招标文件（指Word格式招标文件）的评标办法不一致的，以本招标文件为准。</w:t>
            </w:r>
          </w:p>
        </w:tc>
      </w:tr>
    </w:tbl>
    <w:p>
      <w:pPr>
        <w:pStyle w:val="26"/>
        <w:snapToGrid w:val="0"/>
        <w:spacing w:before="120" w:after="120" w:line="360" w:lineRule="auto"/>
        <w:rPr>
          <w:rFonts w:hAnsi="宋体"/>
          <w:b/>
          <w:sz w:val="30"/>
          <w:szCs w:val="30"/>
        </w:rPr>
      </w:pPr>
      <w:r>
        <w:rPr>
          <w:rFonts w:hAnsi="宋体"/>
        </w:rPr>
        <w:br w:type="page"/>
      </w:r>
      <w:r>
        <w:rPr>
          <w:rFonts w:hAnsi="宋体"/>
          <w:b/>
          <w:sz w:val="30"/>
          <w:szCs w:val="30"/>
        </w:rPr>
        <w:t>一、总  则</w:t>
      </w:r>
    </w:p>
    <w:p>
      <w:pPr>
        <w:snapToGrid w:val="0"/>
        <w:spacing w:line="360" w:lineRule="auto"/>
        <w:ind w:firstLine="472" w:firstLineChars="196"/>
        <w:jc w:val="left"/>
        <w:outlineLvl w:val="1"/>
        <w:rPr>
          <w:rFonts w:ascii="宋体" w:hAnsi="宋体"/>
          <w:b/>
          <w:sz w:val="24"/>
          <w:szCs w:val="20"/>
        </w:rPr>
      </w:pPr>
      <w:r>
        <w:rPr>
          <w:rFonts w:hint="eastAsia" w:ascii="宋体" w:hAnsi="宋体"/>
          <w:b/>
          <w:sz w:val="24"/>
        </w:rPr>
        <w:t>（一）</w:t>
      </w:r>
      <w:r>
        <w:rPr>
          <w:rFonts w:ascii="宋体" w:hAnsi="宋体"/>
          <w:b/>
          <w:sz w:val="24"/>
        </w:rPr>
        <w:t xml:space="preserve"> 适用范围</w:t>
      </w:r>
    </w:p>
    <w:p>
      <w:pPr>
        <w:snapToGrid w:val="0"/>
        <w:spacing w:line="360" w:lineRule="auto"/>
        <w:ind w:firstLine="480" w:firstLineChars="200"/>
        <w:jc w:val="left"/>
        <w:rPr>
          <w:rFonts w:ascii="宋体" w:hAnsi="宋体"/>
          <w:sz w:val="24"/>
        </w:rPr>
      </w:pPr>
      <w:r>
        <w:rPr>
          <w:rFonts w:hint="eastAsia" w:ascii="宋体" w:hAnsi="宋体"/>
          <w:sz w:val="24"/>
        </w:rPr>
        <w:t>本招标文件适用于本项目的招标、投标、评标、定标、验收、合同履约、付款等行为（法律、法规另有规定的，从其规定）。</w:t>
      </w:r>
    </w:p>
    <w:p>
      <w:pPr>
        <w:snapToGrid w:val="0"/>
        <w:spacing w:before="120" w:beforeLines="50" w:line="360" w:lineRule="auto"/>
        <w:ind w:firstLine="354" w:firstLineChars="147"/>
        <w:jc w:val="left"/>
        <w:outlineLvl w:val="1"/>
        <w:rPr>
          <w:rFonts w:ascii="宋体" w:hAnsi="宋体"/>
          <w:b/>
          <w:sz w:val="24"/>
          <w:szCs w:val="20"/>
        </w:rPr>
      </w:pPr>
      <w:r>
        <w:rPr>
          <w:rFonts w:hint="eastAsia" w:ascii="宋体" w:hAnsi="宋体"/>
          <w:b/>
          <w:sz w:val="24"/>
        </w:rPr>
        <w:t>（二）定义</w:t>
      </w:r>
    </w:p>
    <w:p>
      <w:pPr>
        <w:snapToGrid w:val="0"/>
        <w:spacing w:line="360" w:lineRule="auto"/>
        <w:ind w:firstLine="480" w:firstLineChars="200"/>
        <w:jc w:val="left"/>
        <w:rPr>
          <w:rFonts w:ascii="宋体" w:hAnsi="宋体"/>
          <w:sz w:val="24"/>
          <w:szCs w:val="20"/>
        </w:rPr>
      </w:pPr>
      <w:r>
        <w:rPr>
          <w:rFonts w:ascii="宋体" w:hAnsi="宋体"/>
          <w:sz w:val="24"/>
        </w:rPr>
        <w:t>1</w:t>
      </w:r>
      <w:r>
        <w:rPr>
          <w:rFonts w:hint="eastAsia" w:ascii="宋体" w:hAnsi="宋体"/>
          <w:sz w:val="24"/>
        </w:rPr>
        <w:t>.</w:t>
      </w:r>
      <w:r>
        <w:rPr>
          <w:rFonts w:ascii="宋体" w:hAnsi="宋体"/>
          <w:sz w:val="24"/>
        </w:rPr>
        <w:t>招标采购单位系指组织本次招标的代理机构和采购单位。</w:t>
      </w:r>
    </w:p>
    <w:p>
      <w:pPr>
        <w:snapToGrid w:val="0"/>
        <w:spacing w:line="360" w:lineRule="auto"/>
        <w:ind w:firstLine="480" w:firstLineChars="200"/>
        <w:jc w:val="left"/>
        <w:rPr>
          <w:rFonts w:ascii="宋体" w:hAnsi="宋体"/>
          <w:sz w:val="24"/>
          <w:szCs w:val="20"/>
        </w:rPr>
      </w:pPr>
      <w:r>
        <w:rPr>
          <w:rFonts w:ascii="宋体" w:hAnsi="宋体"/>
          <w:sz w:val="24"/>
        </w:rPr>
        <w:t>2</w:t>
      </w:r>
      <w:r>
        <w:rPr>
          <w:rFonts w:hint="eastAsia" w:ascii="宋体" w:hAnsi="宋体"/>
          <w:sz w:val="24"/>
        </w:rPr>
        <w:t>.“供应商</w:t>
      </w:r>
      <w:r>
        <w:rPr>
          <w:rFonts w:ascii="宋体" w:hAnsi="宋体"/>
          <w:sz w:val="24"/>
        </w:rPr>
        <w:t>”系指向招标方提交投标文件的单位。</w:t>
      </w:r>
    </w:p>
    <w:p>
      <w:pPr>
        <w:snapToGrid w:val="0"/>
        <w:spacing w:line="360" w:lineRule="auto"/>
        <w:ind w:firstLine="480" w:firstLineChars="200"/>
        <w:jc w:val="left"/>
        <w:rPr>
          <w:rFonts w:ascii="宋体" w:hAnsi="宋体"/>
          <w:sz w:val="24"/>
          <w:szCs w:val="20"/>
        </w:rPr>
      </w:pPr>
      <w:r>
        <w:rPr>
          <w:rFonts w:ascii="宋体" w:hAnsi="宋体"/>
          <w:sz w:val="24"/>
        </w:rPr>
        <w:t>3</w:t>
      </w:r>
      <w:r>
        <w:rPr>
          <w:rFonts w:hint="eastAsia" w:ascii="宋体" w:hAnsi="宋体"/>
          <w:sz w:val="24"/>
        </w:rPr>
        <w:t>.</w:t>
      </w:r>
      <w:r>
        <w:rPr>
          <w:rFonts w:ascii="宋体" w:hAnsi="宋体"/>
          <w:sz w:val="24"/>
        </w:rPr>
        <w:t>“产品”系指供方按招标文件规定，须向采购人提供的一切设备、保险、税金、备品备件、工具、手册及其它有关技术资料和材料。</w:t>
      </w:r>
    </w:p>
    <w:p>
      <w:pPr>
        <w:snapToGrid w:val="0"/>
        <w:spacing w:line="360" w:lineRule="auto"/>
        <w:ind w:firstLine="480" w:firstLineChars="200"/>
        <w:jc w:val="left"/>
        <w:rPr>
          <w:rFonts w:ascii="宋体" w:hAnsi="宋体"/>
          <w:sz w:val="24"/>
          <w:szCs w:val="20"/>
        </w:rPr>
      </w:pPr>
      <w:r>
        <w:rPr>
          <w:rFonts w:ascii="宋体" w:hAnsi="宋体"/>
          <w:sz w:val="24"/>
        </w:rPr>
        <w:t>4</w:t>
      </w:r>
      <w:r>
        <w:rPr>
          <w:rFonts w:hint="eastAsia" w:ascii="宋体" w:hAnsi="宋体"/>
          <w:sz w:val="24"/>
        </w:rPr>
        <w:t>.</w:t>
      </w:r>
      <w:r>
        <w:rPr>
          <w:rFonts w:ascii="宋体" w:hAnsi="宋体"/>
          <w:sz w:val="24"/>
        </w:rPr>
        <w:t>“服务”系指招标文件规定</w:t>
      </w:r>
      <w:r>
        <w:rPr>
          <w:rFonts w:hint="eastAsia" w:ascii="宋体" w:hAnsi="宋体"/>
          <w:sz w:val="24"/>
        </w:rPr>
        <w:t>供应商</w:t>
      </w:r>
      <w:r>
        <w:rPr>
          <w:rFonts w:ascii="宋体" w:hAnsi="宋体"/>
          <w:sz w:val="24"/>
        </w:rPr>
        <w:t>须承担的安装、调试、技术协助、校准、培训、技术指导以及其他类似的义务。</w:t>
      </w:r>
    </w:p>
    <w:p>
      <w:pPr>
        <w:snapToGrid w:val="0"/>
        <w:spacing w:line="360" w:lineRule="auto"/>
        <w:ind w:firstLine="480" w:firstLineChars="200"/>
        <w:jc w:val="left"/>
        <w:rPr>
          <w:rFonts w:ascii="宋体" w:hAnsi="宋体"/>
          <w:sz w:val="24"/>
          <w:szCs w:val="20"/>
        </w:rPr>
      </w:pPr>
      <w:r>
        <w:rPr>
          <w:rFonts w:ascii="宋体" w:hAnsi="宋体"/>
          <w:sz w:val="24"/>
        </w:rPr>
        <w:t>5</w:t>
      </w:r>
      <w:r>
        <w:rPr>
          <w:rFonts w:hint="eastAsia" w:ascii="宋体" w:hAnsi="宋体"/>
          <w:sz w:val="24"/>
        </w:rPr>
        <w:t>.</w:t>
      </w:r>
      <w:r>
        <w:rPr>
          <w:rFonts w:ascii="宋体" w:hAnsi="宋体"/>
          <w:sz w:val="24"/>
        </w:rPr>
        <w:t>“项目”系指</w:t>
      </w:r>
      <w:r>
        <w:rPr>
          <w:rFonts w:hint="eastAsia" w:ascii="宋体" w:hAnsi="宋体"/>
          <w:sz w:val="24"/>
        </w:rPr>
        <w:t>供应商</w:t>
      </w:r>
      <w:r>
        <w:rPr>
          <w:rFonts w:ascii="宋体" w:hAnsi="宋体"/>
          <w:sz w:val="24"/>
        </w:rPr>
        <w:t>按招标文件规定向采购人提供的产品和服务。</w:t>
      </w:r>
    </w:p>
    <w:p>
      <w:pPr>
        <w:snapToGrid w:val="0"/>
        <w:spacing w:line="360" w:lineRule="auto"/>
        <w:ind w:firstLine="480" w:firstLineChars="200"/>
        <w:jc w:val="left"/>
        <w:rPr>
          <w:rFonts w:ascii="宋体" w:hAnsi="宋体"/>
          <w:sz w:val="24"/>
          <w:szCs w:val="20"/>
        </w:rPr>
      </w:pPr>
      <w:r>
        <w:rPr>
          <w:rFonts w:ascii="宋体" w:hAnsi="宋体"/>
          <w:sz w:val="24"/>
        </w:rPr>
        <w:t>6</w:t>
      </w:r>
      <w:r>
        <w:rPr>
          <w:rFonts w:hint="eastAsia" w:ascii="宋体" w:hAnsi="宋体"/>
          <w:sz w:val="24"/>
        </w:rPr>
        <w:t>.</w:t>
      </w:r>
      <w:r>
        <w:rPr>
          <w:rFonts w:ascii="宋体" w:hAnsi="宋体"/>
          <w:sz w:val="24"/>
        </w:rPr>
        <w:t>“书面形式”包括信函、传真、电报等。</w:t>
      </w:r>
    </w:p>
    <w:p>
      <w:pPr>
        <w:snapToGrid w:val="0"/>
        <w:spacing w:line="360" w:lineRule="auto"/>
        <w:ind w:firstLine="480" w:firstLineChars="200"/>
        <w:jc w:val="left"/>
        <w:rPr>
          <w:rFonts w:ascii="宋体" w:hAnsi="宋体"/>
          <w:sz w:val="24"/>
          <w:szCs w:val="20"/>
        </w:rPr>
      </w:pPr>
      <w:r>
        <w:rPr>
          <w:rFonts w:ascii="宋体" w:hAnsi="宋体"/>
          <w:sz w:val="24"/>
        </w:rPr>
        <w:t>7</w:t>
      </w:r>
      <w:r>
        <w:rPr>
          <w:rFonts w:hint="eastAsia" w:ascii="宋体" w:hAnsi="宋体"/>
          <w:sz w:val="24"/>
        </w:rPr>
        <w:t>.</w:t>
      </w:r>
      <w:r>
        <w:rPr>
          <w:rFonts w:ascii="宋体" w:hAnsi="宋体"/>
          <w:sz w:val="24"/>
        </w:rPr>
        <w:t>“▲”系指实质性要求条款。</w:t>
      </w:r>
    </w:p>
    <w:p>
      <w:pPr>
        <w:snapToGrid w:val="0"/>
        <w:spacing w:before="120" w:beforeLines="50" w:line="360" w:lineRule="auto"/>
        <w:ind w:firstLine="472" w:firstLineChars="196"/>
        <w:jc w:val="left"/>
        <w:outlineLvl w:val="1"/>
        <w:rPr>
          <w:rFonts w:ascii="宋体" w:hAnsi="宋体"/>
          <w:b/>
          <w:sz w:val="24"/>
          <w:szCs w:val="20"/>
        </w:rPr>
      </w:pPr>
      <w:r>
        <w:rPr>
          <w:rFonts w:hint="eastAsia" w:ascii="宋体" w:hAnsi="宋体"/>
          <w:b/>
          <w:sz w:val="24"/>
        </w:rPr>
        <w:t>（三）招标方式</w:t>
      </w:r>
    </w:p>
    <w:p>
      <w:pPr>
        <w:snapToGrid w:val="0"/>
        <w:spacing w:line="360" w:lineRule="auto"/>
        <w:ind w:firstLine="480" w:firstLineChars="200"/>
        <w:jc w:val="left"/>
        <w:rPr>
          <w:rFonts w:ascii="宋体" w:hAnsi="宋体"/>
          <w:sz w:val="24"/>
          <w:szCs w:val="20"/>
        </w:rPr>
      </w:pPr>
      <w:r>
        <w:rPr>
          <w:rFonts w:ascii="宋体" w:hAnsi="宋体"/>
          <w:sz w:val="24"/>
        </w:rPr>
        <w:t>本次招标采用公开招标方式进行。</w:t>
      </w:r>
    </w:p>
    <w:p>
      <w:pPr>
        <w:snapToGrid w:val="0"/>
        <w:spacing w:before="120" w:beforeLines="50" w:line="360" w:lineRule="auto"/>
        <w:ind w:firstLine="472" w:firstLineChars="196"/>
        <w:jc w:val="left"/>
        <w:outlineLvl w:val="1"/>
        <w:rPr>
          <w:rFonts w:ascii="宋体" w:hAnsi="宋体"/>
          <w:b/>
          <w:sz w:val="24"/>
          <w:szCs w:val="20"/>
        </w:rPr>
      </w:pPr>
      <w:r>
        <w:rPr>
          <w:rFonts w:hint="eastAsia" w:ascii="宋体" w:hAnsi="宋体"/>
          <w:b/>
          <w:sz w:val="24"/>
        </w:rPr>
        <w:t>（四）投标委托</w:t>
      </w:r>
    </w:p>
    <w:p>
      <w:pPr>
        <w:pStyle w:val="21"/>
        <w:snapToGrid w:val="0"/>
        <w:spacing w:line="360" w:lineRule="auto"/>
        <w:ind w:left="0" w:leftChars="0" w:firstLine="480" w:firstLineChars="200"/>
        <w:jc w:val="left"/>
        <w:rPr>
          <w:rFonts w:hAnsi="宋体"/>
          <w:sz w:val="24"/>
        </w:rPr>
      </w:pPr>
      <w:r>
        <w:rPr>
          <w:rFonts w:hAnsi="宋体"/>
          <w:sz w:val="24"/>
        </w:rPr>
        <w:t>如</w:t>
      </w:r>
      <w:r>
        <w:rPr>
          <w:rFonts w:hint="eastAsia" w:hAnsi="宋体"/>
          <w:sz w:val="24"/>
        </w:rPr>
        <w:t>供应商</w:t>
      </w:r>
      <w:r>
        <w:rPr>
          <w:rFonts w:hAnsi="宋体"/>
          <w:sz w:val="24"/>
        </w:rPr>
        <w:t>代表不是法定代表人，须在投标文件中附有法定代表人出具的授权委托书。</w:t>
      </w:r>
    </w:p>
    <w:p>
      <w:pPr>
        <w:snapToGrid w:val="0"/>
        <w:spacing w:before="120" w:beforeLines="50" w:line="360" w:lineRule="auto"/>
        <w:ind w:firstLine="472" w:firstLineChars="196"/>
        <w:jc w:val="left"/>
        <w:outlineLvl w:val="1"/>
        <w:rPr>
          <w:rFonts w:ascii="宋体" w:hAnsi="宋体"/>
          <w:b/>
          <w:sz w:val="24"/>
          <w:szCs w:val="20"/>
        </w:rPr>
      </w:pPr>
      <w:r>
        <w:rPr>
          <w:rFonts w:hint="eastAsia" w:ascii="宋体" w:hAnsi="宋体"/>
          <w:b/>
          <w:sz w:val="24"/>
        </w:rPr>
        <w:t>（五）投标费用</w:t>
      </w:r>
    </w:p>
    <w:p>
      <w:pPr>
        <w:snapToGrid w:val="0"/>
        <w:spacing w:line="360" w:lineRule="auto"/>
        <w:ind w:firstLine="480" w:firstLineChars="200"/>
        <w:jc w:val="left"/>
        <w:rPr>
          <w:rFonts w:ascii="宋体" w:hAnsi="宋体"/>
          <w:sz w:val="24"/>
          <w:szCs w:val="20"/>
        </w:rPr>
      </w:pPr>
      <w:r>
        <w:rPr>
          <w:rFonts w:hint="eastAsia" w:ascii="宋体" w:hAnsi="宋体"/>
          <w:sz w:val="24"/>
        </w:rPr>
        <w:t>不论投标结果如何，供应商均应自行承担所有与投标有关的全部费用（招标文件有相关规定除外）。</w:t>
      </w:r>
    </w:p>
    <w:p>
      <w:pPr>
        <w:snapToGrid w:val="0"/>
        <w:spacing w:before="120" w:beforeLines="50" w:line="360" w:lineRule="auto"/>
        <w:ind w:firstLine="472" w:firstLineChars="196"/>
        <w:jc w:val="left"/>
        <w:rPr>
          <w:rFonts w:ascii="宋体" w:hAnsi="宋体"/>
          <w:b/>
          <w:sz w:val="24"/>
          <w:szCs w:val="20"/>
        </w:rPr>
      </w:pPr>
      <w:r>
        <w:rPr>
          <w:rFonts w:hint="eastAsia" w:ascii="宋体" w:hAnsi="宋体"/>
          <w:b/>
          <w:sz w:val="24"/>
        </w:rPr>
        <w:t>（六）联合体投标</w:t>
      </w:r>
    </w:p>
    <w:p>
      <w:pPr>
        <w:snapToGrid w:val="0"/>
        <w:spacing w:line="360" w:lineRule="auto"/>
        <w:ind w:firstLine="480" w:firstLineChars="200"/>
        <w:jc w:val="left"/>
        <w:rPr>
          <w:rFonts w:ascii="宋体" w:hAnsi="宋体"/>
          <w:sz w:val="24"/>
        </w:rPr>
      </w:pPr>
      <w:r>
        <w:rPr>
          <w:rFonts w:hint="eastAsia" w:ascii="宋体" w:hAnsi="宋体" w:cs="Arial"/>
          <w:sz w:val="24"/>
        </w:rPr>
        <w:t>本项目不接受联合体投标</w:t>
      </w:r>
      <w:r>
        <w:rPr>
          <w:rFonts w:hint="eastAsia" w:ascii="宋体" w:hAnsi="宋体"/>
          <w:sz w:val="24"/>
        </w:rPr>
        <w:t>。</w:t>
      </w:r>
    </w:p>
    <w:p>
      <w:pPr>
        <w:snapToGrid w:val="0"/>
        <w:spacing w:before="120" w:beforeLines="50" w:line="360" w:lineRule="auto"/>
        <w:ind w:firstLine="472" w:firstLineChars="196"/>
        <w:rPr>
          <w:rFonts w:ascii="宋体" w:hAnsi="宋体" w:cs="宋体"/>
          <w:b/>
          <w:kern w:val="0"/>
          <w:sz w:val="24"/>
          <w:szCs w:val="20"/>
        </w:rPr>
      </w:pPr>
      <w:r>
        <w:rPr>
          <w:rFonts w:hint="eastAsia" w:ascii="宋体" w:hAnsi="宋体"/>
          <w:b/>
          <w:sz w:val="24"/>
        </w:rPr>
        <w:t>（七）</w:t>
      </w:r>
      <w:r>
        <w:rPr>
          <w:rFonts w:hint="eastAsia" w:ascii="宋体" w:hAnsi="宋体" w:cs="宋体"/>
          <w:b/>
          <w:kern w:val="0"/>
          <w:sz w:val="24"/>
        </w:rPr>
        <w:t>转包与分包</w:t>
      </w:r>
    </w:p>
    <w:p>
      <w:pPr>
        <w:snapToGrid w:val="0"/>
        <w:spacing w:line="360" w:lineRule="auto"/>
        <w:ind w:firstLine="480" w:firstLineChars="200"/>
        <w:rPr>
          <w:rFonts w:ascii="宋体" w:hAnsi="宋体" w:cs="宋体"/>
          <w:kern w:val="0"/>
          <w:sz w:val="24"/>
          <w:szCs w:val="20"/>
        </w:rPr>
      </w:pPr>
      <w:r>
        <w:rPr>
          <w:rFonts w:ascii="宋体" w:hAnsi="宋体" w:cs="宋体"/>
          <w:kern w:val="0"/>
          <w:sz w:val="24"/>
        </w:rPr>
        <w:t>本项目不允许转包</w:t>
      </w:r>
      <w:r>
        <w:rPr>
          <w:rFonts w:hint="eastAsia" w:ascii="宋体" w:hAnsi="宋体" w:cs="宋体"/>
          <w:kern w:val="0"/>
          <w:sz w:val="24"/>
        </w:rPr>
        <w:t>与分包</w:t>
      </w:r>
      <w:r>
        <w:rPr>
          <w:rFonts w:ascii="宋体" w:hAnsi="宋体" w:cs="宋体"/>
          <w:kern w:val="0"/>
          <w:sz w:val="24"/>
        </w:rPr>
        <w:t>。</w:t>
      </w:r>
    </w:p>
    <w:p>
      <w:pPr>
        <w:snapToGrid w:val="0"/>
        <w:spacing w:before="120" w:beforeLines="50" w:line="360" w:lineRule="auto"/>
        <w:ind w:firstLine="472" w:firstLineChars="196"/>
        <w:jc w:val="left"/>
        <w:outlineLvl w:val="1"/>
        <w:rPr>
          <w:rFonts w:ascii="宋体" w:hAnsi="宋体"/>
          <w:b/>
          <w:sz w:val="24"/>
        </w:rPr>
      </w:pPr>
      <w:r>
        <w:rPr>
          <w:rFonts w:hint="eastAsia" w:ascii="宋体" w:hAnsi="宋体"/>
          <w:b/>
          <w:sz w:val="24"/>
        </w:rPr>
        <w:t>（八）特别说明：</w:t>
      </w:r>
    </w:p>
    <w:p>
      <w:pPr>
        <w:pStyle w:val="26"/>
        <w:snapToGrid w:val="0"/>
        <w:spacing w:before="120" w:after="120" w:line="360" w:lineRule="auto"/>
        <w:ind w:left="3" w:leftChars="1" w:firstLine="480" w:firstLineChars="200"/>
        <w:rPr>
          <w:rFonts w:hAnsi="宋体"/>
        </w:rPr>
      </w:pPr>
      <w:r>
        <w:rPr>
          <w:rFonts w:hAnsi="宋体"/>
        </w:rPr>
        <w:t>▲1、</w:t>
      </w:r>
      <w:r>
        <w:rPr>
          <w:rFonts w:hint="eastAsia" w:hAnsi="宋体" w:cs="宋体"/>
          <w:b/>
          <w:bCs/>
        </w:rPr>
        <w:t>供应商投标所使用的资格、信誉、荣誉、业绩与企业认证必须为本法人所拥有</w:t>
      </w:r>
      <w:r>
        <w:rPr>
          <w:rFonts w:hAnsi="宋体"/>
        </w:rPr>
        <w:t>。</w:t>
      </w:r>
    </w:p>
    <w:p>
      <w:pPr>
        <w:pStyle w:val="26"/>
        <w:snapToGrid w:val="0"/>
        <w:spacing w:before="120" w:after="120" w:line="360" w:lineRule="auto"/>
        <w:ind w:left="3" w:leftChars="1" w:firstLine="480" w:firstLineChars="200"/>
        <w:rPr>
          <w:rFonts w:hAnsi="宋体"/>
        </w:rPr>
      </w:pPr>
      <w:r>
        <w:rPr>
          <w:rFonts w:hAnsi="宋体"/>
        </w:rPr>
        <w:t>▲2、</w:t>
      </w:r>
      <w:r>
        <w:rPr>
          <w:rFonts w:hint="eastAsia" w:hAnsi="宋体"/>
        </w:rPr>
        <w:t>供应商</w:t>
      </w:r>
      <w:r>
        <w:rPr>
          <w:rFonts w:hAnsi="宋体"/>
        </w:rPr>
        <w:t>应仔细阅读招标文件的所有内容，按照招标文件的要求提交投标文件，并对所提供的全部资料的真实性承担法律责任。</w:t>
      </w:r>
    </w:p>
    <w:p>
      <w:pPr>
        <w:pStyle w:val="26"/>
        <w:snapToGrid w:val="0"/>
        <w:spacing w:before="120" w:after="120" w:line="360" w:lineRule="auto"/>
        <w:ind w:firstLine="470" w:firstLineChars="196"/>
        <w:jc w:val="left"/>
        <w:outlineLvl w:val="1"/>
        <w:rPr>
          <w:rFonts w:hAnsi="宋体"/>
        </w:rPr>
      </w:pPr>
      <w:r>
        <w:rPr>
          <w:rFonts w:hAnsi="宋体"/>
        </w:rPr>
        <w:t>▲3、</w:t>
      </w:r>
      <w:r>
        <w:rPr>
          <w:rFonts w:hint="eastAsia" w:hAnsi="宋体"/>
        </w:rPr>
        <w:t>供应商</w:t>
      </w:r>
      <w:r>
        <w:rPr>
          <w:rFonts w:hAnsi="宋体"/>
        </w:rPr>
        <w:t>在投标活动中提供任何虚假材料</w:t>
      </w:r>
      <w:r>
        <w:rPr>
          <w:rFonts w:hint="eastAsia" w:hAnsi="宋体"/>
        </w:rPr>
        <w:t>，</w:t>
      </w:r>
      <w:r>
        <w:rPr>
          <w:rFonts w:hAnsi="宋体"/>
        </w:rPr>
        <w:t>其投标无效，并报监管部门查处；中标后发现的</w:t>
      </w:r>
      <w:r>
        <w:rPr>
          <w:rFonts w:hint="eastAsia" w:hAnsi="宋体"/>
        </w:rPr>
        <w:t>，</w:t>
      </w:r>
      <w:r>
        <w:rPr>
          <w:rFonts w:hAnsi="宋体"/>
        </w:rPr>
        <w:t>构成犯罪的，依法追究刑事责任；尚不构成犯罪的，依照招标投标法第五十四条的规定处罚。</w:t>
      </w:r>
    </w:p>
    <w:p>
      <w:pPr>
        <w:pStyle w:val="26"/>
        <w:snapToGrid w:val="0"/>
        <w:spacing w:before="120" w:after="120" w:line="360" w:lineRule="auto"/>
        <w:ind w:firstLine="472" w:firstLineChars="196"/>
        <w:jc w:val="left"/>
        <w:outlineLvl w:val="1"/>
        <w:rPr>
          <w:rFonts w:hAnsi="宋体"/>
          <w:b/>
          <w:bCs/>
        </w:rPr>
      </w:pPr>
      <w:r>
        <w:rPr>
          <w:rFonts w:hAnsi="宋体"/>
          <w:b/>
          <w:bCs/>
        </w:rPr>
        <w:t>（九）质疑和投诉</w:t>
      </w:r>
    </w:p>
    <w:p>
      <w:pPr>
        <w:pStyle w:val="26"/>
        <w:snapToGrid w:val="0"/>
        <w:spacing w:before="120" w:after="120" w:line="360" w:lineRule="auto"/>
        <w:ind w:left="3" w:leftChars="1" w:firstLine="480" w:firstLineChars="200"/>
        <w:rPr>
          <w:rFonts w:hAnsi="宋体"/>
        </w:rPr>
      </w:pPr>
      <w:r>
        <w:rPr>
          <w:rFonts w:hint="eastAsia" w:hAnsi="宋体"/>
        </w:rPr>
        <w:t>1.属于《中华人民共和国招标投标法实施条例》第二十二条、第四十四条、第五十四条规定事项投诉的，应当以书面形式向采购人、采购代理机构提出（附相关有效证明材料），采购人、采购代理机构应给予答复。供应商对答复不服或认为采购代理机构有违反有关规定及其他弄虚作假情形的，可在接到答复之日起3日内向招标监管机构书面申请核查，并提交相关材料。</w:t>
      </w:r>
    </w:p>
    <w:p>
      <w:pPr>
        <w:pStyle w:val="26"/>
        <w:snapToGrid w:val="0"/>
        <w:spacing w:before="120" w:after="120" w:line="360" w:lineRule="auto"/>
        <w:ind w:firstLine="480" w:firstLineChars="200"/>
        <w:rPr>
          <w:rFonts w:hAnsi="宋体"/>
          <w:bCs/>
        </w:rPr>
      </w:pPr>
      <w:r>
        <w:rPr>
          <w:rFonts w:hint="eastAsia" w:hAnsi="宋体" w:cs="宋体"/>
          <w:bCs/>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6"/>
        <w:snapToGrid w:val="0"/>
        <w:spacing w:before="120" w:after="120" w:line="360" w:lineRule="auto"/>
        <w:rPr>
          <w:rFonts w:hAnsi="宋体"/>
          <w:b/>
          <w:sz w:val="30"/>
          <w:szCs w:val="30"/>
        </w:rPr>
      </w:pPr>
      <w:r>
        <w:rPr>
          <w:rFonts w:hAnsi="宋体"/>
          <w:b/>
          <w:sz w:val="30"/>
          <w:szCs w:val="30"/>
        </w:rPr>
        <w:t>二、招标文件</w:t>
      </w:r>
    </w:p>
    <w:p>
      <w:pPr>
        <w:snapToGrid w:val="0"/>
        <w:spacing w:line="360" w:lineRule="auto"/>
        <w:ind w:firstLine="472" w:firstLineChars="196"/>
        <w:jc w:val="left"/>
        <w:rPr>
          <w:rFonts w:ascii="宋体" w:hAnsi="宋体"/>
          <w:b/>
          <w:sz w:val="24"/>
          <w:szCs w:val="20"/>
        </w:rPr>
      </w:pPr>
      <w:r>
        <w:rPr>
          <w:rFonts w:hint="eastAsia" w:ascii="宋体" w:hAnsi="宋体"/>
          <w:b/>
          <w:sz w:val="24"/>
        </w:rPr>
        <w:t>（一）招标文件的构成。本招标文件由以下部份组成：</w:t>
      </w:r>
    </w:p>
    <w:p>
      <w:pPr>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.公开招标采购公告</w:t>
      </w:r>
    </w:p>
    <w:p>
      <w:pPr>
        <w:snapToGrid w:val="0"/>
        <w:spacing w:line="360" w:lineRule="auto"/>
        <w:ind w:firstLine="480" w:firstLineChars="200"/>
        <w:jc w:val="left"/>
        <w:rPr>
          <w:rFonts w:ascii="宋体" w:hAnsi="宋体"/>
          <w:sz w:val="24"/>
        </w:rPr>
      </w:pPr>
      <w:r>
        <w:rPr>
          <w:rFonts w:hint="eastAsia" w:ascii="宋体" w:hAnsi="宋体"/>
          <w:sz w:val="24"/>
        </w:rPr>
        <w:t>2.招标需求</w:t>
      </w:r>
    </w:p>
    <w:p>
      <w:pPr>
        <w:snapToGrid w:val="0"/>
        <w:spacing w:line="360" w:lineRule="auto"/>
        <w:ind w:firstLine="480" w:firstLineChars="200"/>
        <w:jc w:val="left"/>
        <w:rPr>
          <w:rFonts w:ascii="宋体" w:hAnsi="宋体"/>
          <w:sz w:val="24"/>
        </w:rPr>
      </w:pPr>
      <w:r>
        <w:rPr>
          <w:rFonts w:hint="eastAsia" w:ascii="宋体" w:hAnsi="宋体"/>
          <w:sz w:val="24"/>
        </w:rPr>
        <w:t>3.供应商须知</w:t>
      </w:r>
    </w:p>
    <w:p>
      <w:pPr>
        <w:snapToGrid w:val="0"/>
        <w:spacing w:line="360" w:lineRule="auto"/>
        <w:ind w:firstLine="480" w:firstLineChars="200"/>
        <w:jc w:val="left"/>
        <w:rPr>
          <w:rFonts w:ascii="宋体" w:hAnsi="宋体"/>
          <w:sz w:val="24"/>
          <w:szCs w:val="20"/>
        </w:rPr>
      </w:pPr>
      <w:r>
        <w:rPr>
          <w:rFonts w:hint="eastAsia" w:ascii="宋体" w:hAnsi="宋体"/>
          <w:sz w:val="24"/>
        </w:rPr>
        <w:t>4.评标办法及评分标准</w:t>
      </w:r>
    </w:p>
    <w:p>
      <w:pPr>
        <w:snapToGrid w:val="0"/>
        <w:spacing w:line="360" w:lineRule="auto"/>
        <w:ind w:firstLine="480" w:firstLineChars="200"/>
        <w:jc w:val="left"/>
        <w:rPr>
          <w:rFonts w:ascii="宋体" w:hAnsi="宋体"/>
          <w:sz w:val="24"/>
          <w:szCs w:val="20"/>
        </w:rPr>
      </w:pPr>
      <w:r>
        <w:rPr>
          <w:rFonts w:ascii="宋体" w:hAnsi="宋体"/>
          <w:sz w:val="24"/>
        </w:rPr>
        <w:t>5</w:t>
      </w:r>
      <w:r>
        <w:rPr>
          <w:rFonts w:hint="eastAsia" w:ascii="宋体" w:hAnsi="宋体"/>
          <w:sz w:val="24"/>
        </w:rPr>
        <w:t>.合同主要条款</w:t>
      </w:r>
    </w:p>
    <w:p>
      <w:pPr>
        <w:snapToGrid w:val="0"/>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w:t>
      </w:r>
      <w:r>
        <w:rPr>
          <w:rFonts w:ascii="宋体" w:hAnsi="宋体"/>
          <w:sz w:val="24"/>
        </w:rPr>
        <w:t>投标文件格式</w:t>
      </w:r>
    </w:p>
    <w:p>
      <w:pPr>
        <w:snapToGrid w:val="0"/>
        <w:spacing w:line="360" w:lineRule="auto"/>
        <w:ind w:firstLine="480" w:firstLineChars="200"/>
        <w:jc w:val="left"/>
        <w:rPr>
          <w:rFonts w:ascii="宋体" w:hAnsi="宋体"/>
          <w:sz w:val="24"/>
          <w:szCs w:val="20"/>
        </w:rPr>
      </w:pPr>
      <w:r>
        <w:rPr>
          <w:rFonts w:hint="eastAsia" w:ascii="宋体" w:hAnsi="宋体"/>
          <w:sz w:val="24"/>
        </w:rPr>
        <w:t>7.本项目</w:t>
      </w:r>
      <w:r>
        <w:rPr>
          <w:rFonts w:ascii="宋体" w:hAnsi="宋体"/>
          <w:sz w:val="24"/>
        </w:rPr>
        <w:t>招标文件</w:t>
      </w:r>
      <w:r>
        <w:rPr>
          <w:rFonts w:hint="eastAsia" w:ascii="宋体" w:hAnsi="宋体"/>
          <w:sz w:val="24"/>
        </w:rPr>
        <w:t>的</w:t>
      </w:r>
      <w:r>
        <w:rPr>
          <w:rFonts w:ascii="宋体" w:hAnsi="宋体"/>
          <w:sz w:val="24"/>
        </w:rPr>
        <w:t>澄清、答复、修改、补充的内容</w:t>
      </w:r>
    </w:p>
    <w:p>
      <w:pPr>
        <w:snapToGrid w:val="0"/>
        <w:spacing w:before="120" w:beforeLines="50" w:line="360" w:lineRule="auto"/>
        <w:ind w:firstLine="472" w:firstLineChars="196"/>
        <w:jc w:val="left"/>
        <w:rPr>
          <w:rFonts w:ascii="宋体" w:hAnsi="宋体"/>
          <w:b/>
          <w:sz w:val="24"/>
          <w:szCs w:val="20"/>
        </w:rPr>
      </w:pPr>
      <w:r>
        <w:rPr>
          <w:rFonts w:hint="eastAsia" w:ascii="宋体" w:hAnsi="宋体"/>
          <w:b/>
          <w:sz w:val="24"/>
        </w:rPr>
        <w:t>（二）供应商的风险</w:t>
      </w:r>
    </w:p>
    <w:p>
      <w:pPr>
        <w:snapToGrid w:val="0"/>
        <w:spacing w:line="360" w:lineRule="auto"/>
        <w:ind w:firstLine="480" w:firstLineChars="200"/>
        <w:jc w:val="left"/>
        <w:rPr>
          <w:rFonts w:ascii="宋体" w:hAnsi="宋体"/>
          <w:szCs w:val="20"/>
        </w:rPr>
      </w:pPr>
      <w:r>
        <w:rPr>
          <w:rFonts w:hint="eastAsia" w:ascii="宋体" w:hAnsi="宋体"/>
          <w:sz w:val="24"/>
        </w:rPr>
        <w:t>供应商没有按照招标文件要求提供全部资料，或者供应商没有对招标文件在各方面作出实质性响应是供应商的风险，并可能导致其投标被拒绝。</w:t>
      </w:r>
    </w:p>
    <w:p>
      <w:pPr>
        <w:pStyle w:val="14"/>
        <w:tabs>
          <w:tab w:val="left" w:pos="720"/>
        </w:tabs>
        <w:snapToGrid w:val="0"/>
        <w:spacing w:before="120" w:beforeLines="50" w:after="120" w:line="360" w:lineRule="auto"/>
        <w:ind w:left="0" w:firstLine="551" w:firstLineChars="196"/>
        <w:rPr>
          <w:rFonts w:ascii="宋体" w:hAnsi="宋体"/>
          <w:b/>
        </w:rPr>
      </w:pPr>
      <w:r>
        <w:rPr>
          <w:rFonts w:hint="eastAsia" w:ascii="宋体" w:hAnsi="宋体"/>
          <w:b/>
        </w:rPr>
        <w:t>（三）招标文件的澄清与修改</w:t>
      </w:r>
      <w:r>
        <w:rPr>
          <w:rFonts w:ascii="宋体" w:hAnsi="宋体"/>
          <w:b/>
        </w:rPr>
        <w:t xml:space="preserve"> </w:t>
      </w:r>
    </w:p>
    <w:p>
      <w:pPr>
        <w:pStyle w:val="26"/>
        <w:snapToGrid w:val="0"/>
        <w:spacing w:before="120" w:after="120" w:line="360" w:lineRule="auto"/>
        <w:ind w:firstLine="480" w:firstLineChars="200"/>
        <w:rPr>
          <w:rFonts w:hAnsi="宋体" w:cs="宋体"/>
        </w:rPr>
      </w:pPr>
      <w:r>
        <w:rPr>
          <w:rFonts w:hint="eastAsia" w:hAnsi="宋体" w:cs="宋体"/>
        </w:rPr>
        <w:t>1.供应商应认真阅读本招标文件，发现其中有误或有不合理要求的，供应商必须在投标截止时间10日前以书面形式要求招标采购单位澄清。招标单位对应当自收到异议之日起3日内作出答复；招标单位对已发出的招标文件进行必要澄清、答复、修改或补充的，采购代理机构应当在招标文件要求提交投标文件截止时间15日前，在指定的信息发布媒体（台州市公共资源交易网（http://tzztb.zjtz.gov.cn/）和台州市产权交易网（http://www.tzpre.com/））上发布更正公告，招标人、采购代理机构及产交所的任何工作人员对供应商所作的任何口头解释、介绍、答复，只能供供应商参考，对招标人无任何约束力。</w:t>
      </w:r>
    </w:p>
    <w:p>
      <w:pPr>
        <w:pStyle w:val="26"/>
        <w:snapToGrid w:val="0"/>
        <w:spacing w:before="120" w:after="120" w:line="360" w:lineRule="auto"/>
        <w:ind w:firstLine="480" w:firstLineChars="200"/>
        <w:rPr>
          <w:rFonts w:hAnsi="宋体" w:cs="宋体"/>
        </w:rPr>
      </w:pPr>
      <w:r>
        <w:rPr>
          <w:rFonts w:hint="eastAsia" w:hAnsi="宋体" w:cs="宋体"/>
        </w:rPr>
        <w:t>2.招标文件澄清、答复、修改、补充的内容为招标文件的组成部分。当招标文件与招标文件的答复、澄清、修改、补充通知就同一内容的表述不一致时，以最后发出的书面文件为准。</w:t>
      </w:r>
    </w:p>
    <w:p>
      <w:pPr>
        <w:pStyle w:val="26"/>
        <w:snapToGrid w:val="0"/>
        <w:spacing w:before="120" w:after="120" w:line="360" w:lineRule="auto"/>
        <w:ind w:firstLine="480" w:firstLineChars="200"/>
        <w:rPr>
          <w:rFonts w:hAnsi="宋体"/>
        </w:rPr>
      </w:pPr>
      <w:r>
        <w:rPr>
          <w:rFonts w:hint="eastAsia" w:hAnsi="宋体" w:cs="宋体"/>
        </w:rPr>
        <w:t>3.招标文件的澄清、答复、修改或补充都应该通过采购代理机构以法定形式发布，采购人非通过本机构，不得擅自澄清、答复、修改或补充招标文件。</w:t>
      </w:r>
    </w:p>
    <w:p>
      <w:pPr>
        <w:pStyle w:val="26"/>
        <w:snapToGrid w:val="0"/>
        <w:spacing w:before="120" w:after="120" w:line="360" w:lineRule="auto"/>
        <w:rPr>
          <w:rFonts w:hAnsi="宋体"/>
          <w:b/>
          <w:sz w:val="30"/>
          <w:szCs w:val="30"/>
        </w:rPr>
      </w:pPr>
      <w:r>
        <w:rPr>
          <w:rFonts w:hAnsi="宋体"/>
          <w:b/>
          <w:sz w:val="30"/>
          <w:szCs w:val="30"/>
        </w:rPr>
        <w:t>三、投标文件的编制</w:t>
      </w:r>
    </w:p>
    <w:p>
      <w:pPr>
        <w:snapToGrid w:val="0"/>
        <w:spacing w:line="360" w:lineRule="auto"/>
        <w:ind w:firstLine="472" w:firstLineChars="196"/>
        <w:jc w:val="left"/>
        <w:outlineLvl w:val="0"/>
        <w:rPr>
          <w:rFonts w:ascii="宋体" w:hAnsi="宋体"/>
          <w:b/>
          <w:sz w:val="24"/>
        </w:rPr>
      </w:pPr>
      <w:r>
        <w:rPr>
          <w:rFonts w:hint="eastAsia" w:ascii="宋体" w:hAnsi="宋体"/>
          <w:b/>
          <w:sz w:val="24"/>
        </w:rPr>
        <w:t>（一）</w:t>
      </w:r>
      <w:r>
        <w:rPr>
          <w:rFonts w:ascii="宋体" w:hAnsi="宋体"/>
          <w:b/>
          <w:sz w:val="24"/>
        </w:rPr>
        <w:tab/>
      </w:r>
      <w:r>
        <w:rPr>
          <w:rFonts w:hint="eastAsia" w:ascii="宋体" w:hAnsi="宋体"/>
          <w:b/>
          <w:sz w:val="24"/>
        </w:rPr>
        <w:t>投标文件的要求</w:t>
      </w:r>
    </w:p>
    <w:p>
      <w:pPr>
        <w:snapToGrid w:val="0"/>
        <w:spacing w:line="360" w:lineRule="auto"/>
        <w:ind w:firstLine="470" w:firstLineChars="196"/>
        <w:jc w:val="left"/>
        <w:outlineLvl w:val="0"/>
        <w:rPr>
          <w:rFonts w:ascii="宋体" w:hAnsi="宋体"/>
          <w:sz w:val="24"/>
        </w:rPr>
      </w:pPr>
      <w:r>
        <w:rPr>
          <w:rFonts w:ascii="宋体" w:hAnsi="宋体"/>
          <w:sz w:val="24"/>
        </w:rPr>
        <w:t>1</w:t>
      </w:r>
      <w:r>
        <w:rPr>
          <w:rFonts w:hint="eastAsia" w:ascii="宋体" w:hAnsi="宋体"/>
          <w:sz w:val="24"/>
        </w:rPr>
        <w:t>.供应商应仔细阅读招标文件的所有内容，按照要求详细编制投标文件，并保证投标文件的正确性和真实性。</w:t>
      </w:r>
    </w:p>
    <w:p>
      <w:pPr>
        <w:snapToGrid w:val="0"/>
        <w:spacing w:line="360" w:lineRule="auto"/>
        <w:ind w:firstLine="470" w:firstLineChars="196"/>
        <w:jc w:val="left"/>
        <w:outlineLvl w:val="0"/>
        <w:rPr>
          <w:rFonts w:ascii="宋体" w:hAnsi="宋体"/>
          <w:sz w:val="24"/>
        </w:rPr>
      </w:pPr>
      <w:r>
        <w:rPr>
          <w:rFonts w:ascii="宋体" w:hAnsi="宋体"/>
          <w:sz w:val="24"/>
        </w:rPr>
        <w:t>2</w:t>
      </w:r>
      <w:r>
        <w:rPr>
          <w:rFonts w:hint="eastAsia" w:ascii="宋体" w:hAnsi="宋体"/>
          <w:sz w:val="24"/>
        </w:rPr>
        <w:t>.不按招标文件的要求提供的投标文件将被拒绝。</w:t>
      </w:r>
    </w:p>
    <w:p>
      <w:pPr>
        <w:snapToGrid w:val="0"/>
        <w:spacing w:line="360" w:lineRule="auto"/>
        <w:ind w:firstLine="472" w:firstLineChars="196"/>
        <w:jc w:val="left"/>
        <w:outlineLvl w:val="0"/>
        <w:rPr>
          <w:rFonts w:ascii="宋体" w:hAnsi="宋体"/>
          <w:b/>
          <w:sz w:val="24"/>
        </w:rPr>
      </w:pPr>
      <w:r>
        <w:rPr>
          <w:rFonts w:hint="eastAsia" w:ascii="宋体" w:hAnsi="宋体"/>
          <w:b/>
          <w:sz w:val="24"/>
        </w:rPr>
        <w:t>（二）投标文件的组成</w:t>
      </w:r>
    </w:p>
    <w:p>
      <w:pPr>
        <w:pStyle w:val="26"/>
        <w:snapToGrid w:val="0"/>
        <w:spacing w:before="120" w:after="120" w:line="360" w:lineRule="auto"/>
        <w:ind w:firstLine="482" w:firstLineChars="200"/>
        <w:rPr>
          <w:rFonts w:hAnsi="宋体" w:cs="宋体"/>
          <w:b/>
        </w:rPr>
      </w:pPr>
      <w:r>
        <w:rPr>
          <w:rFonts w:hint="eastAsia" w:hAnsi="宋体" w:cs="宋体"/>
          <w:b/>
        </w:rPr>
        <w:t>供应商接到招标文件后，按照采购人的要求提供</w:t>
      </w:r>
      <w:r>
        <w:rPr>
          <w:rFonts w:hint="eastAsia" w:hAnsi="宋体"/>
          <w:b/>
        </w:rPr>
        <w:t>资格标、</w:t>
      </w:r>
      <w:r>
        <w:rPr>
          <w:rFonts w:hint="eastAsia" w:hAnsi="宋体" w:cs="宋体"/>
          <w:b/>
        </w:rPr>
        <w:t>技术资信标、商务标。</w:t>
      </w:r>
    </w:p>
    <w:p>
      <w:pPr>
        <w:numPr>
          <w:ilvl w:val="0"/>
          <w:numId w:val="10"/>
        </w:numPr>
        <w:autoSpaceDE w:val="0"/>
        <w:autoSpaceDN w:val="0"/>
        <w:adjustRightInd w:val="0"/>
        <w:spacing w:line="360" w:lineRule="auto"/>
        <w:ind w:left="480"/>
        <w:rPr>
          <w:rFonts w:ascii="宋体" w:hAnsi="宋体"/>
          <w:b/>
          <w:sz w:val="24"/>
        </w:rPr>
      </w:pPr>
      <w:r>
        <w:rPr>
          <w:rFonts w:hint="eastAsia" w:ascii="宋体" w:hAnsi="宋体"/>
          <w:b/>
          <w:sz w:val="24"/>
        </w:rPr>
        <w:t>资格标</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（1）具有独立法人资格的企（事）业单位的营业执照；</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（2）法定代表人授权书（法定代表人亲自办理投标事宜的，则无需提交)；</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（3）诚信投标承诺书；</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（4）具有良好的商业信誉和健全的财务会计制度的承诺函；</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）具有依法缴纳税收和社会保障资金证明的承诺函；</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）投标人没有失信记录承诺函。</w:t>
      </w: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注：资格标投标文件按招标文件要求编制，导入到投标工具资格标对应的目录位置，导入文件格式为word或pdf，每个文件大小不超过30mb。</w:t>
      </w:r>
    </w:p>
    <w:p>
      <w:pPr>
        <w:numPr>
          <w:ilvl w:val="0"/>
          <w:numId w:val="10"/>
        </w:numPr>
        <w:autoSpaceDE w:val="0"/>
        <w:autoSpaceDN w:val="0"/>
        <w:adjustRightInd w:val="0"/>
        <w:spacing w:line="360" w:lineRule="auto"/>
        <w:ind w:left="480"/>
        <w:rPr>
          <w:rFonts w:ascii="宋体" w:hAnsi="宋体"/>
          <w:b/>
          <w:sz w:val="24"/>
        </w:rPr>
      </w:pPr>
      <w:r>
        <w:rPr>
          <w:rFonts w:hint="eastAsia" w:ascii="宋体" w:hAnsi="宋体"/>
          <w:b/>
          <w:sz w:val="24"/>
        </w:rPr>
        <w:t>技术资信标</w:t>
      </w:r>
    </w:p>
    <w:p>
      <w:pPr>
        <w:pStyle w:val="3"/>
        <w:spacing w:line="360" w:lineRule="auto"/>
        <w:ind w:firstLine="480" w:firstLineChars="200"/>
        <w:rPr>
          <w:rFonts w:ascii="宋体" w:hAnsi="宋体" w:cs="宋体"/>
          <w:sz w:val="24"/>
        </w:rPr>
      </w:pPr>
      <w:r>
        <w:rPr>
          <w:rFonts w:hint="eastAsia" w:ascii="宋体" w:hAnsi="宋体" w:cs="宋体"/>
          <w:sz w:val="24"/>
        </w:rPr>
        <w:t>（1）供货清单（不涉及价格）；</w:t>
      </w:r>
      <w:r>
        <w:rPr>
          <w:rFonts w:ascii="宋体" w:hAnsi="宋体" w:cs="宋体"/>
          <w:sz w:val="24"/>
        </w:rPr>
        <w:t xml:space="preserve"> </w:t>
      </w:r>
    </w:p>
    <w:p>
      <w:pPr>
        <w:pStyle w:val="3"/>
        <w:spacing w:line="360" w:lineRule="auto"/>
        <w:ind w:firstLine="480" w:firstLineChars="200"/>
        <w:rPr>
          <w:rFonts w:ascii="宋体" w:hAnsi="宋体" w:cs="宋体"/>
          <w:sz w:val="24"/>
        </w:rPr>
      </w:pPr>
      <w:r>
        <w:rPr>
          <w:rFonts w:hint="eastAsia" w:ascii="宋体" w:hAnsi="宋体" w:cs="宋体"/>
          <w:sz w:val="24"/>
        </w:rPr>
        <w:t>（2）商务及技术响应表；</w:t>
      </w:r>
    </w:p>
    <w:p>
      <w:pPr>
        <w:pStyle w:val="3"/>
        <w:spacing w:line="360" w:lineRule="auto"/>
        <w:ind w:firstLine="480" w:firstLineChars="200"/>
        <w:rPr>
          <w:rFonts w:ascii="宋体" w:hAnsi="宋体" w:cs="宋体"/>
          <w:sz w:val="24"/>
        </w:rPr>
      </w:pPr>
      <w:r>
        <w:rPr>
          <w:rFonts w:hint="eastAsia" w:ascii="宋体" w:hAnsi="宋体" w:cs="宋体"/>
          <w:sz w:val="24"/>
        </w:rPr>
        <w:t>（3）质保期满后的服务价格和易损零配件价格表；</w:t>
      </w:r>
    </w:p>
    <w:p>
      <w:pPr>
        <w:pStyle w:val="3"/>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）其余内容根据评标办法和采购需求自拟、提供证明材料等。</w:t>
      </w:r>
    </w:p>
    <w:p>
      <w:pPr>
        <w:autoSpaceDE w:val="0"/>
        <w:autoSpaceDN w:val="0"/>
        <w:adjustRightInd w:val="0"/>
        <w:spacing w:line="360" w:lineRule="auto"/>
        <w:ind w:firstLine="479" w:firstLineChars="199"/>
        <w:rPr>
          <w:rFonts w:ascii="宋体" w:hAnsi="宋体"/>
          <w:b/>
          <w:sz w:val="24"/>
        </w:rPr>
      </w:pPr>
      <w:r>
        <w:rPr>
          <w:rFonts w:hint="eastAsia" w:ascii="宋体" w:hAnsi="宋体"/>
          <w:b/>
          <w:sz w:val="24"/>
        </w:rPr>
        <w:t>注：技术资信标投标文件按招标文件要求编制，导入到投标工具技术资信标对应的目录位置，导入文件格式为word或pdf，每个文件大小不超过30mb。</w:t>
      </w:r>
    </w:p>
    <w:p>
      <w:pPr>
        <w:autoSpaceDE w:val="0"/>
        <w:autoSpaceDN w:val="0"/>
        <w:adjustRightInd w:val="0"/>
        <w:spacing w:line="360" w:lineRule="auto"/>
        <w:ind w:left="480"/>
        <w:rPr>
          <w:rFonts w:ascii="宋体" w:hAnsi="宋体"/>
          <w:b/>
          <w:sz w:val="24"/>
        </w:rPr>
      </w:pPr>
      <w:r>
        <w:rPr>
          <w:rFonts w:ascii="宋体" w:hAnsi="宋体"/>
          <w:b/>
          <w:sz w:val="24"/>
        </w:rPr>
        <w:t>3</w:t>
      </w:r>
      <w:r>
        <w:rPr>
          <w:rFonts w:hint="eastAsia" w:ascii="宋体" w:hAnsi="宋体"/>
          <w:b/>
          <w:sz w:val="24"/>
        </w:rPr>
        <w:t>.商务标</w:t>
      </w:r>
    </w:p>
    <w:p>
      <w:pPr>
        <w:autoSpaceDE w:val="0"/>
        <w:autoSpaceDN w:val="0"/>
        <w:adjustRightInd w:val="0"/>
        <w:spacing w:line="360" w:lineRule="auto"/>
        <w:ind w:left="480"/>
        <w:rPr>
          <w:rFonts w:ascii="宋体" w:hAnsi="宋体"/>
          <w:sz w:val="24"/>
        </w:rPr>
      </w:pPr>
      <w:r>
        <w:rPr>
          <w:rFonts w:hint="eastAsia" w:ascii="宋体" w:hAnsi="宋体"/>
          <w:sz w:val="24"/>
        </w:rPr>
        <w:t>（1）开标一览表（格式见附件）。</w:t>
      </w:r>
    </w:p>
    <w:p>
      <w:pPr>
        <w:autoSpaceDE w:val="0"/>
        <w:autoSpaceDN w:val="0"/>
        <w:adjustRightInd w:val="0"/>
        <w:spacing w:line="360" w:lineRule="auto"/>
        <w:ind w:firstLine="479" w:firstLineChars="199"/>
        <w:rPr>
          <w:rFonts w:ascii="宋体" w:hAnsi="宋体"/>
          <w:b/>
          <w:sz w:val="24"/>
        </w:rPr>
      </w:pPr>
      <w:r>
        <w:rPr>
          <w:rFonts w:hint="eastAsia" w:ascii="宋体" w:hAnsi="宋体"/>
          <w:b/>
          <w:sz w:val="24"/>
        </w:rPr>
        <w:t>注：商务标投标文件按招标文件要求编制，导入到投标工具商务标对应的目录位置，导入文件格式为word或pdf，每个文件大小不超过20mb。</w:t>
      </w:r>
    </w:p>
    <w:p>
      <w:pPr>
        <w:pStyle w:val="2"/>
        <w:spacing w:line="360" w:lineRule="auto"/>
        <w:ind w:firstLine="482" w:firstLineChars="200"/>
        <w:rPr>
          <w:rFonts w:ascii="宋体" w:hAnsi="宋体"/>
          <w:b/>
          <w:bCs/>
          <w:sz w:val="24"/>
          <w:szCs w:val="24"/>
        </w:rPr>
      </w:pPr>
      <w:r>
        <w:rPr>
          <w:rFonts w:ascii="宋体" w:hAnsi="宋体" w:cs="Calibri"/>
          <w:b/>
          <w:sz w:val="24"/>
        </w:rPr>
        <w:t>以上内容由台州产权投标工具V1.0.0（2022-8-19）生成的加密标书电子文档，后缀名为“.产权加密标书”的电子投标文件直接上传台州市产权电子交易平台。</w:t>
      </w:r>
      <w:r>
        <w:rPr>
          <w:rFonts w:ascii="宋体" w:hAnsi="宋体"/>
          <w:b/>
          <w:bCs/>
          <w:sz w:val="24"/>
          <w:szCs w:val="24"/>
        </w:rPr>
        <w:t>电子文件应签章齐全，办理CA证书的的投标人可采用单位电子公章代替单位公章，法定代表人电子章代替法定代表人签字，在投标文件编制工具中签章</w:t>
      </w:r>
      <w:r>
        <w:rPr>
          <w:rFonts w:hint="eastAsia" w:ascii="宋体" w:hAnsi="宋体"/>
          <w:b/>
          <w:bCs/>
          <w:sz w:val="24"/>
          <w:szCs w:val="24"/>
        </w:rPr>
        <w:t>。</w:t>
      </w:r>
    </w:p>
    <w:p>
      <w:pPr>
        <w:spacing w:line="360" w:lineRule="auto"/>
        <w:ind w:firstLine="472" w:firstLineChars="196"/>
        <w:rPr>
          <w:rFonts w:ascii="宋体" w:hAnsi="宋体"/>
          <w:b/>
          <w:sz w:val="24"/>
        </w:rPr>
      </w:pPr>
      <w:r>
        <w:rPr>
          <w:rFonts w:hint="eastAsia" w:ascii="宋体" w:hAnsi="宋体"/>
          <w:b/>
          <w:sz w:val="24"/>
        </w:rPr>
        <w:t>（三）投标文件的语言及计量</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投标文件以及</w:t>
      </w:r>
      <w:r>
        <w:rPr>
          <w:rFonts w:hint="eastAsia" w:ascii="宋体" w:hAnsi="宋体"/>
          <w:sz w:val="24"/>
        </w:rPr>
        <w:t>供应商</w:t>
      </w:r>
      <w:r>
        <w:rPr>
          <w:rFonts w:ascii="宋体" w:hAnsi="宋体"/>
          <w:sz w:val="24"/>
        </w:rPr>
        <w:t>与采购人就有关投标事宜的所有来往函电，均应以中文汉语书写。除签名、盖章、专用名称等特殊情形外，以中文汉语以外的文字表述的投标文件视同未提供。</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投标计量单位，招标文件已有明确规定的，使用招标文件规定的计量单位；招标文件没有规定的，应采用中华人民共和国法定计量单位（货币单位：人民币元），否则视同未响应。</w:t>
      </w:r>
    </w:p>
    <w:p>
      <w:pPr>
        <w:snapToGrid w:val="0"/>
        <w:spacing w:before="120" w:beforeLines="50" w:line="360" w:lineRule="auto"/>
        <w:ind w:firstLine="472" w:firstLineChars="196"/>
        <w:jc w:val="left"/>
        <w:outlineLvl w:val="0"/>
        <w:rPr>
          <w:rFonts w:ascii="宋体" w:hAnsi="宋体"/>
          <w:b/>
          <w:sz w:val="24"/>
          <w:szCs w:val="20"/>
        </w:rPr>
      </w:pPr>
      <w:r>
        <w:rPr>
          <w:rFonts w:hint="eastAsia" w:ascii="宋体" w:hAnsi="宋体"/>
          <w:b/>
          <w:sz w:val="24"/>
        </w:rPr>
        <w:t>（四）投标报价</w:t>
      </w:r>
    </w:p>
    <w:p>
      <w:pPr>
        <w:pStyle w:val="26"/>
        <w:spacing w:before="120" w:after="120" w:line="360" w:lineRule="auto"/>
        <w:ind w:firstLine="480" w:firstLineChars="200"/>
        <w:rPr>
          <w:rFonts w:hAnsi="宋体"/>
        </w:rPr>
      </w:pPr>
      <w:r>
        <w:rPr>
          <w:rFonts w:hint="eastAsia" w:hAnsi="宋体"/>
        </w:rPr>
        <w:t>1.报价要求：各供应商应根据招标人的要求</w:t>
      </w:r>
      <w:r>
        <w:rPr>
          <w:rFonts w:hAnsi="宋体"/>
        </w:rPr>
        <w:t>，</w:t>
      </w:r>
      <w:r>
        <w:rPr>
          <w:rFonts w:hint="eastAsia" w:hAnsi="宋体"/>
        </w:rPr>
        <w:t>在招标文件规定的有效报价内，结合本项目实际情况和自身的综合实力，竞报投标报价。投标报价应是招标文件所确定的招标范围内全部工作内容的价格表现，并应充分考虑方案深化、物价涨跌所带来的风险。</w:t>
      </w:r>
    </w:p>
    <w:p>
      <w:pPr>
        <w:pStyle w:val="26"/>
        <w:spacing w:before="120" w:after="120" w:line="360" w:lineRule="auto"/>
        <w:ind w:firstLine="480" w:firstLineChars="200"/>
        <w:rPr>
          <w:rFonts w:hAnsi="宋体"/>
        </w:rPr>
      </w:pPr>
      <w:r>
        <w:rPr>
          <w:rFonts w:hint="eastAsia" w:hAnsi="宋体"/>
        </w:rPr>
        <w:t>2.报价组成：</w:t>
      </w:r>
    </w:p>
    <w:p>
      <w:pPr>
        <w:spacing w:line="360" w:lineRule="auto"/>
        <w:ind w:firstLine="480" w:firstLineChars="200"/>
        <w:rPr>
          <w:rFonts w:ascii="宋体" w:hAnsi="宋体"/>
          <w:sz w:val="24"/>
        </w:rPr>
      </w:pPr>
      <w:r>
        <w:rPr>
          <w:rFonts w:hint="eastAsia" w:ascii="宋体" w:hAnsi="宋体"/>
          <w:sz w:val="24"/>
        </w:rPr>
        <w:t>2.1</w:t>
      </w:r>
      <w:r>
        <w:rPr>
          <w:rFonts w:ascii="宋体" w:hAnsi="宋体"/>
          <w:sz w:val="24"/>
        </w:rPr>
        <w:t>投标报价应按</w:t>
      </w:r>
      <w:r>
        <w:rPr>
          <w:rFonts w:hint="eastAsia" w:ascii="宋体" w:hAnsi="宋体"/>
          <w:sz w:val="24"/>
        </w:rPr>
        <w:t>招标文件</w:t>
      </w:r>
      <w:r>
        <w:rPr>
          <w:rFonts w:ascii="宋体" w:hAnsi="宋体"/>
          <w:sz w:val="24"/>
        </w:rPr>
        <w:t>中相关附表格式填写。</w:t>
      </w:r>
    </w:p>
    <w:p>
      <w:pPr>
        <w:spacing w:line="360" w:lineRule="auto"/>
        <w:ind w:firstLine="480" w:firstLineChars="200"/>
        <w:rPr>
          <w:rFonts w:ascii="宋体" w:hAnsi="宋体"/>
          <w:sz w:val="24"/>
        </w:rPr>
      </w:pPr>
      <w:r>
        <w:rPr>
          <w:rFonts w:hint="eastAsia" w:ascii="宋体" w:hAnsi="宋体"/>
          <w:sz w:val="24"/>
        </w:rPr>
        <w:t>▲2.2 报价内容：是招标文件所确定的招标范围内全部工作内容的价格表现。</w:t>
      </w:r>
    </w:p>
    <w:p>
      <w:pPr>
        <w:spacing w:line="360" w:lineRule="auto"/>
        <w:ind w:firstLine="480" w:firstLineChars="200"/>
        <w:rPr>
          <w:rFonts w:ascii="宋体" w:hAnsi="宋体"/>
          <w:sz w:val="24"/>
        </w:rPr>
      </w:pPr>
      <w:r>
        <w:rPr>
          <w:rFonts w:hint="eastAsia" w:ascii="宋体" w:hAnsi="宋体"/>
          <w:sz w:val="24"/>
        </w:rPr>
        <w:t>2.3采购人不接受任何选择报价，只允许一个报价。</w:t>
      </w:r>
    </w:p>
    <w:p>
      <w:pPr>
        <w:spacing w:line="360" w:lineRule="auto"/>
        <w:ind w:firstLine="480" w:firstLineChars="200"/>
        <w:rPr>
          <w:rFonts w:ascii="宋体" w:hAnsi="宋体"/>
          <w:sz w:val="24"/>
        </w:rPr>
      </w:pPr>
      <w:r>
        <w:rPr>
          <w:rFonts w:hint="eastAsia" w:ascii="宋体" w:hAnsi="宋体"/>
          <w:sz w:val="24"/>
        </w:rPr>
        <w:t>2.4供应商所报的投标单价在合同执行过程中是固定不变的，不得以任何理由予以变更。任何包含价格调整的要求，将被认为是非实质性响应投标而予以拒绝。</w:t>
      </w:r>
    </w:p>
    <w:p>
      <w:pPr>
        <w:spacing w:line="360" w:lineRule="auto"/>
        <w:ind w:firstLine="480" w:firstLineChars="200"/>
        <w:rPr>
          <w:rFonts w:ascii="宋体" w:hAnsi="宋体"/>
          <w:sz w:val="24"/>
        </w:rPr>
      </w:pPr>
      <w:r>
        <w:rPr>
          <w:rFonts w:hint="eastAsia" w:ascii="宋体" w:hAnsi="宋体"/>
          <w:sz w:val="24"/>
        </w:rPr>
        <w:t>2.5相关报价单需打印或用不退色的墨水填写，投标报价单不得涂改和增删，如有错漏必须修改，修改处须由同一签署人签字或盖章。由于字迹模糊或表达不清引起的后果由供应商负责。</w:t>
      </w:r>
    </w:p>
    <w:p>
      <w:pPr>
        <w:pStyle w:val="14"/>
        <w:numPr>
          <w:ilvl w:val="0"/>
          <w:numId w:val="0"/>
        </w:numPr>
        <w:tabs>
          <w:tab w:val="left" w:pos="720"/>
          <w:tab w:val="clear" w:pos="360"/>
        </w:tabs>
        <w:snapToGrid w:val="0"/>
        <w:spacing w:before="120" w:beforeLines="50" w:after="120" w:line="360" w:lineRule="auto"/>
        <w:ind w:left="549" w:leftChars="196"/>
        <w:rPr>
          <w:rFonts w:ascii="宋体" w:hAnsi="宋体"/>
          <w:b/>
        </w:rPr>
      </w:pPr>
      <w:r>
        <w:rPr>
          <w:rFonts w:hint="eastAsia" w:ascii="宋体" w:hAnsi="宋体"/>
          <w:b/>
        </w:rPr>
        <w:t>（五）投标文件的有效期</w:t>
      </w:r>
    </w:p>
    <w:p>
      <w:pPr>
        <w:pStyle w:val="14"/>
        <w:numPr>
          <w:ilvl w:val="0"/>
          <w:numId w:val="0"/>
        </w:numPr>
        <w:tabs>
          <w:tab w:val="left" w:pos="720"/>
          <w:tab w:val="clear" w:pos="360"/>
        </w:tabs>
        <w:snapToGrid w:val="0"/>
        <w:spacing w:after="120"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自投标截止日起</w:t>
      </w:r>
      <w:r>
        <w:rPr>
          <w:rFonts w:ascii="宋体" w:hAnsi="宋体"/>
          <w:sz w:val="24"/>
          <w:u w:val="single"/>
        </w:rPr>
        <w:t xml:space="preserve"> </w:t>
      </w:r>
      <w:r>
        <w:rPr>
          <w:rFonts w:hint="eastAsia" w:ascii="宋体" w:hAnsi="宋体"/>
          <w:sz w:val="24"/>
          <w:u w:val="single"/>
        </w:rPr>
        <w:t>90</w:t>
      </w:r>
      <w:r>
        <w:rPr>
          <w:rFonts w:ascii="宋体" w:hAnsi="宋体"/>
          <w:sz w:val="24"/>
        </w:rPr>
        <w:t>天投标</w:t>
      </w:r>
      <w:r>
        <w:rPr>
          <w:rFonts w:hint="eastAsia" w:ascii="宋体" w:hAnsi="宋体"/>
          <w:sz w:val="24"/>
        </w:rPr>
        <w:t>文件</w:t>
      </w:r>
      <w:r>
        <w:rPr>
          <w:rFonts w:ascii="宋体" w:hAnsi="宋体"/>
          <w:sz w:val="24"/>
        </w:rPr>
        <w:t>应保持有效。</w:t>
      </w:r>
      <w:r>
        <w:rPr>
          <w:rFonts w:hint="eastAsia" w:ascii="宋体" w:hAnsi="宋体"/>
          <w:sz w:val="24"/>
        </w:rPr>
        <w:t>中标供应商投标文件有效期延长至合同有效期。</w:t>
      </w:r>
      <w:r>
        <w:rPr>
          <w:rFonts w:ascii="宋体" w:hAnsi="宋体"/>
          <w:sz w:val="24"/>
        </w:rPr>
        <w:t>有效期</w:t>
      </w:r>
      <w:r>
        <w:rPr>
          <w:rFonts w:hint="eastAsia" w:ascii="宋体" w:hAnsi="宋体"/>
          <w:sz w:val="24"/>
        </w:rPr>
        <w:t>不足</w:t>
      </w:r>
      <w:r>
        <w:rPr>
          <w:rFonts w:ascii="宋体" w:hAnsi="宋体"/>
          <w:sz w:val="24"/>
        </w:rPr>
        <w:t>的投标</w:t>
      </w:r>
      <w:r>
        <w:rPr>
          <w:rFonts w:hint="eastAsia" w:ascii="宋体" w:hAnsi="宋体"/>
          <w:sz w:val="24"/>
        </w:rPr>
        <w:t>文件</w:t>
      </w:r>
      <w:r>
        <w:rPr>
          <w:rFonts w:ascii="宋体" w:hAnsi="宋体"/>
          <w:sz w:val="24"/>
        </w:rPr>
        <w:t>将被拒绝。</w:t>
      </w:r>
    </w:p>
    <w:p>
      <w:pPr>
        <w:pStyle w:val="14"/>
        <w:numPr>
          <w:ilvl w:val="0"/>
          <w:numId w:val="0"/>
        </w:numPr>
        <w:tabs>
          <w:tab w:val="left" w:pos="720"/>
          <w:tab w:val="clear" w:pos="360"/>
        </w:tabs>
        <w:snapToGrid w:val="0"/>
        <w:spacing w:after="120"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在特殊情况下，采购人可与</w:t>
      </w:r>
      <w:r>
        <w:rPr>
          <w:rFonts w:hint="eastAsia" w:ascii="宋体" w:hAnsi="宋体"/>
          <w:sz w:val="24"/>
        </w:rPr>
        <w:t>供应商</w:t>
      </w:r>
      <w:r>
        <w:rPr>
          <w:rFonts w:ascii="宋体" w:hAnsi="宋体"/>
          <w:sz w:val="24"/>
        </w:rPr>
        <w:t>协商延长投标书的有效期，这种要求和答复均以书面形式进行。</w:t>
      </w:r>
    </w:p>
    <w:p>
      <w:pPr>
        <w:snapToGrid w:val="0"/>
        <w:spacing w:line="360" w:lineRule="auto"/>
        <w:ind w:firstLine="480" w:firstLineChars="200"/>
        <w:jc w:val="left"/>
        <w:outlineLvl w:val="0"/>
        <w:rPr>
          <w:rFonts w:ascii="宋体" w:hAnsi="宋体"/>
          <w:b/>
          <w:sz w:val="24"/>
          <w:szCs w:val="20"/>
        </w:rPr>
      </w:pPr>
      <w:r>
        <w:rPr>
          <w:rFonts w:ascii="宋体" w:hAnsi="宋体"/>
          <w:sz w:val="24"/>
        </w:rPr>
        <w:t>3</w:t>
      </w:r>
      <w:r>
        <w:rPr>
          <w:rFonts w:hint="eastAsia" w:ascii="宋体" w:hAnsi="宋体"/>
          <w:sz w:val="24"/>
        </w:rPr>
        <w:t>.供应商</w:t>
      </w:r>
      <w:r>
        <w:rPr>
          <w:rFonts w:ascii="宋体" w:hAnsi="宋体"/>
          <w:sz w:val="24"/>
        </w:rPr>
        <w:t>可拒绝接受延期要求而不会导致投标保证金被没收。同意延长有效期的</w:t>
      </w:r>
      <w:r>
        <w:rPr>
          <w:rFonts w:hint="eastAsia" w:ascii="宋体" w:hAnsi="宋体"/>
          <w:sz w:val="24"/>
        </w:rPr>
        <w:t>供应商</w:t>
      </w:r>
      <w:r>
        <w:rPr>
          <w:rFonts w:ascii="宋体" w:hAnsi="宋体"/>
          <w:sz w:val="24"/>
        </w:rPr>
        <w:t>需要相应延长投标保证金的有效期，但不能修改投标文件。</w:t>
      </w:r>
      <w:r>
        <w:rPr>
          <w:rFonts w:ascii="宋体" w:hAnsi="宋体"/>
          <w:b/>
          <w:sz w:val="24"/>
        </w:rPr>
        <w:t xml:space="preserve"> </w:t>
      </w:r>
    </w:p>
    <w:p>
      <w:pPr>
        <w:snapToGrid w:val="0"/>
        <w:spacing w:line="360" w:lineRule="auto"/>
        <w:ind w:firstLine="480" w:firstLineChars="200"/>
        <w:jc w:val="left"/>
        <w:outlineLvl w:val="0"/>
        <w:rPr>
          <w:rFonts w:ascii="宋体" w:hAnsi="宋体"/>
          <w:b/>
          <w:sz w:val="24"/>
        </w:rPr>
      </w:pPr>
      <w:r>
        <w:rPr>
          <w:rFonts w:ascii="宋体" w:hAnsi="宋体"/>
          <w:sz w:val="24"/>
        </w:rPr>
        <w:t>4</w:t>
      </w:r>
      <w:r>
        <w:rPr>
          <w:rFonts w:hint="eastAsia" w:ascii="宋体" w:hAnsi="宋体"/>
          <w:sz w:val="24"/>
        </w:rPr>
        <w:t>.中标供应商</w:t>
      </w:r>
      <w:r>
        <w:rPr>
          <w:rFonts w:ascii="宋体" w:hAnsi="宋体"/>
          <w:sz w:val="24"/>
        </w:rPr>
        <w:t>的投标文件自开标之日起至合同履行完毕止均应保持有效。</w:t>
      </w:r>
    </w:p>
    <w:p>
      <w:pPr>
        <w:snapToGrid w:val="0"/>
        <w:spacing w:before="120" w:beforeLines="50" w:line="360" w:lineRule="auto"/>
        <w:ind w:firstLine="472" w:firstLineChars="196"/>
        <w:jc w:val="left"/>
        <w:outlineLvl w:val="0"/>
        <w:rPr>
          <w:rFonts w:ascii="宋体" w:hAnsi="宋体"/>
          <w:b/>
          <w:sz w:val="24"/>
          <w:szCs w:val="20"/>
        </w:rPr>
      </w:pPr>
      <w:r>
        <w:rPr>
          <w:rFonts w:hint="eastAsia" w:ascii="宋体" w:hAnsi="宋体"/>
          <w:b/>
          <w:sz w:val="24"/>
        </w:rPr>
        <w:t>（六）投标保证金</w:t>
      </w:r>
    </w:p>
    <w:p>
      <w:pPr>
        <w:snapToGrid w:val="0"/>
        <w:spacing w:line="360" w:lineRule="auto"/>
        <w:ind w:firstLine="480" w:firstLineChars="200"/>
        <w:jc w:val="left"/>
        <w:rPr>
          <w:rFonts w:ascii="宋体" w:hAnsi="宋体"/>
          <w:sz w:val="24"/>
          <w:szCs w:val="20"/>
        </w:rPr>
      </w:pPr>
      <w:r>
        <w:rPr>
          <w:rFonts w:hint="eastAsia" w:ascii="宋体" w:hAnsi="宋体"/>
          <w:sz w:val="24"/>
        </w:rPr>
        <w:t>▲</w:t>
      </w:r>
      <w:r>
        <w:rPr>
          <w:rFonts w:ascii="宋体" w:hAnsi="宋体"/>
          <w:sz w:val="24"/>
        </w:rPr>
        <w:t>1</w:t>
      </w:r>
      <w:r>
        <w:rPr>
          <w:rFonts w:hint="eastAsia" w:ascii="宋体" w:hAnsi="宋体"/>
          <w:sz w:val="24"/>
        </w:rPr>
        <w:t>.供应商</w:t>
      </w:r>
      <w:r>
        <w:rPr>
          <w:rFonts w:ascii="宋体" w:hAnsi="宋体"/>
          <w:sz w:val="24"/>
        </w:rPr>
        <w:t>须</w:t>
      </w:r>
      <w:r>
        <w:rPr>
          <w:rFonts w:hint="eastAsia" w:ascii="宋体" w:hAnsi="宋体"/>
          <w:sz w:val="24"/>
        </w:rPr>
        <w:t>按规定</w:t>
      </w:r>
      <w:r>
        <w:rPr>
          <w:rFonts w:ascii="宋体" w:hAnsi="宋体"/>
          <w:sz w:val="24"/>
        </w:rPr>
        <w:t>提交投标保证金。否则，其投标将被拒绝。</w:t>
      </w:r>
    </w:p>
    <w:p>
      <w:pPr>
        <w:snapToGrid w:val="0"/>
        <w:spacing w:line="360" w:lineRule="auto"/>
        <w:ind w:firstLine="480" w:firstLineChars="200"/>
        <w:jc w:val="left"/>
        <w:rPr>
          <w:rFonts w:ascii="宋体" w:hAnsi="宋体"/>
          <w:sz w:val="24"/>
          <w:szCs w:val="20"/>
        </w:rPr>
      </w:pPr>
      <w:r>
        <w:rPr>
          <w:rFonts w:ascii="宋体" w:hAnsi="宋体"/>
          <w:sz w:val="24"/>
        </w:rPr>
        <w:t>2</w:t>
      </w:r>
      <w:r>
        <w:rPr>
          <w:rFonts w:hint="eastAsia" w:ascii="宋体" w:hAnsi="宋体"/>
          <w:sz w:val="24"/>
        </w:rPr>
        <w:t>.</w:t>
      </w:r>
      <w:r>
        <w:rPr>
          <w:rFonts w:ascii="宋体" w:hAnsi="宋体"/>
          <w:sz w:val="24"/>
        </w:rPr>
        <w:t>保证金形式：</w:t>
      </w:r>
      <w:r>
        <w:rPr>
          <w:rFonts w:hint="eastAsia" w:ascii="宋体" w:hAnsi="宋体" w:cs="Arial"/>
          <w:sz w:val="24"/>
          <w:u w:val="single"/>
        </w:rPr>
        <w:t>转账、电汇</w:t>
      </w:r>
      <w:r>
        <w:rPr>
          <w:rFonts w:hint="eastAsia" w:ascii="宋体" w:hAnsi="宋体"/>
          <w:sz w:val="24"/>
          <w:u w:val="single"/>
        </w:rPr>
        <w:t>。</w:t>
      </w:r>
    </w:p>
    <w:p>
      <w:pPr>
        <w:snapToGrid w:val="0"/>
        <w:spacing w:line="360" w:lineRule="auto"/>
        <w:ind w:firstLine="480" w:firstLineChars="200"/>
        <w:jc w:val="left"/>
        <w:rPr>
          <w:rFonts w:ascii="宋体" w:hAnsi="宋体"/>
          <w:sz w:val="24"/>
          <w:szCs w:val="20"/>
        </w:rPr>
      </w:pPr>
      <w:r>
        <w:rPr>
          <w:rFonts w:ascii="宋体" w:hAnsi="宋体"/>
          <w:sz w:val="24"/>
        </w:rPr>
        <w:t>3</w:t>
      </w:r>
      <w:r>
        <w:rPr>
          <w:rFonts w:hint="eastAsia" w:ascii="宋体" w:hAnsi="宋体"/>
          <w:sz w:val="24"/>
        </w:rPr>
        <w:t>.</w:t>
      </w:r>
      <w:r>
        <w:rPr>
          <w:rFonts w:ascii="宋体" w:hAnsi="宋体"/>
          <w:sz w:val="24"/>
        </w:rPr>
        <w:t>未</w:t>
      </w:r>
      <w:r>
        <w:rPr>
          <w:rFonts w:hint="eastAsia" w:ascii="宋体" w:hAnsi="宋体"/>
          <w:sz w:val="24"/>
        </w:rPr>
        <w:t>中标供应商的投标</w:t>
      </w:r>
      <w:r>
        <w:rPr>
          <w:rFonts w:ascii="宋体" w:hAnsi="宋体"/>
          <w:sz w:val="24"/>
        </w:rPr>
        <w:t>保证金在</w:t>
      </w:r>
      <w:r>
        <w:rPr>
          <w:rFonts w:hint="eastAsia" w:ascii="宋体" w:hAnsi="宋体"/>
          <w:sz w:val="24"/>
        </w:rPr>
        <w:t>中标通知书发出后5个工作日内退还</w:t>
      </w:r>
      <w:r>
        <w:rPr>
          <w:rFonts w:ascii="宋体" w:hAnsi="宋体"/>
          <w:sz w:val="24"/>
        </w:rPr>
        <w:t>。</w:t>
      </w:r>
    </w:p>
    <w:p>
      <w:pPr>
        <w:snapToGrid w:val="0"/>
        <w:spacing w:line="360" w:lineRule="auto"/>
        <w:ind w:firstLine="480" w:firstLineChars="200"/>
        <w:jc w:val="left"/>
        <w:rPr>
          <w:rFonts w:ascii="宋体" w:hAnsi="宋体"/>
          <w:sz w:val="24"/>
          <w:szCs w:val="20"/>
        </w:rPr>
      </w:pPr>
      <w:r>
        <w:rPr>
          <w:rFonts w:ascii="宋体" w:hAnsi="宋体"/>
          <w:sz w:val="24"/>
        </w:rPr>
        <w:t>4</w:t>
      </w:r>
      <w:r>
        <w:rPr>
          <w:rFonts w:hint="eastAsia" w:ascii="宋体" w:hAnsi="宋体"/>
          <w:sz w:val="24"/>
        </w:rPr>
        <w:t>.中标供应商</w:t>
      </w:r>
      <w:r>
        <w:rPr>
          <w:rFonts w:ascii="宋体" w:hAnsi="宋体"/>
          <w:sz w:val="24"/>
        </w:rPr>
        <w:t>应在中标通知书发出</w:t>
      </w:r>
      <w:r>
        <w:rPr>
          <w:rFonts w:hint="eastAsia" w:ascii="宋体" w:hAnsi="宋体"/>
          <w:sz w:val="24"/>
        </w:rPr>
        <w:t>后</w:t>
      </w:r>
      <w:r>
        <w:rPr>
          <w:rFonts w:ascii="宋体" w:hAnsi="宋体"/>
          <w:sz w:val="24"/>
          <w:u w:val="single"/>
        </w:rPr>
        <w:t xml:space="preserve"> </w:t>
      </w:r>
      <w:r>
        <w:rPr>
          <w:rFonts w:hint="eastAsia" w:ascii="宋体" w:hAnsi="宋体"/>
          <w:sz w:val="24"/>
          <w:u w:val="single"/>
        </w:rPr>
        <w:t xml:space="preserve">15 </w:t>
      </w:r>
      <w:r>
        <w:rPr>
          <w:rFonts w:ascii="宋体" w:hAnsi="宋体"/>
          <w:sz w:val="24"/>
        </w:rPr>
        <w:t xml:space="preserve"> </w:t>
      </w:r>
      <w:r>
        <w:rPr>
          <w:rFonts w:hint="eastAsia" w:ascii="宋体" w:hAnsi="宋体"/>
          <w:sz w:val="24"/>
        </w:rPr>
        <w:t>日内与采购人签订合同</w:t>
      </w:r>
      <w:r>
        <w:rPr>
          <w:rFonts w:ascii="宋体" w:hAnsi="宋体"/>
          <w:sz w:val="24"/>
        </w:rPr>
        <w:t>，</w:t>
      </w:r>
      <w:r>
        <w:rPr>
          <w:rFonts w:hint="eastAsia" w:ascii="宋体" w:hAnsi="宋体"/>
          <w:sz w:val="24"/>
        </w:rPr>
        <w:t>中标供应商</w:t>
      </w:r>
      <w:r>
        <w:rPr>
          <w:rFonts w:ascii="宋体" w:hAnsi="宋体"/>
          <w:sz w:val="24"/>
        </w:rPr>
        <w:t>的投标保证金在合同签订后5天内退还。</w:t>
      </w:r>
    </w:p>
    <w:p>
      <w:pPr>
        <w:snapToGrid w:val="0"/>
        <w:spacing w:line="360" w:lineRule="auto"/>
        <w:ind w:firstLine="480" w:firstLineChars="200"/>
        <w:jc w:val="left"/>
        <w:rPr>
          <w:rFonts w:ascii="宋体" w:hAnsi="宋体"/>
          <w:b/>
          <w:sz w:val="24"/>
          <w:szCs w:val="20"/>
        </w:rPr>
      </w:pPr>
      <w:r>
        <w:rPr>
          <w:rFonts w:ascii="宋体" w:hAnsi="宋体"/>
          <w:sz w:val="24"/>
        </w:rPr>
        <w:t>5</w:t>
      </w:r>
      <w:r>
        <w:rPr>
          <w:rFonts w:hint="eastAsia" w:ascii="宋体" w:hAnsi="宋体"/>
          <w:sz w:val="24"/>
        </w:rPr>
        <w:t>.</w:t>
      </w:r>
      <w:r>
        <w:rPr>
          <w:rFonts w:ascii="宋体" w:hAnsi="宋体"/>
          <w:sz w:val="24"/>
        </w:rPr>
        <w:t>保证金不计息。</w:t>
      </w:r>
    </w:p>
    <w:p>
      <w:pPr>
        <w:snapToGrid w:val="0"/>
        <w:spacing w:line="360" w:lineRule="auto"/>
        <w:ind w:firstLine="472" w:firstLineChars="196"/>
        <w:jc w:val="left"/>
        <w:rPr>
          <w:rFonts w:ascii="宋体" w:hAnsi="宋体"/>
          <w:b/>
          <w:bCs/>
          <w:sz w:val="24"/>
          <w:szCs w:val="20"/>
        </w:rPr>
      </w:pPr>
      <w:r>
        <w:rPr>
          <w:rFonts w:ascii="宋体" w:hAnsi="宋体"/>
          <w:b/>
          <w:bCs/>
          <w:sz w:val="24"/>
        </w:rPr>
        <w:t>6</w:t>
      </w:r>
      <w:r>
        <w:rPr>
          <w:rFonts w:hint="eastAsia" w:ascii="宋体" w:hAnsi="宋体"/>
          <w:b/>
          <w:bCs/>
          <w:sz w:val="24"/>
        </w:rPr>
        <w:t>.供应商有</w:t>
      </w:r>
      <w:r>
        <w:rPr>
          <w:rFonts w:ascii="宋体" w:hAnsi="宋体"/>
          <w:b/>
          <w:bCs/>
          <w:sz w:val="24"/>
        </w:rPr>
        <w:t>下列情</w:t>
      </w:r>
      <w:r>
        <w:rPr>
          <w:rFonts w:hint="eastAsia" w:ascii="宋体" w:hAnsi="宋体"/>
          <w:b/>
          <w:bCs/>
          <w:sz w:val="24"/>
        </w:rPr>
        <w:t>形之一的</w:t>
      </w:r>
      <w:r>
        <w:rPr>
          <w:rFonts w:ascii="宋体" w:hAnsi="宋体"/>
          <w:b/>
          <w:bCs/>
          <w:sz w:val="24"/>
        </w:rPr>
        <w:t>，投标保证金将不予退还：</w:t>
      </w:r>
    </w:p>
    <w:p>
      <w:pPr>
        <w:snapToGrid w:val="0"/>
        <w:spacing w:line="360" w:lineRule="auto"/>
        <w:ind w:firstLine="470" w:firstLineChars="196"/>
        <w:jc w:val="left"/>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供应商在投标有效期内撤回投标文件的；</w:t>
      </w:r>
    </w:p>
    <w:p>
      <w:pPr>
        <w:snapToGrid w:val="0"/>
        <w:spacing w:line="360" w:lineRule="auto"/>
        <w:ind w:firstLine="470" w:firstLineChars="196"/>
        <w:jc w:val="left"/>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未按规定提交履约</w:t>
      </w:r>
      <w:r>
        <w:rPr>
          <w:rFonts w:ascii="宋体" w:hAnsi="宋体"/>
          <w:bCs/>
          <w:sz w:val="24"/>
        </w:rPr>
        <w:t>保证金</w:t>
      </w:r>
      <w:r>
        <w:rPr>
          <w:rFonts w:hint="eastAsia" w:ascii="宋体" w:hAnsi="宋体"/>
          <w:bCs/>
          <w:sz w:val="24"/>
        </w:rPr>
        <w:t>的；</w:t>
      </w:r>
    </w:p>
    <w:p>
      <w:pPr>
        <w:snapToGrid w:val="0"/>
        <w:spacing w:line="360" w:lineRule="auto"/>
        <w:ind w:firstLine="470" w:firstLineChars="196"/>
        <w:jc w:val="left"/>
        <w:rPr>
          <w:rFonts w:ascii="宋体" w:hAnsi="宋体"/>
          <w:bCs/>
          <w:sz w:val="24"/>
        </w:rPr>
      </w:pPr>
      <w:r>
        <w:rPr>
          <w:rFonts w:ascii="宋体" w:hAnsi="宋体"/>
          <w:bCs/>
          <w:sz w:val="24"/>
        </w:rPr>
        <w:t>（3）</w:t>
      </w:r>
      <w:r>
        <w:rPr>
          <w:rFonts w:hint="eastAsia" w:ascii="宋体" w:hAnsi="宋体"/>
          <w:bCs/>
          <w:sz w:val="24"/>
        </w:rPr>
        <w:t>供应商</w:t>
      </w:r>
      <w:r>
        <w:rPr>
          <w:rFonts w:ascii="宋体" w:hAnsi="宋体"/>
          <w:bCs/>
          <w:sz w:val="24"/>
        </w:rPr>
        <w:t>在投标过程中弄虚作假，提供虚假材料</w:t>
      </w:r>
      <w:r>
        <w:rPr>
          <w:rFonts w:hint="eastAsia" w:ascii="宋体" w:hAnsi="宋体"/>
          <w:bCs/>
          <w:sz w:val="24"/>
        </w:rPr>
        <w:t>的</w:t>
      </w:r>
      <w:r>
        <w:rPr>
          <w:rFonts w:ascii="宋体" w:hAnsi="宋体"/>
          <w:bCs/>
          <w:sz w:val="24"/>
        </w:rPr>
        <w:t>；</w:t>
      </w:r>
    </w:p>
    <w:p>
      <w:pPr>
        <w:snapToGrid w:val="0"/>
        <w:spacing w:line="360" w:lineRule="auto"/>
        <w:ind w:firstLine="470" w:firstLineChars="196"/>
        <w:rPr>
          <w:rFonts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中标供应商无正当理由不与采购人签订合同的；</w:t>
      </w:r>
    </w:p>
    <w:p>
      <w:pPr>
        <w:snapToGrid w:val="0"/>
        <w:spacing w:line="360" w:lineRule="auto"/>
        <w:ind w:firstLine="470" w:firstLineChars="196"/>
        <w:rPr>
          <w:rFonts w:ascii="宋体" w:hAnsi="宋体"/>
          <w:b/>
          <w:sz w:val="24"/>
        </w:rPr>
      </w:pPr>
      <w:r>
        <w:rPr>
          <w:rFonts w:hint="eastAsia" w:ascii="宋体" w:hAnsi="宋体"/>
          <w:bCs/>
          <w:sz w:val="24"/>
        </w:rPr>
        <w:t>（</w:t>
      </w:r>
      <w:r>
        <w:rPr>
          <w:rFonts w:ascii="宋体" w:hAnsi="宋体"/>
          <w:bCs/>
          <w:sz w:val="24"/>
        </w:rPr>
        <w:t>5）</w:t>
      </w:r>
      <w:r>
        <w:rPr>
          <w:rFonts w:hint="eastAsia" w:ascii="宋体" w:hAnsi="宋体"/>
          <w:bCs/>
          <w:sz w:val="24"/>
        </w:rPr>
        <w:t>将中标项目转让给他人或者在投标文件中未说明且未经招标采购单位同意，将中标项目分包给他人的；</w:t>
      </w:r>
    </w:p>
    <w:p>
      <w:pPr>
        <w:snapToGrid w:val="0"/>
        <w:spacing w:line="360" w:lineRule="auto"/>
        <w:ind w:firstLine="480" w:firstLineChars="200"/>
        <w:rPr>
          <w:rFonts w:ascii="宋体" w:hAnsi="宋体"/>
          <w:sz w:val="24"/>
        </w:rPr>
      </w:pPr>
      <w:r>
        <w:rPr>
          <w:rFonts w:hint="eastAsia" w:ascii="宋体" w:hAnsi="宋体"/>
          <w:sz w:val="24"/>
        </w:rPr>
        <w:t>（6）拒绝履行合同义务的；</w:t>
      </w:r>
    </w:p>
    <w:p>
      <w:pPr>
        <w:snapToGrid w:val="0"/>
        <w:spacing w:line="360" w:lineRule="auto"/>
        <w:ind w:firstLine="480" w:firstLineChars="200"/>
        <w:rPr>
          <w:rFonts w:ascii="宋体" w:hAnsi="宋体"/>
          <w:sz w:val="24"/>
        </w:rPr>
      </w:pPr>
      <w:r>
        <w:rPr>
          <w:rFonts w:hint="eastAsia" w:ascii="宋体" w:hAnsi="宋体"/>
          <w:sz w:val="24"/>
        </w:rPr>
        <w:t>（7）其他严重扰乱招投标程序的。</w:t>
      </w:r>
    </w:p>
    <w:p>
      <w:pPr>
        <w:snapToGrid w:val="0"/>
        <w:spacing w:before="120" w:beforeLines="50" w:line="360" w:lineRule="auto"/>
        <w:ind w:firstLine="472" w:firstLineChars="196"/>
        <w:jc w:val="left"/>
        <w:outlineLvl w:val="0"/>
        <w:rPr>
          <w:rFonts w:ascii="宋体" w:hAnsi="宋体"/>
          <w:b/>
          <w:sz w:val="24"/>
          <w:szCs w:val="20"/>
        </w:rPr>
      </w:pPr>
      <w:r>
        <w:rPr>
          <w:rFonts w:hint="eastAsia" w:ascii="宋体" w:hAnsi="宋体"/>
          <w:b/>
          <w:sz w:val="24"/>
        </w:rPr>
        <w:t>（七）投标文件的式样和标记</w:t>
      </w:r>
    </w:p>
    <w:p>
      <w:pPr>
        <w:snapToGrid w:val="0"/>
        <w:spacing w:line="360" w:lineRule="auto"/>
        <w:ind w:firstLine="470" w:firstLineChars="196"/>
        <w:jc w:val="left"/>
        <w:outlineLvl w:val="0"/>
        <w:rPr>
          <w:rFonts w:ascii="宋体" w:hAnsi="宋体"/>
          <w:sz w:val="24"/>
        </w:rPr>
      </w:pPr>
      <w:r>
        <w:rPr>
          <w:rFonts w:hint="eastAsia" w:ascii="宋体" w:hAnsi="宋体"/>
          <w:sz w:val="24"/>
        </w:rPr>
        <w:t>1.投标人应当按本招标文件规定的格式和顺序编制投标文件，投标文件内容不完整、编排混乱导致投标文件被误读、漏读或者查找不到相关内容的，是投标人的责任。</w:t>
      </w:r>
    </w:p>
    <w:p>
      <w:pPr>
        <w:snapToGrid w:val="0"/>
        <w:spacing w:line="360" w:lineRule="auto"/>
        <w:ind w:firstLine="470" w:firstLineChars="196"/>
        <w:jc w:val="left"/>
        <w:outlineLvl w:val="0"/>
        <w:rPr>
          <w:rFonts w:ascii="宋体" w:hAnsi="宋体"/>
          <w:sz w:val="24"/>
        </w:rPr>
      </w:pPr>
      <w:r>
        <w:rPr>
          <w:rFonts w:hint="eastAsia" w:ascii="宋体" w:hAnsi="宋体"/>
          <w:sz w:val="24"/>
        </w:rPr>
        <w:t>2. 投标人按要求上传电子投标文件至交易平台。投标人在规定位置盖章并由法定代表人或法定代表人的授权委托人签署，投标人应写全称。</w:t>
      </w:r>
    </w:p>
    <w:p>
      <w:pPr>
        <w:snapToGrid w:val="0"/>
        <w:spacing w:line="360" w:lineRule="auto"/>
        <w:ind w:firstLine="470" w:firstLineChars="196"/>
        <w:jc w:val="left"/>
        <w:outlineLvl w:val="0"/>
        <w:rPr>
          <w:rFonts w:ascii="宋体" w:hAnsi="宋体"/>
          <w:sz w:val="24"/>
        </w:rPr>
      </w:pPr>
      <w:r>
        <w:rPr>
          <w:rFonts w:hint="eastAsia" w:ascii="宋体" w:hAnsi="宋体"/>
          <w:sz w:val="24"/>
        </w:rPr>
        <w:t>3.投标文件不得涂改，若有修改错漏处，须加盖单位公章或者法定代表人或授权委托人签字或盖章。投标文件因字迹潦草或表达不清所引起的后果由投标人负责。</w:t>
      </w:r>
    </w:p>
    <w:p>
      <w:pPr>
        <w:snapToGrid w:val="0"/>
        <w:spacing w:before="120" w:beforeLines="50" w:line="360" w:lineRule="auto"/>
        <w:ind w:firstLine="472" w:firstLineChars="196"/>
        <w:jc w:val="left"/>
        <w:outlineLvl w:val="0"/>
        <w:rPr>
          <w:rFonts w:ascii="宋体" w:hAnsi="宋体"/>
          <w:b/>
          <w:sz w:val="24"/>
        </w:rPr>
      </w:pPr>
      <w:r>
        <w:rPr>
          <w:rFonts w:hint="eastAsia" w:ascii="宋体" w:hAnsi="宋体"/>
          <w:b/>
          <w:sz w:val="24"/>
        </w:rPr>
        <w:t>（八）投标文件的递交、修改、撤回和撤销</w:t>
      </w:r>
    </w:p>
    <w:p>
      <w:pPr>
        <w:snapToGrid w:val="0"/>
        <w:spacing w:line="360" w:lineRule="auto"/>
        <w:ind w:firstLine="470" w:firstLineChars="196"/>
        <w:jc w:val="left"/>
        <w:outlineLvl w:val="0"/>
        <w:rPr>
          <w:rFonts w:ascii="宋体" w:hAnsi="宋体"/>
          <w:sz w:val="24"/>
        </w:rPr>
      </w:pPr>
      <w:r>
        <w:rPr>
          <w:rFonts w:hint="eastAsia" w:ascii="宋体" w:hAnsi="宋体"/>
          <w:sz w:val="24"/>
        </w:rPr>
        <w:t>1.电子投标文件的递交：</w:t>
      </w:r>
    </w:p>
    <w:p>
      <w:pPr>
        <w:snapToGrid w:val="0"/>
        <w:spacing w:line="360" w:lineRule="auto"/>
        <w:ind w:firstLine="470" w:firstLineChars="196"/>
        <w:jc w:val="left"/>
        <w:outlineLvl w:val="0"/>
        <w:rPr>
          <w:rFonts w:ascii="宋体" w:hAnsi="宋体"/>
          <w:sz w:val="24"/>
        </w:rPr>
      </w:pPr>
      <w:r>
        <w:rPr>
          <w:rFonts w:hint="eastAsia" w:ascii="宋体" w:hAnsi="宋体"/>
          <w:sz w:val="24"/>
        </w:rPr>
        <w:t>1)登录台州市产权电子交易平台（网址：https://ggzy.tzztb.zjtz.gov.cn/t9/）；</w:t>
      </w:r>
    </w:p>
    <w:p>
      <w:pPr>
        <w:snapToGrid w:val="0"/>
        <w:spacing w:line="360" w:lineRule="auto"/>
        <w:ind w:firstLine="470" w:firstLineChars="196"/>
        <w:jc w:val="left"/>
        <w:outlineLvl w:val="0"/>
        <w:rPr>
          <w:rFonts w:ascii="宋体" w:hAnsi="宋体"/>
          <w:sz w:val="24"/>
        </w:rPr>
      </w:pPr>
      <w:r>
        <w:rPr>
          <w:rFonts w:hint="eastAsia" w:ascii="宋体" w:hAnsi="宋体"/>
          <w:sz w:val="24"/>
        </w:rPr>
        <w:t>2)选择投标项目，输入MD5码，点击“上传标书”；</w:t>
      </w:r>
    </w:p>
    <w:p>
      <w:pPr>
        <w:snapToGrid w:val="0"/>
        <w:spacing w:line="360" w:lineRule="auto"/>
        <w:ind w:firstLine="470" w:firstLineChars="196"/>
        <w:jc w:val="left"/>
        <w:outlineLvl w:val="0"/>
        <w:rPr>
          <w:rFonts w:ascii="宋体" w:hAnsi="宋体"/>
          <w:sz w:val="24"/>
        </w:rPr>
      </w:pPr>
      <w:r>
        <w:rPr>
          <w:rFonts w:hint="eastAsia" w:ascii="宋体" w:hAnsi="宋体"/>
          <w:sz w:val="24"/>
        </w:rPr>
        <w:t>3）电子投标文件上传完成。</w:t>
      </w:r>
    </w:p>
    <w:p>
      <w:pPr>
        <w:snapToGrid w:val="0"/>
        <w:spacing w:line="360" w:lineRule="auto"/>
        <w:ind w:firstLine="470" w:firstLineChars="196"/>
        <w:jc w:val="left"/>
        <w:outlineLvl w:val="0"/>
        <w:rPr>
          <w:rFonts w:ascii="宋体" w:hAnsi="宋体"/>
          <w:sz w:val="24"/>
        </w:rPr>
      </w:pPr>
      <w:r>
        <w:rPr>
          <w:rFonts w:hint="eastAsia" w:ascii="宋体" w:hAnsi="宋体"/>
          <w:sz w:val="24"/>
        </w:rPr>
        <w:t>投标人应在投标截止时间前上传完成电子投标文件。电子投标工具安装包下载地址及具体操作步骤见《台州产权系统应用操作说明及工具安装包》</w:t>
      </w:r>
    </w:p>
    <w:p>
      <w:pPr>
        <w:snapToGrid w:val="0"/>
        <w:spacing w:line="360" w:lineRule="auto"/>
        <w:ind w:firstLine="470" w:firstLineChars="196"/>
        <w:jc w:val="left"/>
        <w:outlineLvl w:val="0"/>
        <w:rPr>
          <w:rFonts w:ascii="宋体" w:hAnsi="宋体"/>
          <w:sz w:val="24"/>
        </w:rPr>
      </w:pPr>
      <w:r>
        <w:rPr>
          <w:rFonts w:hint="eastAsia" w:ascii="宋体" w:hAnsi="宋体"/>
          <w:sz w:val="24"/>
        </w:rPr>
        <w:t>网址：</w:t>
      </w:r>
      <w:r>
        <w:rPr>
          <w:rFonts w:ascii="宋体" w:hAnsi="宋体"/>
          <w:b/>
          <w:sz w:val="24"/>
        </w:rPr>
        <w:t>https://tzztb.zjtz.gov.cn/art/2022/10/18/art_1229679816_3032.html</w:t>
      </w:r>
    </w:p>
    <w:p>
      <w:pPr>
        <w:snapToGrid w:val="0"/>
        <w:spacing w:line="360" w:lineRule="auto"/>
        <w:ind w:firstLine="470" w:firstLineChars="196"/>
        <w:jc w:val="left"/>
        <w:outlineLvl w:val="0"/>
        <w:rPr>
          <w:rFonts w:ascii="宋体" w:hAnsi="宋体"/>
          <w:sz w:val="24"/>
        </w:rPr>
      </w:pPr>
      <w:r>
        <w:rPr>
          <w:rFonts w:hint="eastAsia" w:ascii="宋体" w:hAnsi="宋体"/>
          <w:sz w:val="24"/>
        </w:rPr>
        <w:t>2.投标人在投标截止时间之前，可以对已提交的投标文件进行修改或撤回；投标截止时间后，投标人不得撤回、修改投标文件。</w:t>
      </w:r>
    </w:p>
    <w:p>
      <w:pPr>
        <w:snapToGrid w:val="0"/>
        <w:spacing w:line="360" w:lineRule="auto"/>
        <w:ind w:firstLine="470" w:firstLineChars="196"/>
        <w:jc w:val="left"/>
        <w:outlineLvl w:val="0"/>
        <w:rPr>
          <w:rFonts w:ascii="宋体" w:hAnsi="宋体"/>
          <w:sz w:val="24"/>
        </w:rPr>
      </w:pPr>
      <w:r>
        <w:rPr>
          <w:rFonts w:hint="eastAsia" w:ascii="宋体" w:hAnsi="宋体"/>
          <w:sz w:val="24"/>
        </w:rPr>
        <w:t>4.投标人在规定的投标截止时间后，不得在投标有效期内撤销其投标。否则招标人有权不退还其投标保证金。</w:t>
      </w:r>
    </w:p>
    <w:p>
      <w:pPr>
        <w:snapToGrid w:val="0"/>
        <w:spacing w:before="120" w:beforeLines="50" w:line="360" w:lineRule="auto"/>
        <w:ind w:firstLine="472" w:firstLineChars="196"/>
        <w:jc w:val="left"/>
        <w:outlineLvl w:val="0"/>
        <w:rPr>
          <w:rFonts w:ascii="宋体" w:hAnsi="宋体"/>
          <w:b/>
          <w:sz w:val="24"/>
        </w:rPr>
      </w:pPr>
      <w:r>
        <w:rPr>
          <w:rFonts w:hint="eastAsia" w:ascii="宋体" w:hAnsi="宋体"/>
          <w:b/>
          <w:sz w:val="24"/>
        </w:rPr>
        <w:t>（九）投标无效的情形</w:t>
      </w:r>
    </w:p>
    <w:p>
      <w:pPr>
        <w:snapToGrid w:val="0"/>
        <w:spacing w:line="360" w:lineRule="auto"/>
        <w:ind w:firstLine="480" w:firstLineChars="200"/>
        <w:rPr>
          <w:rFonts w:ascii="宋体" w:hAnsi="宋体"/>
          <w:bCs/>
          <w:sz w:val="24"/>
          <w:szCs w:val="20"/>
        </w:rPr>
      </w:pPr>
      <w:r>
        <w:rPr>
          <w:rFonts w:hint="eastAsia" w:ascii="宋体" w:hAnsi="宋体"/>
          <w:bCs/>
          <w:sz w:val="24"/>
        </w:rPr>
        <w:t>实质上没有响应招标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扫描件、传真件等，复印件必须加盖单位公章）。修改或者补正投标文件必须以书面形式进行，并应在中标结果公告之前查核原件。限期内不补正或经补正后仍不符合招标文件要求的，应认定其投标无效。供应商修改、补正投标文件后，不影响评标委员会对其投标文件所作的评价和评分结果。</w:t>
      </w:r>
    </w:p>
    <w:p>
      <w:pPr>
        <w:snapToGrid w:val="0"/>
        <w:spacing w:line="360" w:lineRule="auto"/>
        <w:ind w:firstLine="472" w:firstLineChars="196"/>
        <w:rPr>
          <w:rFonts w:ascii="宋体" w:hAnsi="宋体"/>
          <w:b/>
          <w:bCs/>
          <w:sz w:val="24"/>
          <w:szCs w:val="20"/>
        </w:rPr>
      </w:pPr>
      <w:r>
        <w:rPr>
          <w:rFonts w:ascii="宋体" w:hAnsi="宋体"/>
          <w:b/>
          <w:bCs/>
          <w:sz w:val="24"/>
        </w:rPr>
        <w:t>1</w:t>
      </w:r>
      <w:r>
        <w:rPr>
          <w:rFonts w:hint="eastAsia" w:ascii="宋体" w:hAnsi="宋体"/>
          <w:b/>
          <w:bCs/>
          <w:sz w:val="24"/>
        </w:rPr>
        <w:t>.</w:t>
      </w:r>
      <w:r>
        <w:rPr>
          <w:rFonts w:ascii="宋体" w:hAnsi="宋体"/>
          <w:b/>
          <w:bCs/>
          <w:sz w:val="24"/>
        </w:rPr>
        <w:t>在符合性审查和</w:t>
      </w:r>
      <w:r>
        <w:rPr>
          <w:rFonts w:hint="eastAsia" w:ascii="宋体" w:hAnsi="宋体"/>
          <w:b/>
          <w:bCs/>
          <w:sz w:val="24"/>
        </w:rPr>
        <w:t>资格</w:t>
      </w:r>
      <w:r>
        <w:rPr>
          <w:rFonts w:ascii="宋体" w:hAnsi="宋体"/>
          <w:b/>
          <w:bCs/>
          <w:sz w:val="24"/>
        </w:rPr>
        <w:t>评审时，如发现下列情形之一的，投标文件将被视为无效：</w:t>
      </w:r>
    </w:p>
    <w:p>
      <w:pPr>
        <w:snapToGrid w:val="0"/>
        <w:spacing w:line="360" w:lineRule="auto"/>
        <w:ind w:firstLine="470" w:firstLineChars="196"/>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未按照招标文件的规定提交投标保证金的；</w:t>
      </w:r>
    </w:p>
    <w:p>
      <w:pPr>
        <w:snapToGrid w:val="0"/>
        <w:spacing w:line="360" w:lineRule="auto"/>
        <w:ind w:firstLine="470" w:firstLineChars="196"/>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不具备招标文件中规定的资格要求的或</w:t>
      </w:r>
      <w:r>
        <w:rPr>
          <w:rFonts w:ascii="宋体" w:hAnsi="宋体"/>
          <w:sz w:val="24"/>
        </w:rPr>
        <w:t>资格证明文件不全的</w:t>
      </w:r>
      <w:r>
        <w:rPr>
          <w:rFonts w:hint="eastAsia" w:ascii="宋体" w:hAnsi="宋体"/>
          <w:sz w:val="24"/>
        </w:rPr>
        <w:t>；</w:t>
      </w:r>
    </w:p>
    <w:p>
      <w:pPr>
        <w:snapToGrid w:val="0"/>
        <w:spacing w:line="360" w:lineRule="auto"/>
        <w:ind w:firstLine="470" w:firstLineChars="196"/>
        <w:rPr>
          <w:rFonts w:ascii="宋体" w:hAnsi="宋体"/>
          <w:sz w:val="24"/>
        </w:rPr>
      </w:pPr>
      <w:r>
        <w:rPr>
          <w:rFonts w:hint="eastAsia" w:ascii="宋体" w:hAnsi="宋体"/>
          <w:sz w:val="24"/>
        </w:rPr>
        <w:t>（3）</w:t>
      </w:r>
      <w:r>
        <w:rPr>
          <w:rFonts w:hint="eastAsia" w:ascii="宋体" w:hAnsi="宋体" w:cs="宋体"/>
          <w:sz w:val="24"/>
        </w:rPr>
        <w:t>单位负责人为同一人或者存在控股、管理关系的不同单位，</w:t>
      </w:r>
      <w:r>
        <w:rPr>
          <w:rFonts w:hint="eastAsia" w:ascii="宋体" w:hAnsi="宋体"/>
          <w:sz w:val="24"/>
        </w:rPr>
        <w:t>共同参与本项目投标的；</w:t>
      </w:r>
    </w:p>
    <w:p>
      <w:pPr>
        <w:snapToGrid w:val="0"/>
        <w:spacing w:line="360" w:lineRule="auto"/>
        <w:ind w:firstLine="470" w:firstLineChars="196"/>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投标文件未按招标文件要求签署、盖章的；</w:t>
      </w:r>
    </w:p>
    <w:p>
      <w:pPr>
        <w:snapToGrid w:val="0"/>
        <w:spacing w:line="360" w:lineRule="auto"/>
        <w:ind w:firstLine="470" w:firstLineChars="196"/>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投标代表人未能出具身份证明或与法定代表人授权委托人身份不符的；</w:t>
      </w:r>
      <w:r>
        <w:rPr>
          <w:rFonts w:ascii="宋体" w:hAnsi="宋体"/>
          <w:sz w:val="24"/>
        </w:rPr>
        <w:t xml:space="preserve"> </w:t>
      </w:r>
    </w:p>
    <w:p>
      <w:pPr>
        <w:snapToGrid w:val="0"/>
        <w:spacing w:line="360" w:lineRule="auto"/>
        <w:ind w:firstLine="470" w:firstLineChars="196"/>
        <w:rPr>
          <w:rFonts w:ascii="宋体" w:hAnsi="宋体"/>
          <w:sz w:val="24"/>
        </w:rPr>
      </w:pPr>
      <w:r>
        <w:rPr>
          <w:rFonts w:ascii="宋体" w:hAnsi="宋体"/>
          <w:sz w:val="24"/>
        </w:rPr>
        <w:t>（</w:t>
      </w:r>
      <w:r>
        <w:rPr>
          <w:rFonts w:hint="eastAsia" w:ascii="宋体" w:hAnsi="宋体"/>
          <w:sz w:val="24"/>
        </w:rPr>
        <w:t>6</w:t>
      </w:r>
      <w:r>
        <w:rPr>
          <w:rFonts w:ascii="宋体" w:hAnsi="宋体"/>
          <w:sz w:val="24"/>
        </w:rPr>
        <w:t>）投标文件</w:t>
      </w:r>
      <w:r>
        <w:rPr>
          <w:rFonts w:hint="eastAsia" w:ascii="宋体" w:hAnsi="宋体"/>
          <w:sz w:val="24"/>
        </w:rPr>
        <w:t>组成不符合招标文件要求的</w:t>
      </w:r>
      <w:r>
        <w:rPr>
          <w:rFonts w:ascii="宋体" w:hAnsi="宋体"/>
          <w:sz w:val="24"/>
        </w:rPr>
        <w:t>；</w:t>
      </w:r>
    </w:p>
    <w:p>
      <w:pPr>
        <w:snapToGrid w:val="0"/>
        <w:spacing w:line="360" w:lineRule="auto"/>
        <w:ind w:firstLine="470" w:firstLineChars="196"/>
        <w:rPr>
          <w:rFonts w:ascii="宋体" w:hAnsi="宋体"/>
          <w:sz w:val="24"/>
        </w:rPr>
      </w:pPr>
      <w:r>
        <w:rPr>
          <w:rFonts w:ascii="宋体" w:hAnsi="宋体"/>
          <w:sz w:val="24"/>
        </w:rPr>
        <w:t>（</w:t>
      </w:r>
      <w:r>
        <w:rPr>
          <w:rFonts w:hint="eastAsia" w:ascii="宋体" w:hAnsi="宋体"/>
          <w:sz w:val="24"/>
        </w:rPr>
        <w:t>7</w:t>
      </w:r>
      <w:r>
        <w:rPr>
          <w:rFonts w:ascii="宋体" w:hAnsi="宋体"/>
          <w:sz w:val="24"/>
        </w:rPr>
        <w:t>）投标文件的实质性内容未使用中文表述、意思表述不明确、前后矛盾或者使用计量单位不符合招标文件要求的（经评标委员会认定</w:t>
      </w:r>
      <w:r>
        <w:rPr>
          <w:rFonts w:hint="eastAsia" w:ascii="宋体" w:hAnsi="宋体"/>
          <w:sz w:val="24"/>
        </w:rPr>
        <w:t>并</w:t>
      </w:r>
      <w:r>
        <w:rPr>
          <w:rFonts w:ascii="宋体" w:hAnsi="宋体"/>
          <w:sz w:val="24"/>
        </w:rPr>
        <w:t>允许其当场更正的笔误除外）</w:t>
      </w:r>
    </w:p>
    <w:p>
      <w:pPr>
        <w:snapToGrid w:val="0"/>
        <w:spacing w:line="360" w:lineRule="auto"/>
        <w:ind w:firstLine="470" w:firstLineChars="196"/>
        <w:rPr>
          <w:rFonts w:ascii="宋体" w:hAnsi="宋体"/>
          <w:sz w:val="24"/>
        </w:rPr>
      </w:pPr>
      <w:r>
        <w:rPr>
          <w:rFonts w:ascii="宋体" w:hAnsi="宋体"/>
          <w:sz w:val="24"/>
        </w:rPr>
        <w:t>（</w:t>
      </w:r>
      <w:r>
        <w:rPr>
          <w:rFonts w:hint="eastAsia" w:ascii="宋体" w:hAnsi="宋体"/>
          <w:sz w:val="24"/>
        </w:rPr>
        <w:t>8</w:t>
      </w:r>
      <w:r>
        <w:rPr>
          <w:rFonts w:ascii="宋体" w:hAnsi="宋体"/>
          <w:sz w:val="24"/>
        </w:rPr>
        <w:t>）投标有效期、</w:t>
      </w:r>
      <w:r>
        <w:rPr>
          <w:rFonts w:hint="eastAsia" w:ascii="宋体" w:hAnsi="宋体"/>
          <w:sz w:val="24"/>
        </w:rPr>
        <w:t>服务</w:t>
      </w:r>
      <w:r>
        <w:rPr>
          <w:rFonts w:ascii="宋体" w:hAnsi="宋体"/>
          <w:sz w:val="24"/>
        </w:rPr>
        <w:t>时间等商务条款不能满足招标文件要求的；</w:t>
      </w:r>
    </w:p>
    <w:p>
      <w:pPr>
        <w:snapToGrid w:val="0"/>
        <w:spacing w:line="360" w:lineRule="auto"/>
        <w:ind w:firstLine="470" w:firstLineChars="196"/>
        <w:rPr>
          <w:rFonts w:ascii="宋体" w:hAnsi="宋体"/>
          <w:sz w:val="24"/>
        </w:rPr>
      </w:pPr>
      <w:r>
        <w:rPr>
          <w:rFonts w:ascii="宋体" w:hAnsi="宋体"/>
          <w:sz w:val="24"/>
        </w:rPr>
        <w:t>（</w:t>
      </w:r>
      <w:r>
        <w:rPr>
          <w:rFonts w:hint="eastAsia" w:ascii="宋体" w:hAnsi="宋体"/>
          <w:sz w:val="24"/>
        </w:rPr>
        <w:t>9</w:t>
      </w:r>
      <w:r>
        <w:rPr>
          <w:rFonts w:ascii="宋体" w:hAnsi="宋体"/>
          <w:sz w:val="24"/>
        </w:rPr>
        <w:t>）</w:t>
      </w:r>
      <w:r>
        <w:rPr>
          <w:rFonts w:hint="eastAsia" w:ascii="宋体" w:hAnsi="宋体"/>
          <w:sz w:val="24"/>
        </w:rPr>
        <w:t>未实质性</w:t>
      </w:r>
      <w:r>
        <w:rPr>
          <w:rFonts w:ascii="宋体" w:hAnsi="宋体"/>
          <w:sz w:val="24"/>
        </w:rPr>
        <w:t>响应招标文件要求或者投标文件有招标方不能接受的附加条件的；</w:t>
      </w:r>
    </w:p>
    <w:p>
      <w:pPr>
        <w:snapToGrid w:val="0"/>
        <w:spacing w:line="360" w:lineRule="auto"/>
        <w:ind w:firstLine="470" w:firstLineChars="196"/>
        <w:rPr>
          <w:rFonts w:ascii="宋体" w:hAnsi="宋体"/>
          <w:sz w:val="24"/>
        </w:rPr>
      </w:pPr>
      <w:r>
        <w:rPr>
          <w:rFonts w:hint="eastAsia" w:ascii="宋体" w:hAnsi="宋体"/>
          <w:sz w:val="24"/>
        </w:rPr>
        <w:t>（10）法律法规或规章规定属无效标情形的。</w:t>
      </w:r>
    </w:p>
    <w:p>
      <w:pPr>
        <w:pStyle w:val="21"/>
        <w:snapToGrid w:val="0"/>
        <w:spacing w:line="360" w:lineRule="auto"/>
        <w:ind w:left="560" w:firstLine="472" w:firstLineChars="196"/>
        <w:rPr>
          <w:rFonts w:hAnsi="宋体"/>
          <w:b/>
          <w:bCs/>
          <w:sz w:val="24"/>
        </w:rPr>
      </w:pPr>
      <w:r>
        <w:rPr>
          <w:rFonts w:hint="eastAsia" w:hAnsi="宋体"/>
          <w:b/>
          <w:bCs/>
          <w:sz w:val="24"/>
        </w:rPr>
        <w:t>2.在技术资信标评审时，如发现下列情形之一的，投标文件将被视为无效：</w:t>
      </w:r>
    </w:p>
    <w:p>
      <w:pPr>
        <w:pStyle w:val="21"/>
        <w:spacing w:line="360" w:lineRule="auto"/>
        <w:ind w:left="560" w:firstLine="457"/>
        <w:rPr>
          <w:rFonts w:hAnsi="宋体"/>
          <w:sz w:val="24"/>
        </w:rPr>
      </w:pPr>
      <w:r>
        <w:rPr>
          <w:rFonts w:hint="eastAsia" w:hAnsi="宋体"/>
          <w:sz w:val="24"/>
        </w:rPr>
        <w:t>未实质性响应招标文件要求</w:t>
      </w:r>
      <w:r>
        <w:rPr>
          <w:rFonts w:hint="eastAsia" w:ascii="宋体" w:hAnsi="宋体"/>
          <w:sz w:val="24"/>
        </w:rPr>
        <w:t>（注明</w:t>
      </w:r>
      <w:r>
        <w:rPr>
          <w:rFonts w:hint="eastAsia" w:ascii="宋体" w:hAnsi="宋体" w:cs="宋体"/>
          <w:sz w:val="24"/>
        </w:rPr>
        <w:t>“▲”标记的条款</w:t>
      </w:r>
      <w:r>
        <w:rPr>
          <w:rFonts w:hint="eastAsia" w:ascii="宋体" w:hAnsi="宋体"/>
          <w:sz w:val="24"/>
        </w:rPr>
        <w:t>）</w:t>
      </w:r>
      <w:r>
        <w:rPr>
          <w:rFonts w:hint="eastAsia" w:hAnsi="宋体"/>
          <w:sz w:val="24"/>
        </w:rPr>
        <w:t xml:space="preserve">或者明显不符合招标文件要求的。 </w:t>
      </w:r>
    </w:p>
    <w:p>
      <w:pPr>
        <w:pStyle w:val="21"/>
        <w:snapToGrid w:val="0"/>
        <w:spacing w:line="360" w:lineRule="auto"/>
        <w:ind w:left="560" w:firstLine="472" w:firstLineChars="196"/>
        <w:rPr>
          <w:rFonts w:hAnsi="宋体"/>
          <w:b/>
          <w:bCs/>
          <w:sz w:val="24"/>
        </w:rPr>
      </w:pPr>
      <w:r>
        <w:rPr>
          <w:rFonts w:hint="eastAsia" w:hAnsi="宋体"/>
          <w:b/>
          <w:bCs/>
          <w:sz w:val="24"/>
        </w:rPr>
        <w:t>3</w:t>
      </w:r>
      <w:r>
        <w:rPr>
          <w:rFonts w:hAnsi="宋体"/>
          <w:b/>
          <w:bCs/>
          <w:sz w:val="24"/>
        </w:rPr>
        <w:t>.在</w:t>
      </w:r>
      <w:r>
        <w:rPr>
          <w:rFonts w:hint="eastAsia" w:hAnsi="宋体"/>
          <w:b/>
          <w:bCs/>
          <w:sz w:val="24"/>
        </w:rPr>
        <w:t>商务标</w:t>
      </w:r>
      <w:r>
        <w:rPr>
          <w:rFonts w:hAnsi="宋体"/>
          <w:b/>
          <w:bCs/>
          <w:sz w:val="24"/>
        </w:rPr>
        <w:t>评审时，如发现下列情形之一的，投标文件将被视为无效：</w:t>
      </w:r>
    </w:p>
    <w:p>
      <w:pPr>
        <w:pStyle w:val="21"/>
        <w:snapToGrid w:val="0"/>
        <w:spacing w:line="360" w:lineRule="auto"/>
        <w:ind w:left="560" w:firstLine="470" w:firstLineChars="196"/>
        <w:rPr>
          <w:rFonts w:hAnsi="宋体"/>
          <w:sz w:val="24"/>
        </w:rPr>
      </w:pPr>
      <w:r>
        <w:rPr>
          <w:rFonts w:hint="eastAsia" w:hAnsi="宋体"/>
          <w:sz w:val="24"/>
        </w:rPr>
        <w:t>（1）未采用人民币报价或者未按照招标文件标明的币种报价的；</w:t>
      </w:r>
    </w:p>
    <w:p>
      <w:pPr>
        <w:pStyle w:val="21"/>
        <w:snapToGrid w:val="0"/>
        <w:spacing w:line="360" w:lineRule="auto"/>
        <w:ind w:left="560" w:firstLine="480" w:firstLineChars="200"/>
        <w:rPr>
          <w:rFonts w:hAnsi="宋体"/>
          <w:sz w:val="24"/>
        </w:rPr>
      </w:pPr>
      <w:r>
        <w:rPr>
          <w:rFonts w:hint="eastAsia" w:hAnsi="宋体"/>
          <w:sz w:val="24"/>
        </w:rPr>
        <w:t>（2）投标报价具有选择性，或者开标价格与投标文件承诺的优惠（折扣）价格不一致的；</w:t>
      </w:r>
    </w:p>
    <w:p>
      <w:pPr>
        <w:pStyle w:val="21"/>
        <w:snapToGrid w:val="0"/>
        <w:spacing w:line="360" w:lineRule="auto"/>
        <w:ind w:left="560" w:firstLine="480" w:firstLineChars="200"/>
        <w:rPr>
          <w:rFonts w:hAnsi="宋体"/>
          <w:sz w:val="24"/>
        </w:rPr>
      </w:pPr>
      <w:r>
        <w:rPr>
          <w:rFonts w:hint="eastAsia" w:hAnsi="宋体"/>
          <w:sz w:val="24"/>
        </w:rPr>
        <w:t>（3）报价超过招标文件中规定的预算金额/最高限价。</w:t>
      </w:r>
    </w:p>
    <w:p>
      <w:pPr>
        <w:pStyle w:val="21"/>
        <w:snapToGrid w:val="0"/>
        <w:spacing w:line="360" w:lineRule="auto"/>
        <w:ind w:left="560" w:firstLine="472" w:firstLineChars="196"/>
        <w:rPr>
          <w:rFonts w:hAnsi="宋体"/>
          <w:b/>
          <w:sz w:val="24"/>
        </w:rPr>
      </w:pPr>
      <w:r>
        <w:rPr>
          <w:rFonts w:hint="eastAsia" w:hAnsi="宋体"/>
          <w:b/>
          <w:sz w:val="24"/>
        </w:rPr>
        <w:t>4</w:t>
      </w:r>
      <w:r>
        <w:rPr>
          <w:rFonts w:hAnsi="宋体"/>
          <w:b/>
          <w:sz w:val="24"/>
        </w:rPr>
        <w:t>.被拒绝的报价文件为无效。</w:t>
      </w:r>
    </w:p>
    <w:p>
      <w:pPr>
        <w:pStyle w:val="26"/>
        <w:snapToGrid w:val="0"/>
        <w:spacing w:before="120" w:after="120" w:line="360" w:lineRule="auto"/>
        <w:rPr>
          <w:rFonts w:hAnsi="宋体"/>
          <w:b/>
          <w:sz w:val="30"/>
          <w:szCs w:val="30"/>
        </w:rPr>
      </w:pPr>
      <w:r>
        <w:rPr>
          <w:rFonts w:hAnsi="宋体"/>
          <w:b/>
          <w:sz w:val="30"/>
          <w:szCs w:val="30"/>
        </w:rPr>
        <w:t>四、开标</w:t>
      </w:r>
    </w:p>
    <w:p>
      <w:pPr>
        <w:pStyle w:val="26"/>
        <w:snapToGrid w:val="0"/>
        <w:spacing w:before="120" w:after="120" w:line="360" w:lineRule="auto"/>
        <w:ind w:firstLine="472" w:firstLineChars="196"/>
        <w:rPr>
          <w:rFonts w:hAnsi="宋体"/>
          <w:b/>
        </w:rPr>
      </w:pPr>
      <w:r>
        <w:rPr>
          <w:rFonts w:hint="eastAsia" w:hAnsi="宋体"/>
          <w:b/>
        </w:rPr>
        <w:t>（一）开标</w:t>
      </w:r>
    </w:p>
    <w:p>
      <w:pPr>
        <w:pStyle w:val="26"/>
        <w:snapToGrid w:val="0"/>
        <w:spacing w:before="120" w:after="120" w:line="360" w:lineRule="auto"/>
        <w:ind w:firstLine="472" w:firstLineChars="196"/>
        <w:rPr>
          <w:rFonts w:hAnsi="宋体"/>
          <w:b/>
          <w:bCs/>
        </w:rPr>
      </w:pPr>
      <w:r>
        <w:rPr>
          <w:rFonts w:hAnsi="宋体"/>
          <w:b/>
          <w:bCs/>
        </w:rPr>
        <w:t>采购人在“招标公告”规定的时间和地点公开开标</w:t>
      </w:r>
      <w:r>
        <w:rPr>
          <w:rFonts w:hint="eastAsia" w:hAnsi="宋体"/>
          <w:b/>
          <w:bCs/>
        </w:rPr>
        <w:t>。</w:t>
      </w:r>
      <w:r>
        <w:rPr>
          <w:rFonts w:hint="eastAsia" w:hAnsi="宋体" w:cs="宋体"/>
          <w:b/>
        </w:rPr>
        <w:t>本项目先资格标评审，再评审技术资信标， 技术资信标评审结束后再开商务标</w:t>
      </w:r>
      <w:r>
        <w:rPr>
          <w:rFonts w:hAnsi="宋体"/>
          <w:b/>
          <w:bCs/>
        </w:rPr>
        <w:t>。</w:t>
      </w:r>
    </w:p>
    <w:p>
      <w:pPr>
        <w:pStyle w:val="26"/>
        <w:snapToGrid w:val="0"/>
        <w:spacing w:before="120" w:after="120" w:line="360" w:lineRule="auto"/>
        <w:ind w:firstLine="470" w:firstLineChars="196"/>
        <w:rPr>
          <w:rFonts w:hAnsi="宋体"/>
        </w:rPr>
      </w:pPr>
      <w:r>
        <w:rPr>
          <w:rFonts w:hint="eastAsia" w:hAnsi="宋体"/>
        </w:rPr>
        <w:t>招标人在“招标公告”规定的时间和地点公开开标。</w:t>
      </w:r>
    </w:p>
    <w:p>
      <w:pPr>
        <w:pStyle w:val="26"/>
        <w:snapToGrid w:val="0"/>
        <w:spacing w:before="120" w:after="120" w:line="360" w:lineRule="auto"/>
        <w:ind w:firstLine="470" w:firstLineChars="196"/>
        <w:rPr>
          <w:rFonts w:hAnsi="宋体"/>
        </w:rPr>
      </w:pPr>
      <w:r>
        <w:rPr>
          <w:rFonts w:hint="eastAsia" w:hAnsi="宋体"/>
        </w:rPr>
        <w:t>具体程序见“前附表”</w:t>
      </w:r>
    </w:p>
    <w:p>
      <w:pPr>
        <w:pStyle w:val="26"/>
        <w:snapToGrid w:val="0"/>
        <w:spacing w:before="120" w:after="120" w:line="360" w:lineRule="auto"/>
        <w:rPr>
          <w:rFonts w:hAnsi="宋体"/>
          <w:b/>
          <w:sz w:val="30"/>
          <w:szCs w:val="30"/>
        </w:rPr>
      </w:pPr>
      <w:r>
        <w:rPr>
          <w:rFonts w:hAnsi="宋体"/>
          <w:b/>
          <w:sz w:val="30"/>
          <w:szCs w:val="30"/>
        </w:rPr>
        <w:t>五、评标</w:t>
      </w:r>
    </w:p>
    <w:p>
      <w:pPr>
        <w:pStyle w:val="26"/>
        <w:snapToGrid w:val="0"/>
        <w:spacing w:before="120" w:after="120" w:line="360" w:lineRule="auto"/>
        <w:ind w:left="876" w:leftChars="128" w:hanging="518" w:hangingChars="215"/>
        <w:rPr>
          <w:rFonts w:hAnsi="宋体"/>
          <w:b/>
        </w:rPr>
      </w:pPr>
      <w:r>
        <w:rPr>
          <w:rFonts w:hAnsi="宋体"/>
          <w:b/>
        </w:rPr>
        <w:t>（一）组建评标委员会</w:t>
      </w:r>
    </w:p>
    <w:p>
      <w:pPr>
        <w:pStyle w:val="26"/>
        <w:snapToGrid w:val="0"/>
        <w:spacing w:before="120" w:after="120" w:line="360" w:lineRule="auto"/>
        <w:ind w:firstLine="480" w:firstLineChars="200"/>
        <w:rPr>
          <w:rFonts w:hAnsi="宋体"/>
        </w:rPr>
      </w:pPr>
      <w:r>
        <w:rPr>
          <w:rFonts w:hAnsi="宋体"/>
        </w:rPr>
        <w:t>本项目评标委员会由评审专家</w:t>
      </w:r>
      <w:r>
        <w:rPr>
          <w:rFonts w:hint="eastAsia" w:hAnsi="宋体"/>
        </w:rPr>
        <w:t>或评审专家和采购人代表</w:t>
      </w:r>
      <w:r>
        <w:rPr>
          <w:rFonts w:hAnsi="宋体"/>
        </w:rPr>
        <w:t>组成。</w:t>
      </w:r>
    </w:p>
    <w:p>
      <w:pPr>
        <w:pStyle w:val="26"/>
        <w:snapToGrid w:val="0"/>
        <w:spacing w:before="120" w:after="120" w:line="360" w:lineRule="auto"/>
        <w:ind w:left="879" w:leftChars="129" w:hanging="518" w:hangingChars="215"/>
        <w:rPr>
          <w:rFonts w:hAnsi="宋体"/>
          <w:b/>
        </w:rPr>
      </w:pPr>
      <w:r>
        <w:rPr>
          <w:rFonts w:hAnsi="宋体"/>
          <w:b/>
        </w:rPr>
        <w:t>（二）评标的方式</w:t>
      </w:r>
    </w:p>
    <w:p>
      <w:pPr>
        <w:pStyle w:val="26"/>
        <w:snapToGrid w:val="0"/>
        <w:spacing w:before="120" w:after="120" w:line="360" w:lineRule="auto"/>
        <w:ind w:left="878" w:leftChars="228" w:hanging="240" w:hangingChars="100"/>
        <w:rPr>
          <w:rFonts w:hAnsi="宋体"/>
        </w:rPr>
      </w:pPr>
      <w:r>
        <w:rPr>
          <w:rFonts w:hAnsi="宋体"/>
        </w:rPr>
        <w:t>本项目采用不公开方式评标，评标的依据为招标文件和投标文件。</w:t>
      </w:r>
    </w:p>
    <w:p>
      <w:pPr>
        <w:pStyle w:val="26"/>
        <w:snapToGrid w:val="0"/>
        <w:spacing w:before="120" w:after="120" w:line="360" w:lineRule="auto"/>
        <w:ind w:left="879" w:leftChars="129" w:hanging="518" w:hangingChars="215"/>
        <w:rPr>
          <w:rFonts w:hAnsi="宋体"/>
          <w:b/>
        </w:rPr>
      </w:pPr>
      <w:r>
        <w:rPr>
          <w:rFonts w:hAnsi="宋体"/>
          <w:b/>
        </w:rPr>
        <w:t>（三）</w:t>
      </w:r>
      <w:r>
        <w:rPr>
          <w:rFonts w:hAnsi="宋体"/>
          <w:b/>
          <w:bCs/>
        </w:rPr>
        <w:t>评标程序</w:t>
      </w:r>
    </w:p>
    <w:p>
      <w:pPr>
        <w:snapToGrid w:val="0"/>
        <w:spacing w:line="360" w:lineRule="auto"/>
        <w:ind w:firstLine="472" w:firstLineChars="196"/>
        <w:rPr>
          <w:rFonts w:ascii="宋体" w:hAnsi="宋体"/>
          <w:b/>
          <w:bCs/>
          <w:sz w:val="24"/>
          <w:szCs w:val="20"/>
        </w:rPr>
      </w:pPr>
      <w:r>
        <w:rPr>
          <w:rFonts w:ascii="宋体" w:hAnsi="宋体"/>
          <w:b/>
          <w:bCs/>
          <w:sz w:val="24"/>
        </w:rPr>
        <w:t>1</w:t>
      </w:r>
      <w:r>
        <w:rPr>
          <w:rFonts w:hint="eastAsia" w:ascii="宋体" w:hAnsi="宋体"/>
          <w:b/>
          <w:bCs/>
          <w:sz w:val="24"/>
        </w:rPr>
        <w:t>.</w:t>
      </w:r>
      <w:r>
        <w:rPr>
          <w:rFonts w:ascii="宋体" w:hAnsi="宋体"/>
          <w:b/>
          <w:bCs/>
          <w:sz w:val="24"/>
        </w:rPr>
        <w:t>形式审查</w:t>
      </w:r>
    </w:p>
    <w:p>
      <w:pPr>
        <w:snapToGrid w:val="0"/>
        <w:spacing w:line="360" w:lineRule="auto"/>
        <w:ind w:firstLine="480" w:firstLineChars="200"/>
        <w:rPr>
          <w:rFonts w:ascii="宋体" w:hAnsi="宋体"/>
          <w:b/>
          <w:sz w:val="24"/>
          <w:szCs w:val="20"/>
        </w:rPr>
      </w:pPr>
      <w:r>
        <w:rPr>
          <w:rFonts w:hint="eastAsia" w:ascii="宋体" w:hAnsi="宋体"/>
          <w:sz w:val="24"/>
        </w:rPr>
        <w:t>采购人代表和代理机构工作人员协助评标委员会对供应商的资格</w:t>
      </w:r>
      <w:r>
        <w:rPr>
          <w:rFonts w:ascii="宋体" w:hAnsi="宋体"/>
          <w:sz w:val="24"/>
        </w:rPr>
        <w:t>和投标文件的完整性、合法性等进行审查。</w:t>
      </w:r>
    </w:p>
    <w:p>
      <w:pPr>
        <w:snapToGrid w:val="0"/>
        <w:spacing w:line="360" w:lineRule="auto"/>
        <w:ind w:firstLine="472" w:firstLineChars="196"/>
        <w:rPr>
          <w:rFonts w:ascii="宋体" w:hAnsi="宋体"/>
          <w:b/>
          <w:bCs/>
          <w:sz w:val="24"/>
          <w:szCs w:val="20"/>
        </w:rPr>
      </w:pPr>
      <w:r>
        <w:rPr>
          <w:rFonts w:ascii="宋体" w:hAnsi="宋体"/>
          <w:b/>
          <w:bCs/>
          <w:sz w:val="24"/>
        </w:rPr>
        <w:t>2</w:t>
      </w:r>
      <w:r>
        <w:rPr>
          <w:rFonts w:hint="eastAsia" w:ascii="宋体" w:hAnsi="宋体"/>
          <w:b/>
          <w:bCs/>
          <w:sz w:val="24"/>
        </w:rPr>
        <w:t>.</w:t>
      </w:r>
      <w:r>
        <w:rPr>
          <w:rFonts w:ascii="宋体" w:hAnsi="宋体"/>
          <w:b/>
          <w:bCs/>
          <w:sz w:val="24"/>
        </w:rPr>
        <w:t>实质审查与比较</w:t>
      </w:r>
    </w:p>
    <w:p>
      <w:pPr>
        <w:snapToGrid w:val="0"/>
        <w:spacing w:line="360" w:lineRule="auto"/>
        <w:ind w:firstLine="480" w:firstLineChars="200"/>
        <w:rPr>
          <w:rFonts w:ascii="宋体" w:hAnsi="宋体"/>
          <w:sz w:val="24"/>
          <w:szCs w:val="20"/>
        </w:rPr>
      </w:pPr>
      <w:r>
        <w:rPr>
          <w:rFonts w:hint="eastAsia" w:ascii="宋体" w:hAnsi="宋体"/>
          <w:sz w:val="24"/>
        </w:rPr>
        <w:t>（</w:t>
      </w:r>
      <w:r>
        <w:rPr>
          <w:rFonts w:ascii="宋体" w:hAnsi="宋体"/>
          <w:sz w:val="24"/>
        </w:rPr>
        <w:t>1）评标委员会审查投标文件的实质性内容是否符合招标文件的实质性要求。</w:t>
      </w:r>
    </w:p>
    <w:p>
      <w:pPr>
        <w:snapToGrid w:val="0"/>
        <w:spacing w:line="360" w:lineRule="auto"/>
        <w:ind w:firstLine="480" w:firstLineChars="200"/>
        <w:rPr>
          <w:rFonts w:ascii="宋体" w:hAnsi="宋体"/>
          <w:sz w:val="24"/>
          <w:szCs w:val="20"/>
        </w:rPr>
      </w:pPr>
      <w:r>
        <w:rPr>
          <w:rFonts w:hint="eastAsia" w:ascii="宋体" w:hAnsi="宋体"/>
          <w:sz w:val="24"/>
        </w:rPr>
        <w:t>（</w:t>
      </w:r>
      <w:r>
        <w:rPr>
          <w:rFonts w:ascii="宋体" w:hAnsi="宋体"/>
          <w:sz w:val="24"/>
        </w:rPr>
        <w:t>2）评标委员会将根据</w:t>
      </w:r>
      <w:r>
        <w:rPr>
          <w:rFonts w:hint="eastAsia" w:ascii="宋体" w:hAnsi="宋体"/>
          <w:sz w:val="24"/>
        </w:rPr>
        <w:t>供应商</w:t>
      </w:r>
      <w:r>
        <w:rPr>
          <w:rFonts w:ascii="宋体" w:hAnsi="宋体"/>
          <w:sz w:val="24"/>
        </w:rPr>
        <w:t>的投标文件进行审查、核对</w:t>
      </w:r>
      <w:r>
        <w:rPr>
          <w:rFonts w:hint="eastAsia" w:ascii="宋体" w:hAnsi="宋体"/>
          <w:sz w:val="24"/>
        </w:rPr>
        <w:t>，</w:t>
      </w:r>
      <w:r>
        <w:rPr>
          <w:rFonts w:ascii="宋体" w:hAnsi="宋体"/>
          <w:sz w:val="24"/>
        </w:rPr>
        <w:t>如有疑问</w:t>
      </w:r>
      <w:r>
        <w:rPr>
          <w:rFonts w:hint="eastAsia" w:ascii="宋体" w:hAnsi="宋体"/>
          <w:sz w:val="24"/>
        </w:rPr>
        <w:t>，</w:t>
      </w:r>
      <w:r>
        <w:rPr>
          <w:rFonts w:ascii="宋体" w:hAnsi="宋体"/>
          <w:sz w:val="24"/>
        </w:rPr>
        <w:t>将对</w:t>
      </w:r>
      <w:r>
        <w:rPr>
          <w:rFonts w:hint="eastAsia" w:ascii="宋体" w:hAnsi="宋体"/>
          <w:sz w:val="24"/>
        </w:rPr>
        <w:t>供应商</w:t>
      </w:r>
      <w:r>
        <w:rPr>
          <w:rFonts w:ascii="宋体" w:hAnsi="宋体"/>
          <w:sz w:val="24"/>
        </w:rPr>
        <w:t>进行询标</w:t>
      </w:r>
      <w:r>
        <w:rPr>
          <w:rFonts w:hint="eastAsia" w:ascii="宋体" w:hAnsi="宋体"/>
          <w:sz w:val="24"/>
        </w:rPr>
        <w:t>，供应商</w:t>
      </w:r>
      <w:r>
        <w:rPr>
          <w:rFonts w:ascii="宋体" w:hAnsi="宋体"/>
          <w:sz w:val="24"/>
        </w:rPr>
        <w:t>要向评标委员会澄清有关问题</w:t>
      </w:r>
      <w:r>
        <w:rPr>
          <w:rFonts w:hint="eastAsia" w:ascii="宋体" w:hAnsi="宋体"/>
          <w:sz w:val="24"/>
        </w:rPr>
        <w:t>，</w:t>
      </w:r>
      <w:r>
        <w:rPr>
          <w:rFonts w:ascii="宋体" w:hAnsi="宋体"/>
          <w:sz w:val="24"/>
        </w:rPr>
        <w:t>并最终以书面形式进行答复。</w:t>
      </w:r>
      <w:r>
        <w:rPr>
          <w:rFonts w:hint="eastAsia" w:ascii="宋体" w:hAnsi="宋体"/>
          <w:sz w:val="24"/>
        </w:rPr>
        <w:t>供应商代表未到场或者拒绝澄清或者澄清的内容改变了投标文件的实质性内容的，评标委员会有权对该投标文件作出不利于供应商的评判。</w:t>
      </w:r>
    </w:p>
    <w:p>
      <w:pPr>
        <w:snapToGrid w:val="0"/>
        <w:spacing w:line="360" w:lineRule="auto"/>
        <w:ind w:firstLine="480" w:firstLineChars="200"/>
        <w:rPr>
          <w:rFonts w:ascii="宋体" w:hAnsi="宋体"/>
          <w:sz w:val="24"/>
          <w:szCs w:val="20"/>
        </w:rPr>
      </w:pPr>
      <w:r>
        <w:rPr>
          <w:rFonts w:hint="eastAsia" w:ascii="宋体" w:hAnsi="宋体"/>
          <w:sz w:val="24"/>
        </w:rPr>
        <w:t>（3</w:t>
      </w:r>
      <w:r>
        <w:rPr>
          <w:rFonts w:ascii="宋体" w:hAnsi="宋体"/>
          <w:sz w:val="24"/>
        </w:rPr>
        <w:t>）评标委员会完成评标后</w:t>
      </w:r>
      <w:r>
        <w:rPr>
          <w:rFonts w:hint="eastAsia" w:ascii="宋体" w:hAnsi="宋体"/>
          <w:sz w:val="24"/>
        </w:rPr>
        <w:t>，</w:t>
      </w:r>
      <w:r>
        <w:rPr>
          <w:rFonts w:ascii="宋体" w:hAnsi="宋体"/>
          <w:sz w:val="24"/>
        </w:rPr>
        <w:t>评委对各部分得分汇总</w:t>
      </w:r>
      <w:r>
        <w:rPr>
          <w:rFonts w:hint="eastAsia" w:ascii="宋体" w:hAnsi="宋体"/>
          <w:sz w:val="24"/>
        </w:rPr>
        <w:t>，计算</w:t>
      </w:r>
      <w:r>
        <w:rPr>
          <w:rFonts w:ascii="宋体" w:hAnsi="宋体"/>
          <w:sz w:val="24"/>
        </w:rPr>
        <w:t>出本项目</w:t>
      </w:r>
      <w:r>
        <w:rPr>
          <w:rFonts w:hint="eastAsia" w:ascii="宋体" w:hAnsi="宋体"/>
          <w:sz w:val="24"/>
        </w:rPr>
        <w:t>最终得分</w:t>
      </w:r>
      <w:r>
        <w:rPr>
          <w:rFonts w:ascii="宋体" w:hAnsi="宋体"/>
          <w:sz w:val="24"/>
        </w:rPr>
        <w:t>。评标委员会按评标原则推荐中标候选人同时起草评标报告。</w:t>
      </w:r>
    </w:p>
    <w:p>
      <w:pPr>
        <w:snapToGrid w:val="0"/>
        <w:spacing w:line="360" w:lineRule="auto"/>
        <w:ind w:firstLine="359" w:firstLineChars="149"/>
        <w:rPr>
          <w:rFonts w:ascii="宋体" w:hAnsi="宋体"/>
          <w:b/>
          <w:sz w:val="24"/>
          <w:szCs w:val="20"/>
        </w:rPr>
      </w:pPr>
      <w:r>
        <w:rPr>
          <w:rFonts w:hint="eastAsia" w:ascii="宋体" w:hAnsi="宋体"/>
          <w:b/>
          <w:sz w:val="24"/>
        </w:rPr>
        <w:t>（四）澄清问题的形式</w:t>
      </w:r>
    </w:p>
    <w:p>
      <w:pPr>
        <w:snapToGrid w:val="0"/>
        <w:spacing w:line="360" w:lineRule="auto"/>
        <w:ind w:firstLine="480" w:firstLineChars="200"/>
        <w:rPr>
          <w:rFonts w:ascii="宋体" w:hAnsi="宋体"/>
          <w:sz w:val="24"/>
          <w:szCs w:val="20"/>
        </w:rPr>
      </w:pPr>
      <w:r>
        <w:rPr>
          <w:rFonts w:hint="eastAsia" w:ascii="宋体" w:hAnsi="宋体"/>
          <w:sz w:val="24"/>
        </w:rPr>
        <w:t>对投标文件中含义不明确、同类问题表述不一致或者有明显文字和计算错误的内容，评标委员会可要求供应商作出必要的澄清、说明或者纠正。供应商的澄清、说明或者补正应当采用书面形式，由其授权代表签字或盖章确认发送到邮箱或不见面开标大厅的“互动”模块，并不得超出投标文件的范围或者改变投标文件的实质性内容。</w:t>
      </w:r>
      <w:r>
        <w:rPr>
          <w:rFonts w:hint="eastAsia" w:ascii="宋体" w:hAnsi="宋体"/>
          <w:bCs/>
          <w:sz w:val="24"/>
        </w:rPr>
        <w:t>投标单位委托代理人或法定代表人所留联系方式在30分钟内无法联系上的，可视作拒绝或放弃澄清或说明。</w:t>
      </w:r>
    </w:p>
    <w:p>
      <w:pPr>
        <w:pStyle w:val="26"/>
        <w:snapToGrid w:val="0"/>
        <w:spacing w:before="120" w:after="120" w:line="360" w:lineRule="auto"/>
        <w:ind w:left="877" w:leftChars="129" w:hanging="516" w:hangingChars="214"/>
        <w:rPr>
          <w:rFonts w:hAnsi="宋体"/>
          <w:b/>
        </w:rPr>
      </w:pPr>
      <w:r>
        <w:rPr>
          <w:rFonts w:hAnsi="宋体"/>
          <w:b/>
        </w:rPr>
        <w:t>（五）错误修正</w:t>
      </w:r>
    </w:p>
    <w:p>
      <w:pPr>
        <w:pStyle w:val="26"/>
        <w:snapToGrid w:val="0"/>
        <w:spacing w:before="120" w:after="120" w:line="360" w:lineRule="auto"/>
        <w:ind w:firstLine="480" w:firstLineChars="200"/>
        <w:rPr>
          <w:rFonts w:hAnsi="宋体"/>
        </w:rPr>
      </w:pPr>
      <w:r>
        <w:rPr>
          <w:rFonts w:hAnsi="宋体"/>
        </w:rPr>
        <w:t>投标文件如果出现计算或表达上的错误，修正错误的原则如下：</w:t>
      </w:r>
    </w:p>
    <w:p>
      <w:pPr>
        <w:snapToGrid w:val="0"/>
        <w:spacing w:line="360" w:lineRule="auto"/>
        <w:ind w:firstLine="480" w:firstLineChars="200"/>
        <w:rPr>
          <w:rFonts w:ascii="宋体" w:hAnsi="宋体"/>
          <w:sz w:val="24"/>
        </w:rPr>
      </w:pPr>
      <w:r>
        <w:rPr>
          <w:rFonts w:hint="eastAsia" w:ascii="宋体" w:hAnsi="宋体"/>
          <w:sz w:val="24"/>
        </w:rPr>
        <w:t>1.投标文件中开标一览表(报价表)内容与投标文件中相应内容不一致的，以开标一览表(报价表)为准；</w:t>
      </w:r>
    </w:p>
    <w:p>
      <w:pPr>
        <w:snapToGrid w:val="0"/>
        <w:spacing w:line="360" w:lineRule="auto"/>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360" w:lineRule="auto"/>
        <w:ind w:firstLine="480" w:firstLineChars="200"/>
        <w:rPr>
          <w:rFonts w:ascii="宋体" w:hAnsi="宋体"/>
          <w:sz w:val="24"/>
        </w:rPr>
      </w:pPr>
      <w:r>
        <w:rPr>
          <w:rFonts w:hint="eastAsia" w:ascii="宋体" w:hAnsi="宋体"/>
          <w:sz w:val="24"/>
        </w:rPr>
        <w:t>3、单价金额小数点或者百分比有明显错位的，以开标一览表的总价为准，并修改单价；</w:t>
      </w:r>
    </w:p>
    <w:p>
      <w:pPr>
        <w:snapToGrid w:val="0"/>
        <w:spacing w:line="360" w:lineRule="auto"/>
        <w:ind w:firstLine="480" w:firstLineChars="200"/>
        <w:rPr>
          <w:rFonts w:ascii="宋体" w:hAnsi="宋体"/>
          <w:sz w:val="24"/>
        </w:rPr>
      </w:pPr>
      <w:r>
        <w:rPr>
          <w:rFonts w:hint="eastAsia" w:ascii="宋体" w:hAnsi="宋体"/>
          <w:sz w:val="24"/>
        </w:rPr>
        <w:t>4、总价金额与按单价汇总金额不一致的，以总价金额为准，合理调整单价。</w:t>
      </w:r>
    </w:p>
    <w:p>
      <w:pPr>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电子投标</w:t>
      </w:r>
      <w:r>
        <w:rPr>
          <w:rFonts w:hint="eastAsia" w:ascii="宋体" w:hAnsi="宋体"/>
          <w:sz w:val="24"/>
        </w:rPr>
        <w:t>工具</w:t>
      </w:r>
      <w:r>
        <w:rPr>
          <w:rFonts w:ascii="宋体" w:hAnsi="宋体"/>
          <w:sz w:val="24"/>
        </w:rPr>
        <w:t>填报的报价与投标文件中的开标一览表报价不一致的，以投标文件开标一览表为准。</w:t>
      </w:r>
    </w:p>
    <w:p>
      <w:pPr>
        <w:pStyle w:val="26"/>
        <w:snapToGrid w:val="0"/>
        <w:spacing w:before="120" w:after="120" w:line="360" w:lineRule="auto"/>
        <w:ind w:firstLine="482" w:firstLineChars="200"/>
        <w:rPr>
          <w:rFonts w:hAnsi="宋体"/>
          <w:b/>
          <w:bCs/>
        </w:rPr>
      </w:pPr>
      <w:r>
        <w:rPr>
          <w:rFonts w:hint="eastAsia" w:hAnsi="宋体"/>
          <w:b/>
          <w:bCs/>
        </w:rPr>
        <w:t>同时出现两种以上不一致的，按照前款规定的顺序修正。</w:t>
      </w:r>
      <w:r>
        <w:rPr>
          <w:rFonts w:hAnsi="宋体"/>
          <w:b/>
          <w:bCs/>
        </w:rPr>
        <w:t>按上述修正错误的原则及方法调整或修正投标文件的投标报价，</w:t>
      </w:r>
      <w:r>
        <w:rPr>
          <w:rFonts w:hint="eastAsia" w:hAnsi="宋体"/>
          <w:b/>
          <w:bCs/>
        </w:rPr>
        <w:t>供应商</w:t>
      </w:r>
      <w:r>
        <w:rPr>
          <w:rFonts w:hAnsi="宋体"/>
          <w:b/>
          <w:bCs/>
        </w:rPr>
        <w:t>同意并签字确认后，调整后的投标报价对</w:t>
      </w:r>
      <w:r>
        <w:rPr>
          <w:rFonts w:hint="eastAsia" w:hAnsi="宋体"/>
          <w:b/>
          <w:bCs/>
        </w:rPr>
        <w:t>供应商</w:t>
      </w:r>
      <w:r>
        <w:rPr>
          <w:rFonts w:hAnsi="宋体"/>
          <w:b/>
          <w:bCs/>
        </w:rPr>
        <w:t>具有约束作用。如果</w:t>
      </w:r>
      <w:r>
        <w:rPr>
          <w:rFonts w:hint="eastAsia" w:hAnsi="宋体"/>
          <w:b/>
          <w:bCs/>
        </w:rPr>
        <w:t>供应商</w:t>
      </w:r>
      <w:r>
        <w:rPr>
          <w:rFonts w:hAnsi="宋体"/>
          <w:b/>
          <w:bCs/>
        </w:rPr>
        <w:t>不接受修正后的报价，则其投标将作为无效投标处理。</w:t>
      </w:r>
    </w:p>
    <w:p>
      <w:pPr>
        <w:autoSpaceDE w:val="0"/>
        <w:autoSpaceDN w:val="0"/>
        <w:adjustRightInd w:val="0"/>
        <w:spacing w:line="360" w:lineRule="auto"/>
        <w:ind w:firstLine="359" w:firstLineChars="149"/>
        <w:rPr>
          <w:rFonts w:ascii="宋体" w:hAnsi="宋体"/>
          <w:b/>
          <w:kern w:val="0"/>
          <w:sz w:val="24"/>
        </w:rPr>
      </w:pPr>
      <w:r>
        <w:rPr>
          <w:rFonts w:hint="eastAsia" w:ascii="宋体" w:hAnsi="宋体"/>
          <w:b/>
          <w:kern w:val="0"/>
          <w:sz w:val="24"/>
        </w:rPr>
        <w:t>（六）有下列情况之一的，本次招标作为废标处理，除采购任务取消外，由采购人重新组织招标：</w:t>
      </w:r>
    </w:p>
    <w:p>
      <w:pPr>
        <w:snapToGrid w:val="0"/>
        <w:spacing w:line="360" w:lineRule="auto"/>
        <w:ind w:firstLine="480" w:firstLineChars="200"/>
        <w:rPr>
          <w:rFonts w:ascii="宋体" w:hAnsi="宋体"/>
          <w:sz w:val="24"/>
        </w:rPr>
      </w:pPr>
      <w:r>
        <w:rPr>
          <w:rFonts w:hint="eastAsia" w:ascii="宋体" w:hAnsi="宋体"/>
          <w:sz w:val="24"/>
        </w:rPr>
        <w:t>1.每标段符合专业条件的供应商或者对招标文件作实质响应的供应商不足3家；</w:t>
      </w:r>
    </w:p>
    <w:p>
      <w:pPr>
        <w:snapToGrid w:val="0"/>
        <w:spacing w:line="360" w:lineRule="auto"/>
        <w:ind w:firstLine="480" w:firstLineChars="200"/>
        <w:rPr>
          <w:rFonts w:ascii="宋体" w:hAnsi="宋体"/>
          <w:sz w:val="24"/>
        </w:rPr>
      </w:pPr>
      <w:r>
        <w:rPr>
          <w:rFonts w:hint="eastAsia" w:ascii="宋体" w:hAnsi="宋体"/>
          <w:sz w:val="24"/>
        </w:rPr>
        <w:t>2.出现影响采购公正的违法、违规行为的；</w:t>
      </w:r>
    </w:p>
    <w:p>
      <w:pPr>
        <w:snapToGrid w:val="0"/>
        <w:spacing w:line="360" w:lineRule="auto"/>
        <w:ind w:firstLine="480" w:firstLineChars="200"/>
        <w:rPr>
          <w:rFonts w:ascii="宋体" w:hAnsi="宋体"/>
          <w:sz w:val="24"/>
        </w:rPr>
      </w:pPr>
      <w:r>
        <w:rPr>
          <w:rFonts w:hint="eastAsia" w:ascii="宋体" w:hAnsi="宋体"/>
          <w:sz w:val="24"/>
        </w:rPr>
        <w:t>3.供应商的报价均超过了采购限价，采购人不能支付的；</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因重大变故，采购任务取消的。</w:t>
      </w:r>
    </w:p>
    <w:p>
      <w:pPr>
        <w:pStyle w:val="26"/>
        <w:tabs>
          <w:tab w:val="left" w:pos="630"/>
        </w:tabs>
        <w:snapToGrid w:val="0"/>
        <w:spacing w:before="120" w:after="120" w:line="360" w:lineRule="auto"/>
        <w:ind w:firstLine="359" w:firstLineChars="149"/>
        <w:rPr>
          <w:rFonts w:hAnsi="宋体"/>
          <w:b/>
        </w:rPr>
      </w:pPr>
      <w:r>
        <w:rPr>
          <w:rFonts w:hAnsi="宋体"/>
          <w:b/>
        </w:rPr>
        <w:t>（七）评标原则和评标办法</w:t>
      </w:r>
    </w:p>
    <w:p>
      <w:pPr>
        <w:pStyle w:val="26"/>
        <w:snapToGrid w:val="0"/>
        <w:spacing w:before="120" w:after="120" w:line="360" w:lineRule="auto"/>
        <w:ind w:firstLine="480" w:firstLineChars="200"/>
        <w:rPr>
          <w:rFonts w:hAnsi="宋体"/>
        </w:rPr>
      </w:pPr>
      <w:r>
        <w:rPr>
          <w:rFonts w:hAnsi="宋体"/>
        </w:rPr>
        <w:t>1、评标原则。评标委员会必须公平、公正、客观，不带任何倾向性和启发性；不得向外界透露任何与评标有关的内容；任何单位和个人不得干扰、影响评标的正常进行；评标委员会及有关工作人员不得私下与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hAnsi="宋体"/>
        </w:rPr>
        <w:t>供应商</w:t>
      </w:r>
      <w:r>
        <w:rPr>
          <w:rFonts w:hAnsi="宋体"/>
        </w:rPr>
        <w:t>接触。</w:t>
      </w:r>
    </w:p>
    <w:p>
      <w:pPr>
        <w:pStyle w:val="26"/>
        <w:snapToGrid w:val="0"/>
        <w:spacing w:before="120" w:after="120" w:line="360" w:lineRule="auto"/>
        <w:ind w:firstLine="480" w:firstLineChars="200"/>
        <w:rPr>
          <w:rFonts w:hAnsi="宋体"/>
        </w:rPr>
      </w:pPr>
      <w:r>
        <w:rPr>
          <w:rFonts w:hAnsi="宋体"/>
        </w:rPr>
        <w:t>2、评标办法。具体评标内容及评分标准等详见《第四章：评标办法及评分标准》。</w:t>
      </w:r>
    </w:p>
    <w:p>
      <w:pPr>
        <w:pStyle w:val="26"/>
        <w:snapToGrid w:val="0"/>
        <w:spacing w:before="120" w:after="120" w:line="360" w:lineRule="auto"/>
        <w:ind w:firstLine="359" w:firstLineChars="149"/>
        <w:rPr>
          <w:rFonts w:hAnsi="宋体"/>
          <w:b/>
        </w:rPr>
      </w:pPr>
      <w:r>
        <w:rPr>
          <w:rFonts w:hAnsi="宋体"/>
          <w:b/>
        </w:rPr>
        <w:t>（八）评标过程的监控</w:t>
      </w:r>
    </w:p>
    <w:p>
      <w:pPr>
        <w:pStyle w:val="26"/>
        <w:snapToGrid w:val="0"/>
        <w:spacing w:before="120" w:after="120" w:line="360" w:lineRule="auto"/>
        <w:ind w:firstLine="480" w:firstLineChars="200"/>
        <w:rPr>
          <w:rFonts w:hAnsi="宋体"/>
        </w:rPr>
      </w:pPr>
      <w:r>
        <w:rPr>
          <w:rFonts w:hAnsi="宋体"/>
        </w:rPr>
        <w:t>本项目评标过程实行全程录音、录像监控，</w:t>
      </w:r>
      <w:r>
        <w:rPr>
          <w:rFonts w:hint="eastAsia" w:hAnsi="宋体"/>
        </w:rPr>
        <w:t>供应商</w:t>
      </w:r>
      <w:r>
        <w:rPr>
          <w:rFonts w:hAnsi="宋体"/>
        </w:rPr>
        <w:t>在评标过程中所进行的试图影响评标结果的不公正活动，可能导致其投标被拒绝。</w:t>
      </w:r>
    </w:p>
    <w:p>
      <w:pPr>
        <w:pStyle w:val="26"/>
        <w:snapToGrid w:val="0"/>
        <w:spacing w:before="120" w:after="120" w:line="360" w:lineRule="auto"/>
        <w:rPr>
          <w:rFonts w:hAnsi="宋体"/>
          <w:b/>
          <w:sz w:val="30"/>
          <w:szCs w:val="30"/>
        </w:rPr>
      </w:pPr>
      <w:r>
        <w:rPr>
          <w:rFonts w:hAnsi="宋体"/>
          <w:b/>
          <w:sz w:val="30"/>
          <w:szCs w:val="30"/>
        </w:rPr>
        <w:t>六、定标</w:t>
      </w:r>
    </w:p>
    <w:p>
      <w:pPr>
        <w:pStyle w:val="26"/>
        <w:snapToGrid w:val="0"/>
        <w:spacing w:before="120" w:after="120" w:line="360" w:lineRule="auto"/>
        <w:ind w:firstLine="472" w:firstLineChars="196"/>
        <w:rPr>
          <w:rFonts w:hAnsi="宋体"/>
          <w:b/>
          <w:bCs/>
          <w:szCs w:val="20"/>
        </w:rPr>
      </w:pPr>
      <w:r>
        <w:rPr>
          <w:rFonts w:hAnsi="宋体"/>
          <w:b/>
          <w:bCs/>
        </w:rPr>
        <w:t>（一）确定</w:t>
      </w:r>
      <w:r>
        <w:rPr>
          <w:rFonts w:hint="eastAsia" w:hAnsi="宋体"/>
          <w:b/>
          <w:bCs/>
        </w:rPr>
        <w:t>中标供应商</w:t>
      </w:r>
      <w:r>
        <w:rPr>
          <w:rFonts w:hAnsi="宋体"/>
          <w:b/>
          <w:bCs/>
        </w:rPr>
        <w:t>。</w:t>
      </w:r>
    </w:p>
    <w:p>
      <w:pPr>
        <w:snapToGrid w:val="0"/>
        <w:spacing w:line="360" w:lineRule="auto"/>
        <w:ind w:firstLine="480" w:firstLineChars="200"/>
        <w:rPr>
          <w:rFonts w:ascii="宋体" w:hAnsi="宋体"/>
          <w:sz w:val="24"/>
        </w:rPr>
      </w:pPr>
      <w:r>
        <w:rPr>
          <w:rFonts w:hint="eastAsia" w:ascii="宋体" w:hAnsi="宋体"/>
          <w:sz w:val="24"/>
        </w:rPr>
        <w:t>采购人应确定标段排名第一的中标候选供应商为中标供应商，标段排名第一的中标候选供应商放弃成交；或因不可抗力或自身原因提出不能履行合同；或者招标文件规定或合同约定应当提交履约保证金而在规定的期限内未能提交的；或未能在规定时间内与采购人签订合同的；或在规定时间内借故否认已经承诺的条件而拒签合同的；或已签合同却拒绝按合同约定履约的；或者经质疑，采购人审查后，确因标段排名第一的候选供应商在本次采购活动中存在违法违规行为或其他原因使质疑成立的，采购人可视具体情况确定是否由标段排名第二的候选供应商为中标供应商，也可以重新开展采购活动。</w:t>
      </w:r>
    </w:p>
    <w:p>
      <w:pPr>
        <w:pStyle w:val="26"/>
        <w:snapToGrid w:val="0"/>
        <w:spacing w:before="120" w:after="120" w:line="360" w:lineRule="auto"/>
        <w:rPr>
          <w:rFonts w:hAnsi="宋体"/>
          <w:b/>
          <w:sz w:val="30"/>
          <w:szCs w:val="30"/>
        </w:rPr>
      </w:pPr>
      <w:r>
        <w:rPr>
          <w:rFonts w:hAnsi="宋体"/>
          <w:b/>
          <w:sz w:val="30"/>
          <w:szCs w:val="30"/>
        </w:rPr>
        <w:t>七、合同授予</w:t>
      </w:r>
    </w:p>
    <w:p>
      <w:pPr>
        <w:snapToGrid w:val="0"/>
        <w:spacing w:line="360" w:lineRule="auto"/>
        <w:ind w:firstLine="472" w:firstLineChars="196"/>
        <w:rPr>
          <w:rFonts w:ascii="宋体" w:hAnsi="宋体"/>
          <w:b/>
          <w:bCs/>
          <w:sz w:val="24"/>
          <w:szCs w:val="20"/>
        </w:rPr>
      </w:pPr>
      <w:r>
        <w:rPr>
          <w:rFonts w:hint="eastAsia" w:ascii="宋体" w:hAnsi="宋体"/>
          <w:b/>
          <w:bCs/>
          <w:sz w:val="24"/>
        </w:rPr>
        <w:t>（一）签订合同</w:t>
      </w:r>
    </w:p>
    <w:p>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.采购人与标段中标供应商</w:t>
      </w:r>
      <w:r>
        <w:rPr>
          <w:rFonts w:ascii="宋体" w:hAnsi="宋体"/>
          <w:sz w:val="24"/>
        </w:rPr>
        <w:t>应</w:t>
      </w:r>
      <w:r>
        <w:rPr>
          <w:rFonts w:hint="eastAsia" w:ascii="宋体" w:hAnsi="宋体"/>
          <w:sz w:val="24"/>
        </w:rPr>
        <w:t>当在《</w:t>
      </w:r>
      <w:r>
        <w:rPr>
          <w:rFonts w:ascii="宋体" w:hAnsi="宋体"/>
          <w:sz w:val="24"/>
        </w:rPr>
        <w:t>中标通知书</w:t>
      </w:r>
      <w:r>
        <w:rPr>
          <w:rFonts w:hint="eastAsia" w:ascii="宋体" w:hAnsi="宋体"/>
          <w:sz w:val="24"/>
        </w:rPr>
        <w:t>》发出之日起</w:t>
      </w:r>
      <w:r>
        <w:rPr>
          <w:rFonts w:ascii="宋体" w:hAnsi="宋体"/>
          <w:sz w:val="24"/>
        </w:rPr>
        <w:t>15</w:t>
      </w:r>
      <w:r>
        <w:rPr>
          <w:rFonts w:hint="eastAsia" w:ascii="宋体" w:hAnsi="宋体"/>
          <w:sz w:val="24"/>
        </w:rPr>
        <w:t>日内签订合同。同时，采购代理机构对合同内容进行审查，如发现与采购结果和投标承诺内容不一致的，应予以纠正。</w:t>
      </w:r>
    </w:p>
    <w:p>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.标段中标供应商</w:t>
      </w:r>
      <w:r>
        <w:rPr>
          <w:rFonts w:ascii="宋体" w:hAnsi="宋体"/>
          <w:sz w:val="24"/>
        </w:rPr>
        <w:t>拖延、拒签合同的</w:t>
      </w:r>
      <w:r>
        <w:rPr>
          <w:rFonts w:hint="eastAsia" w:ascii="宋体" w:hAnsi="宋体"/>
          <w:sz w:val="24"/>
        </w:rPr>
        <w:t>，</w:t>
      </w:r>
      <w:r>
        <w:rPr>
          <w:rFonts w:ascii="宋体" w:hAnsi="宋体"/>
          <w:sz w:val="24"/>
        </w:rPr>
        <w:t>将被扣罚投标保证金并取消该标段中标资格。</w:t>
      </w:r>
    </w:p>
    <w:p>
      <w:pPr>
        <w:pStyle w:val="26"/>
        <w:snapToGrid w:val="0"/>
        <w:spacing w:before="120" w:after="120" w:line="360" w:lineRule="auto"/>
        <w:ind w:firstLine="472" w:firstLineChars="196"/>
        <w:rPr>
          <w:rFonts w:hAnsi="宋体"/>
          <w:b/>
        </w:rPr>
      </w:pPr>
      <w:r>
        <w:rPr>
          <w:rFonts w:hAnsi="宋体"/>
          <w:b/>
        </w:rPr>
        <w:t>（二）履约保证金</w:t>
      </w:r>
    </w:p>
    <w:p>
      <w:pPr>
        <w:pStyle w:val="26"/>
        <w:snapToGrid w:val="0"/>
        <w:spacing w:before="120" w:after="120" w:line="360" w:lineRule="auto"/>
        <w:ind w:firstLine="480" w:firstLineChars="200"/>
        <w:rPr>
          <w:rFonts w:hAnsi="宋体"/>
        </w:rPr>
      </w:pPr>
      <w:r>
        <w:rPr>
          <w:rFonts w:hAnsi="宋体"/>
        </w:rPr>
        <w:t>1.签订合同前，标段</w:t>
      </w:r>
      <w:r>
        <w:rPr>
          <w:rFonts w:hint="eastAsia" w:hAnsi="宋体"/>
        </w:rPr>
        <w:t>中标供应商</w:t>
      </w:r>
      <w:r>
        <w:rPr>
          <w:rFonts w:hAnsi="宋体"/>
        </w:rPr>
        <w:t>应按招标文件确定的履约保证金的金额，向采购人交纳履约保证金，否则，采购人将没收该标段</w:t>
      </w:r>
      <w:r>
        <w:rPr>
          <w:rFonts w:hint="eastAsia" w:hAnsi="宋体"/>
        </w:rPr>
        <w:t>中标供应商</w:t>
      </w:r>
      <w:r>
        <w:rPr>
          <w:rFonts w:hAnsi="宋体"/>
        </w:rPr>
        <w:t>的全部投标保证金。</w:t>
      </w:r>
    </w:p>
    <w:p>
      <w:pPr>
        <w:pStyle w:val="26"/>
        <w:snapToGrid w:val="0"/>
        <w:spacing w:before="120" w:after="120" w:line="360" w:lineRule="auto"/>
        <w:ind w:firstLine="480" w:firstLineChars="200"/>
        <w:rPr>
          <w:rFonts w:hAnsi="宋体"/>
        </w:rPr>
      </w:pPr>
      <w:r>
        <w:rPr>
          <w:rFonts w:hAnsi="宋体"/>
        </w:rPr>
        <w:t>2.签订合同后，如标段</w:t>
      </w:r>
      <w:r>
        <w:rPr>
          <w:rFonts w:hint="eastAsia" w:hAnsi="宋体"/>
        </w:rPr>
        <w:t>中标供应商</w:t>
      </w:r>
      <w:r>
        <w:rPr>
          <w:rFonts w:hAnsi="宋体"/>
        </w:rPr>
        <w:t>不按双方合同约定履约，则没收该标段</w:t>
      </w:r>
      <w:r>
        <w:rPr>
          <w:rFonts w:hint="eastAsia" w:hAnsi="宋体"/>
        </w:rPr>
        <w:t>中标供应商</w:t>
      </w:r>
      <w:r>
        <w:rPr>
          <w:rFonts w:hAnsi="宋体"/>
        </w:rPr>
        <w:t>全部履约保证金，履约保证金不足以赔偿损失的，按实际损失赔偿。</w:t>
      </w:r>
    </w:p>
    <w:p>
      <w:pPr>
        <w:spacing w:line="360" w:lineRule="auto"/>
        <w:rPr>
          <w:rFonts w:ascii="宋体" w:hAnsi="宋体"/>
          <w:b/>
          <w:sz w:val="30"/>
          <w:szCs w:val="30"/>
        </w:rPr>
      </w:pPr>
      <w:r>
        <w:rPr>
          <w:rFonts w:hint="eastAsia" w:ascii="宋体" w:hAnsi="宋体"/>
          <w:b/>
          <w:sz w:val="30"/>
          <w:szCs w:val="30"/>
        </w:rPr>
        <w:t>八、招标服务费及交易服务费</w:t>
      </w:r>
    </w:p>
    <w:p>
      <w:pPr>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（1）本项目招标代理服务费共3</w:t>
      </w:r>
      <w:r>
        <w:rPr>
          <w:rFonts w:ascii="宋体" w:hAnsi="宋体" w:cs="宋体"/>
          <w:sz w:val="24"/>
        </w:rPr>
        <w:t>2800元</w:t>
      </w:r>
      <w:r>
        <w:rPr>
          <w:rFonts w:hint="eastAsia" w:ascii="宋体" w:hAnsi="宋体" w:cs="宋体"/>
          <w:sz w:val="24"/>
        </w:rPr>
        <w:t>，</w:t>
      </w:r>
      <w:r>
        <w:rPr>
          <w:rFonts w:ascii="宋体" w:hAnsi="宋体" w:cs="宋体"/>
          <w:sz w:val="24"/>
        </w:rPr>
        <w:t>各标段</w:t>
      </w:r>
      <w:r>
        <w:rPr>
          <w:rFonts w:hint="eastAsia" w:ascii="宋体" w:hAnsi="宋体" w:cs="宋体"/>
          <w:sz w:val="24"/>
        </w:rPr>
        <w:t>见下表：</w:t>
      </w:r>
    </w:p>
    <w:tbl>
      <w:tblPr>
        <w:tblStyle w:val="42"/>
        <w:tblW w:w="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26" w:type="dxa"/>
            <w:noWrap/>
            <w:vAlign w:val="center"/>
          </w:tcPr>
          <w:p>
            <w:pPr>
              <w:snapToGrid w:val="0"/>
              <w:spacing w:before="120" w:beforeLines="50" w:line="360" w:lineRule="auto"/>
              <w:jc w:val="center"/>
              <w:rPr>
                <w:rFonts w:ascii="宋体" w:hAnsi="宋体" w:cs="宋体"/>
                <w:sz w:val="24"/>
              </w:rPr>
            </w:pPr>
            <w:r>
              <w:rPr>
                <w:rFonts w:ascii="宋体" w:hAnsi="宋体" w:cs="宋体"/>
                <w:sz w:val="24"/>
              </w:rPr>
              <w:t>标段号</w:t>
            </w:r>
          </w:p>
        </w:tc>
        <w:tc>
          <w:tcPr>
            <w:tcW w:w="2754" w:type="dxa"/>
            <w:noWrap/>
            <w:vAlign w:val="center"/>
          </w:tcPr>
          <w:p>
            <w:pPr>
              <w:snapToGrid w:val="0"/>
              <w:spacing w:before="120" w:beforeLines="50" w:line="360" w:lineRule="auto"/>
              <w:jc w:val="center"/>
              <w:rPr>
                <w:rFonts w:ascii="宋体" w:hAnsi="宋体" w:cs="宋体"/>
                <w:sz w:val="24"/>
              </w:rPr>
            </w:pPr>
            <w:r>
              <w:rPr>
                <w:rFonts w:ascii="宋体" w:hAnsi="宋体" w:cs="宋体"/>
                <w:sz w:val="24"/>
              </w:rPr>
              <w:t>代理服务费</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754" w:type="dxa"/>
            <w:noWrap/>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8519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2</w:t>
            </w:r>
          </w:p>
        </w:tc>
        <w:tc>
          <w:tcPr>
            <w:tcW w:w="2754" w:type="dxa"/>
            <w:noWrap/>
            <w:vAlign w:val="center"/>
          </w:tcPr>
          <w:p>
            <w:pPr>
              <w:widowControl/>
              <w:jc w:val="center"/>
              <w:textAlignment w:val="center"/>
              <w:rPr>
                <w:rFonts w:ascii="宋体" w:hAnsi="宋体" w:cs="宋体"/>
                <w:sz w:val="24"/>
              </w:rPr>
            </w:pPr>
            <w:r>
              <w:rPr>
                <w:rFonts w:hint="eastAsia" w:ascii="宋体" w:hAnsi="宋体" w:cs="宋体"/>
                <w:sz w:val="24"/>
              </w:rPr>
              <w:t>7</w:t>
            </w:r>
            <w:r>
              <w:rPr>
                <w:rFonts w:ascii="宋体" w:hAnsi="宋体" w:cs="宋体"/>
                <w:sz w:val="24"/>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3</w:t>
            </w:r>
          </w:p>
        </w:tc>
        <w:tc>
          <w:tcPr>
            <w:tcW w:w="2754" w:type="dxa"/>
            <w:noWrap/>
            <w:vAlign w:val="center"/>
          </w:tcPr>
          <w:p>
            <w:pPr>
              <w:widowControl/>
              <w:jc w:val="center"/>
              <w:textAlignment w:val="center"/>
              <w:rPr>
                <w:rFonts w:ascii="宋体" w:hAnsi="宋体" w:cs="宋体"/>
                <w:sz w:val="24"/>
              </w:rPr>
            </w:pPr>
            <w:r>
              <w:rPr>
                <w:rFonts w:hint="eastAsia" w:ascii="宋体" w:hAnsi="宋体" w:cs="宋体"/>
                <w:sz w:val="24"/>
              </w:rPr>
              <w:t>6</w:t>
            </w:r>
            <w:r>
              <w:rPr>
                <w:rFonts w:ascii="宋体" w:hAnsi="宋体" w:cs="宋体"/>
                <w:sz w:val="24"/>
              </w:rPr>
              <w:t>905</w:t>
            </w:r>
          </w:p>
        </w:tc>
      </w:tr>
    </w:tbl>
    <w:p>
      <w:pPr>
        <w:snapToGrid w:val="0"/>
        <w:spacing w:before="120" w:beforeLines="50" w:line="360" w:lineRule="auto"/>
        <w:ind w:firstLine="480" w:firstLineChars="200"/>
        <w:jc w:val="left"/>
        <w:rPr>
          <w:rFonts w:ascii="宋体" w:hAnsi="宋体" w:cs="宋体"/>
          <w:sz w:val="24"/>
        </w:rPr>
      </w:pPr>
      <w:r>
        <w:rPr>
          <w:rFonts w:hint="eastAsia" w:ascii="宋体" w:hAnsi="宋体" w:cs="宋体"/>
          <w:sz w:val="24"/>
        </w:rPr>
        <w:t>由中标人在领取《中标通知书》时向建经投资咨询有限公司支付</w:t>
      </w:r>
      <w:r>
        <w:rPr>
          <w:rFonts w:hint="eastAsia" w:ascii="宋体" w:hAnsi="宋体"/>
          <w:sz w:val="24"/>
        </w:rPr>
        <w:t>（</w:t>
      </w:r>
      <w:r>
        <w:rPr>
          <w:rFonts w:hint="eastAsia" w:ascii="宋体" w:hAnsi="宋体" w:cs="宋体"/>
          <w:sz w:val="24"/>
        </w:rPr>
        <w:t>收款单位名称：建经投资咨询有限公司台州分公司，开户行：中国农业银行股份有限公司台州经济开发区支行，账号：</w:t>
      </w:r>
      <w:r>
        <w:rPr>
          <w:rFonts w:ascii="宋体" w:hAnsi="宋体" w:cs="宋体"/>
          <w:sz w:val="24"/>
        </w:rPr>
        <w:t>19900101040013143</w:t>
      </w:r>
      <w:r>
        <w:rPr>
          <w:rFonts w:hint="eastAsia" w:ascii="宋体" w:hAnsi="宋体" w:cs="宋体"/>
          <w:sz w:val="24"/>
        </w:rPr>
        <w:t xml:space="preserve">） 。 </w:t>
      </w:r>
    </w:p>
    <w:p>
      <w:pPr>
        <w:spacing w:line="360" w:lineRule="auto"/>
        <w:ind w:firstLine="420" w:firstLineChars="175"/>
        <w:rPr>
          <w:rFonts w:ascii="宋体" w:hAnsi="宋体"/>
          <w:sz w:val="24"/>
        </w:rPr>
      </w:pPr>
      <w:r>
        <w:rPr>
          <w:rFonts w:hint="eastAsia" w:ascii="宋体" w:hAnsi="宋体"/>
          <w:sz w:val="24"/>
        </w:rPr>
        <w:t>（2）中标人须向</w:t>
      </w:r>
      <w:r>
        <w:rPr>
          <w:rFonts w:hint="eastAsia" w:ascii="宋体" w:hAnsi="宋体" w:cs="宋体"/>
          <w:sz w:val="24"/>
        </w:rPr>
        <w:t>台州市产权交易所有限公司</w:t>
      </w:r>
      <w:r>
        <w:rPr>
          <w:rFonts w:hint="eastAsia" w:ascii="宋体" w:hAnsi="宋体"/>
          <w:sz w:val="24"/>
        </w:rPr>
        <w:t>按以下规定交纳交易服务费。</w:t>
      </w:r>
    </w:p>
    <w:p>
      <w:pPr>
        <w:spacing w:line="360" w:lineRule="auto"/>
        <w:ind w:firstLine="480" w:firstLineChars="200"/>
        <w:rPr>
          <w:rFonts w:ascii="Arial" w:hAnsi="宋体" w:cs="Arial"/>
          <w:sz w:val="24"/>
        </w:rPr>
      </w:pPr>
      <w:r>
        <w:rPr>
          <w:rFonts w:hint="eastAsia" w:ascii="宋体" w:hAnsi="宋体"/>
          <w:sz w:val="24"/>
        </w:rPr>
        <w:t>本项目交易服务费</w:t>
      </w:r>
      <w:r>
        <w:rPr>
          <w:rFonts w:hint="eastAsia" w:ascii="宋体" w:hAnsi="宋体" w:cs="宋体"/>
          <w:sz w:val="24"/>
        </w:rPr>
        <w:t>共</w:t>
      </w:r>
      <w:r>
        <w:rPr>
          <w:rFonts w:ascii="宋体" w:hAnsi="宋体" w:cs="宋体"/>
          <w:sz w:val="24"/>
        </w:rPr>
        <w:t>48889元</w:t>
      </w:r>
      <w:r>
        <w:rPr>
          <w:rFonts w:hint="eastAsia" w:ascii="宋体" w:hAnsi="宋体" w:cs="宋体"/>
          <w:sz w:val="24"/>
        </w:rPr>
        <w:t>，</w:t>
      </w:r>
      <w:r>
        <w:rPr>
          <w:rFonts w:ascii="宋体" w:hAnsi="宋体" w:cs="宋体"/>
          <w:sz w:val="24"/>
        </w:rPr>
        <w:t>各标段</w:t>
      </w:r>
      <w:r>
        <w:rPr>
          <w:rFonts w:hint="eastAsia" w:ascii="宋体" w:hAnsi="宋体" w:cs="宋体"/>
          <w:sz w:val="24"/>
        </w:rPr>
        <w:t>见下表：</w:t>
      </w:r>
    </w:p>
    <w:tbl>
      <w:tblPr>
        <w:tblStyle w:val="42"/>
        <w:tblW w:w="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26" w:type="dxa"/>
            <w:noWrap/>
            <w:vAlign w:val="center"/>
          </w:tcPr>
          <w:p>
            <w:pPr>
              <w:snapToGrid w:val="0"/>
              <w:spacing w:before="120" w:beforeLines="50" w:line="360" w:lineRule="auto"/>
              <w:jc w:val="center"/>
              <w:rPr>
                <w:rFonts w:ascii="宋体" w:hAnsi="宋体" w:cs="宋体"/>
                <w:sz w:val="24"/>
              </w:rPr>
            </w:pPr>
            <w:r>
              <w:rPr>
                <w:rFonts w:ascii="宋体" w:hAnsi="宋体" w:cs="宋体"/>
                <w:sz w:val="24"/>
              </w:rPr>
              <w:t>标段号</w:t>
            </w:r>
          </w:p>
        </w:tc>
        <w:tc>
          <w:tcPr>
            <w:tcW w:w="2754" w:type="dxa"/>
            <w:noWrap/>
            <w:vAlign w:val="center"/>
          </w:tcPr>
          <w:p>
            <w:pPr>
              <w:snapToGrid w:val="0"/>
              <w:spacing w:before="120" w:beforeLines="50" w:line="360" w:lineRule="auto"/>
              <w:jc w:val="center"/>
              <w:rPr>
                <w:rFonts w:ascii="宋体" w:hAnsi="宋体" w:cs="宋体"/>
                <w:sz w:val="24"/>
              </w:rPr>
            </w:pPr>
            <w:r>
              <w:rPr>
                <w:rFonts w:hint="eastAsia" w:ascii="宋体" w:hAnsi="宋体" w:cs="宋体"/>
                <w:sz w:val="24"/>
              </w:rPr>
              <w:t>交易</w:t>
            </w:r>
            <w:r>
              <w:rPr>
                <w:rFonts w:ascii="宋体" w:hAnsi="宋体" w:cs="宋体"/>
                <w:sz w:val="24"/>
              </w:rPr>
              <w:t>服务费</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754" w:type="dxa"/>
            <w:noWrap/>
            <w:vAlign w:val="center"/>
          </w:tcPr>
          <w:p>
            <w:pPr>
              <w:widowControl/>
              <w:jc w:val="center"/>
              <w:textAlignment w:val="center"/>
              <w:rPr>
                <w:rFonts w:ascii="宋体" w:hAnsi="宋体" w:cs="宋体"/>
                <w:sz w:val="24"/>
              </w:rPr>
            </w:pPr>
            <w:r>
              <w:rPr>
                <w:rFonts w:ascii="宋体" w:hAnsi="宋体" w:cs="宋体"/>
                <w:sz w:val="24"/>
              </w:rPr>
              <w:t>27602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2</w:t>
            </w:r>
          </w:p>
        </w:tc>
        <w:tc>
          <w:tcPr>
            <w:tcW w:w="2754" w:type="dxa"/>
            <w:noWrap/>
            <w:vAlign w:val="center"/>
          </w:tcPr>
          <w:p>
            <w:pPr>
              <w:widowControl/>
              <w:jc w:val="center"/>
              <w:textAlignment w:val="center"/>
              <w:rPr>
                <w:rFonts w:ascii="宋体" w:hAnsi="宋体" w:cs="宋体"/>
                <w:sz w:val="24"/>
              </w:rPr>
            </w:pPr>
            <w:r>
              <w:rPr>
                <w:rFonts w:ascii="宋体" w:hAnsi="宋体" w:cs="宋体"/>
                <w:sz w:val="24"/>
              </w:rPr>
              <w:t>10994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26" w:type="dxa"/>
            <w:noWrap/>
            <w:vAlign w:val="center"/>
          </w:tcPr>
          <w:p>
            <w:pPr>
              <w:widowControl/>
              <w:jc w:val="center"/>
              <w:textAlignment w:val="center"/>
              <w:rPr>
                <w:rFonts w:ascii="宋体" w:hAnsi="宋体" w:cs="宋体"/>
                <w:sz w:val="24"/>
              </w:rPr>
            </w:pPr>
            <w:r>
              <w:rPr>
                <w:rFonts w:hint="eastAsia" w:ascii="宋体" w:hAnsi="宋体" w:cs="宋体"/>
                <w:sz w:val="24"/>
              </w:rPr>
              <w:t>3</w:t>
            </w:r>
          </w:p>
        </w:tc>
        <w:tc>
          <w:tcPr>
            <w:tcW w:w="2754" w:type="dxa"/>
            <w:noWrap/>
            <w:vAlign w:val="center"/>
          </w:tcPr>
          <w:p>
            <w:pPr>
              <w:widowControl/>
              <w:jc w:val="center"/>
              <w:textAlignment w:val="center"/>
              <w:rPr>
                <w:rFonts w:ascii="宋体" w:hAnsi="宋体" w:cs="宋体"/>
                <w:sz w:val="24"/>
              </w:rPr>
            </w:pPr>
            <w:r>
              <w:rPr>
                <w:rFonts w:ascii="宋体" w:hAnsi="宋体" w:cs="宋体"/>
                <w:sz w:val="24"/>
              </w:rPr>
              <w:t>10293</w:t>
            </w:r>
          </w:p>
        </w:tc>
      </w:tr>
    </w:tbl>
    <w:p>
      <w:pPr>
        <w:spacing w:line="360" w:lineRule="auto"/>
        <w:ind w:firstLine="480" w:firstLineChars="200"/>
        <w:rPr>
          <w:rFonts w:hAnsi="宋体"/>
        </w:rPr>
      </w:pPr>
      <w:r>
        <w:rPr>
          <w:rFonts w:hint="eastAsia" w:ascii="宋体" w:hAnsi="宋体"/>
          <w:sz w:val="24"/>
        </w:rPr>
        <w:t>交易服务费的交纳方式：中标人在领取《中标通知书》时向台州市产权交易所有限公司一次性缴清交易服务费（收款单位名称：台州市产权交易所有限公司，开户行：浙江民泰商业银行股份有限公司台州椒江支行，帐号：583016260800028）。</w:t>
      </w:r>
    </w:p>
    <w:p>
      <w:pPr>
        <w:pStyle w:val="26"/>
        <w:snapToGrid w:val="0"/>
        <w:spacing w:before="120" w:after="120" w:line="240" w:lineRule="auto"/>
        <w:ind w:firstLine="602" w:firstLineChars="200"/>
        <w:jc w:val="center"/>
        <w:rPr>
          <w:rFonts w:hAnsi="宋体"/>
          <w:b/>
          <w:sz w:val="30"/>
          <w:szCs w:val="30"/>
        </w:rPr>
        <w:sectPr>
          <w:headerReference r:id="rId4" w:type="default"/>
          <w:footerReference r:id="rId5" w:type="default"/>
          <w:footerReference r:id="rId6" w:type="even"/>
          <w:pgSz w:w="11906" w:h="16838"/>
          <w:pgMar w:top="1440" w:right="1797" w:bottom="1440" w:left="1797" w:header="851" w:footer="992" w:gutter="0"/>
          <w:pgNumType w:start="5"/>
          <w:cols w:space="720" w:num="1"/>
          <w:docGrid w:linePitch="312" w:charSpace="0"/>
        </w:sectPr>
      </w:pPr>
    </w:p>
    <w:p>
      <w:pPr>
        <w:pStyle w:val="26"/>
        <w:snapToGrid w:val="0"/>
        <w:spacing w:before="120" w:after="120" w:line="240" w:lineRule="auto"/>
        <w:ind w:firstLine="602" w:firstLineChars="200"/>
        <w:jc w:val="center"/>
        <w:rPr>
          <w:rFonts w:hAnsi="宋体"/>
          <w:b/>
          <w:sz w:val="30"/>
          <w:szCs w:val="30"/>
        </w:rPr>
      </w:pPr>
      <w:r>
        <w:rPr>
          <w:rFonts w:hAnsi="宋体"/>
          <w:b/>
          <w:sz w:val="30"/>
          <w:szCs w:val="30"/>
        </w:rPr>
        <w:t>第四章  评标办法及评分标准</w:t>
      </w:r>
    </w:p>
    <w:p>
      <w:pPr>
        <w:spacing w:line="360" w:lineRule="auto"/>
        <w:ind w:firstLine="480" w:firstLineChars="200"/>
        <w:rPr>
          <w:rFonts w:ascii="宋体" w:hAnsi="宋体"/>
          <w:sz w:val="24"/>
        </w:rPr>
      </w:pPr>
      <w:r>
        <w:rPr>
          <w:rFonts w:hint="eastAsia" w:ascii="宋体" w:hAnsi="宋体"/>
          <w:sz w:val="24"/>
        </w:rPr>
        <w:t>为公正、公平、科学地选择中标人，根据《中华人民共和国招标投标法》等有关法律法规的规定，并结合本项目的实际，制定本办法。</w:t>
      </w:r>
    </w:p>
    <w:p>
      <w:pPr>
        <w:spacing w:before="120" w:beforeLines="50" w:after="120" w:afterLines="50" w:line="360" w:lineRule="auto"/>
        <w:ind w:firstLine="472" w:firstLineChars="196"/>
        <w:rPr>
          <w:rFonts w:ascii="宋体" w:hAnsi="宋体"/>
          <w:b/>
          <w:sz w:val="24"/>
        </w:rPr>
      </w:pPr>
      <w:r>
        <w:rPr>
          <w:rFonts w:hint="eastAsia" w:ascii="宋体" w:hAnsi="宋体"/>
          <w:b/>
          <w:sz w:val="24"/>
        </w:rPr>
        <w:t>一、总则</w:t>
      </w:r>
    </w:p>
    <w:p>
      <w:pPr>
        <w:spacing w:line="360" w:lineRule="auto"/>
        <w:ind w:firstLine="480" w:firstLineChars="200"/>
        <w:rPr>
          <w:rFonts w:ascii="宋体" w:hAnsi="宋体"/>
          <w:sz w:val="24"/>
        </w:rPr>
      </w:pPr>
      <w:r>
        <w:rPr>
          <w:rFonts w:hint="eastAsia" w:ascii="宋体" w:hAnsi="宋体"/>
          <w:sz w:val="24"/>
        </w:rPr>
        <w:t>本次评标采用综合评分法，</w:t>
      </w:r>
      <w:r>
        <w:rPr>
          <w:rFonts w:hint="eastAsia" w:ascii="宋体" w:hAnsi="宋体"/>
          <w:b/>
          <w:sz w:val="24"/>
        </w:rPr>
        <w:t>总分为100分，其中商务标</w:t>
      </w:r>
      <w:r>
        <w:rPr>
          <w:rFonts w:ascii="宋体" w:hAnsi="宋体"/>
          <w:b/>
          <w:sz w:val="24"/>
        </w:rPr>
        <w:t>50</w:t>
      </w:r>
      <w:r>
        <w:rPr>
          <w:rFonts w:hint="eastAsia" w:ascii="宋体" w:hAnsi="宋体"/>
          <w:b/>
          <w:sz w:val="24"/>
        </w:rPr>
        <w:t>分、技术资信分</w:t>
      </w:r>
      <w:r>
        <w:rPr>
          <w:rFonts w:ascii="宋体" w:hAnsi="宋体"/>
          <w:b/>
          <w:sz w:val="24"/>
        </w:rPr>
        <w:t>50</w:t>
      </w:r>
      <w:r>
        <w:rPr>
          <w:rFonts w:hint="eastAsia" w:ascii="宋体" w:hAnsi="宋体"/>
          <w:b/>
          <w:sz w:val="24"/>
        </w:rPr>
        <w:t>分</w:t>
      </w:r>
      <w:r>
        <w:rPr>
          <w:rFonts w:hint="eastAsia" w:ascii="宋体" w:hAnsi="宋体"/>
          <w:sz w:val="24"/>
        </w:rPr>
        <w:t>。</w:t>
      </w:r>
    </w:p>
    <w:tbl>
      <w:tblPr>
        <w:tblStyle w:val="42"/>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1962"/>
        <w:gridCol w:w="1963"/>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695" w:type="dxa"/>
            <w:tcBorders>
              <w:tl2br w:val="single" w:color="auto" w:sz="4" w:space="0"/>
            </w:tcBorders>
          </w:tcPr>
          <w:p>
            <w:pPr>
              <w:autoSpaceDE w:val="0"/>
              <w:autoSpaceDN w:val="0"/>
              <w:adjustRightInd w:val="0"/>
              <w:jc w:val="left"/>
              <w:rPr>
                <w:rFonts w:ascii="宋体" w:hAnsi="宋体" w:cs="Arial"/>
                <w:sz w:val="24"/>
              </w:rPr>
            </w:pPr>
            <w:r>
              <w:rPr>
                <w:rFonts w:hint="eastAsia" w:ascii="宋体" w:hAnsi="宋体" w:cs="Arial"/>
                <w:sz w:val="24"/>
              </w:rPr>
              <w:t xml:space="preserve">          标段</w:t>
            </w:r>
          </w:p>
          <w:p>
            <w:pPr>
              <w:autoSpaceDE w:val="0"/>
              <w:autoSpaceDN w:val="0"/>
              <w:adjustRightInd w:val="0"/>
              <w:jc w:val="left"/>
              <w:rPr>
                <w:rFonts w:ascii="宋体" w:hAnsi="宋体" w:cs="Arial"/>
                <w:sz w:val="24"/>
              </w:rPr>
            </w:pPr>
            <w:r>
              <w:rPr>
                <w:rFonts w:hint="eastAsia" w:ascii="宋体" w:hAnsi="宋体" w:cs="Arial"/>
                <w:sz w:val="24"/>
              </w:rPr>
              <w:t>类别</w:t>
            </w:r>
          </w:p>
        </w:tc>
        <w:tc>
          <w:tcPr>
            <w:tcW w:w="1962" w:type="dxa"/>
            <w:vAlign w:val="center"/>
          </w:tcPr>
          <w:p>
            <w:pPr>
              <w:autoSpaceDE w:val="0"/>
              <w:autoSpaceDN w:val="0"/>
              <w:adjustRightInd w:val="0"/>
              <w:spacing w:line="480" w:lineRule="auto"/>
              <w:jc w:val="center"/>
              <w:rPr>
                <w:rFonts w:ascii="宋体" w:hAnsi="宋体" w:cs="Arial"/>
                <w:sz w:val="24"/>
              </w:rPr>
            </w:pPr>
            <w:r>
              <w:rPr>
                <w:rFonts w:ascii="宋体" w:hAnsi="宋体" w:cs="Arial"/>
                <w:sz w:val="24"/>
              </w:rPr>
              <w:t>一</w:t>
            </w:r>
          </w:p>
        </w:tc>
        <w:tc>
          <w:tcPr>
            <w:tcW w:w="1963" w:type="dxa"/>
            <w:vAlign w:val="center"/>
          </w:tcPr>
          <w:p>
            <w:pPr>
              <w:autoSpaceDE w:val="0"/>
              <w:autoSpaceDN w:val="0"/>
              <w:adjustRightInd w:val="0"/>
              <w:spacing w:line="480" w:lineRule="auto"/>
              <w:jc w:val="center"/>
              <w:rPr>
                <w:rFonts w:ascii="宋体" w:hAnsi="宋体" w:cs="Arial"/>
                <w:sz w:val="24"/>
              </w:rPr>
            </w:pPr>
            <w:r>
              <w:rPr>
                <w:rFonts w:ascii="宋体" w:hAnsi="宋体" w:cs="Arial"/>
                <w:sz w:val="24"/>
              </w:rPr>
              <w:t>二</w:t>
            </w:r>
          </w:p>
        </w:tc>
        <w:tc>
          <w:tcPr>
            <w:tcW w:w="1962" w:type="dxa"/>
            <w:vAlign w:val="center"/>
          </w:tcPr>
          <w:p>
            <w:pPr>
              <w:autoSpaceDE w:val="0"/>
              <w:autoSpaceDN w:val="0"/>
              <w:adjustRightInd w:val="0"/>
              <w:spacing w:line="480" w:lineRule="auto"/>
              <w:jc w:val="center"/>
              <w:rPr>
                <w:rFonts w:ascii="宋体" w:hAnsi="宋体" w:cs="Arial"/>
                <w:sz w:val="24"/>
              </w:rPr>
            </w:pPr>
            <w:r>
              <w:rPr>
                <w:rFonts w:ascii="宋体" w:hAnsi="宋体" w:cs="Arial"/>
                <w:sz w:val="24"/>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695" w:type="dxa"/>
            <w:vAlign w:val="center"/>
          </w:tcPr>
          <w:p>
            <w:pPr>
              <w:autoSpaceDE w:val="0"/>
              <w:autoSpaceDN w:val="0"/>
              <w:adjustRightInd w:val="0"/>
              <w:jc w:val="center"/>
              <w:rPr>
                <w:rFonts w:ascii="宋体" w:hAnsi="宋体" w:cs="Arial"/>
                <w:sz w:val="24"/>
              </w:rPr>
            </w:pPr>
            <w:r>
              <w:rPr>
                <w:rFonts w:ascii="宋体" w:hAnsi="宋体"/>
                <w:kern w:val="0"/>
                <w:sz w:val="24"/>
              </w:rPr>
              <w:t>技术资信标</w:t>
            </w:r>
          </w:p>
        </w:tc>
        <w:tc>
          <w:tcPr>
            <w:tcW w:w="1962" w:type="dxa"/>
            <w:vAlign w:val="center"/>
          </w:tcPr>
          <w:p>
            <w:pPr>
              <w:jc w:val="center"/>
            </w:pPr>
            <w:r>
              <w:rPr>
                <w:rFonts w:hint="eastAsia" w:ascii="宋体" w:hAnsi="宋体" w:cs="Arial"/>
                <w:sz w:val="24"/>
              </w:rPr>
              <w:t>5</w:t>
            </w:r>
            <w:r>
              <w:rPr>
                <w:rFonts w:ascii="宋体" w:hAnsi="宋体" w:cs="Arial"/>
                <w:sz w:val="24"/>
              </w:rPr>
              <w:t>0</w:t>
            </w:r>
          </w:p>
        </w:tc>
        <w:tc>
          <w:tcPr>
            <w:tcW w:w="1963" w:type="dxa"/>
            <w:vAlign w:val="center"/>
          </w:tcPr>
          <w:p>
            <w:pPr>
              <w:jc w:val="center"/>
            </w:pPr>
            <w:r>
              <w:rPr>
                <w:rFonts w:hint="eastAsia" w:ascii="宋体" w:hAnsi="宋体" w:cs="Arial"/>
                <w:sz w:val="24"/>
              </w:rPr>
              <w:t>5</w:t>
            </w:r>
            <w:r>
              <w:rPr>
                <w:rFonts w:ascii="宋体" w:hAnsi="宋体" w:cs="Arial"/>
                <w:sz w:val="24"/>
              </w:rPr>
              <w:t>0</w:t>
            </w:r>
          </w:p>
        </w:tc>
        <w:tc>
          <w:tcPr>
            <w:tcW w:w="1962" w:type="dxa"/>
            <w:vAlign w:val="center"/>
          </w:tcPr>
          <w:p>
            <w:pPr>
              <w:jc w:val="center"/>
            </w:pPr>
            <w:r>
              <w:rPr>
                <w:rFonts w:hint="eastAsia" w:ascii="宋体" w:hAnsi="宋体" w:cs="Arial"/>
                <w:sz w:val="24"/>
              </w:rPr>
              <w:t>5</w:t>
            </w:r>
            <w:r>
              <w:rPr>
                <w:rFonts w:ascii="宋体" w:hAnsi="宋体" w:cs="Arial"/>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695" w:type="dxa"/>
            <w:vAlign w:val="center"/>
          </w:tcPr>
          <w:p>
            <w:pPr>
              <w:autoSpaceDE w:val="0"/>
              <w:autoSpaceDN w:val="0"/>
              <w:adjustRightInd w:val="0"/>
              <w:jc w:val="center"/>
              <w:rPr>
                <w:rFonts w:ascii="宋体" w:hAnsi="宋体" w:cs="Arial"/>
                <w:sz w:val="24"/>
              </w:rPr>
            </w:pPr>
            <w:r>
              <w:rPr>
                <w:rFonts w:hint="eastAsia" w:ascii="宋体" w:hAnsi="宋体"/>
                <w:kern w:val="0"/>
                <w:sz w:val="24"/>
              </w:rPr>
              <w:t>商务标</w:t>
            </w:r>
          </w:p>
        </w:tc>
        <w:tc>
          <w:tcPr>
            <w:tcW w:w="1962" w:type="dxa"/>
            <w:vAlign w:val="center"/>
          </w:tcPr>
          <w:p>
            <w:pPr>
              <w:jc w:val="center"/>
            </w:pPr>
            <w:r>
              <w:rPr>
                <w:rFonts w:hint="eastAsia" w:ascii="宋体" w:hAnsi="宋体" w:cs="Arial"/>
                <w:sz w:val="24"/>
              </w:rPr>
              <w:t>5</w:t>
            </w:r>
            <w:r>
              <w:rPr>
                <w:rFonts w:ascii="宋体" w:hAnsi="宋体" w:cs="Arial"/>
                <w:sz w:val="24"/>
              </w:rPr>
              <w:t>0</w:t>
            </w:r>
          </w:p>
        </w:tc>
        <w:tc>
          <w:tcPr>
            <w:tcW w:w="1963" w:type="dxa"/>
            <w:vAlign w:val="center"/>
          </w:tcPr>
          <w:p>
            <w:pPr>
              <w:jc w:val="center"/>
            </w:pPr>
            <w:r>
              <w:rPr>
                <w:rFonts w:hint="eastAsia" w:ascii="宋体" w:hAnsi="宋体" w:cs="Arial"/>
                <w:sz w:val="24"/>
              </w:rPr>
              <w:t>5</w:t>
            </w:r>
            <w:r>
              <w:rPr>
                <w:rFonts w:ascii="宋体" w:hAnsi="宋体" w:cs="Arial"/>
                <w:sz w:val="24"/>
              </w:rPr>
              <w:t>0</w:t>
            </w:r>
          </w:p>
        </w:tc>
        <w:tc>
          <w:tcPr>
            <w:tcW w:w="1962" w:type="dxa"/>
            <w:vAlign w:val="center"/>
          </w:tcPr>
          <w:p>
            <w:pPr>
              <w:jc w:val="center"/>
            </w:pPr>
            <w:r>
              <w:rPr>
                <w:rFonts w:hint="eastAsia" w:ascii="宋体" w:hAnsi="宋体" w:cs="Arial"/>
                <w:sz w:val="24"/>
              </w:rPr>
              <w:t>5</w:t>
            </w:r>
            <w:r>
              <w:rPr>
                <w:rFonts w:ascii="宋体" w:hAnsi="宋体" w:cs="Arial"/>
                <w:sz w:val="24"/>
              </w:rPr>
              <w:t>0</w:t>
            </w:r>
          </w:p>
        </w:tc>
      </w:tr>
    </w:tbl>
    <w:p>
      <w:pPr>
        <w:spacing w:line="360" w:lineRule="auto"/>
        <w:ind w:firstLine="472" w:firstLineChars="197"/>
        <w:rPr>
          <w:rFonts w:ascii="宋体" w:hAnsi="宋体"/>
          <w:sz w:val="24"/>
        </w:rPr>
      </w:pPr>
      <w:r>
        <w:rPr>
          <w:rFonts w:hint="eastAsia" w:ascii="宋体" w:hAnsi="宋体"/>
          <w:bCs/>
          <w:sz w:val="24"/>
        </w:rPr>
        <w:t>各投标人的总得分＝技术资信标得分＋商务标得分。</w:t>
      </w:r>
    </w:p>
    <w:p>
      <w:pPr>
        <w:spacing w:before="120" w:beforeLines="50" w:after="120" w:afterLines="50" w:line="360" w:lineRule="auto"/>
        <w:ind w:firstLine="482" w:firstLineChars="200"/>
        <w:rPr>
          <w:rFonts w:ascii="宋体" w:hAnsi="宋体"/>
          <w:b/>
          <w:sz w:val="24"/>
        </w:rPr>
      </w:pPr>
      <w:r>
        <w:rPr>
          <w:rFonts w:hint="eastAsia" w:ascii="宋体" w:hAnsi="宋体"/>
          <w:b/>
          <w:sz w:val="24"/>
        </w:rPr>
        <w:t>二、评标内容及标准</w:t>
      </w:r>
    </w:p>
    <w:p>
      <w:pPr>
        <w:spacing w:before="120" w:beforeLines="50" w:after="120" w:afterLines="50" w:line="360" w:lineRule="auto"/>
        <w:ind w:firstLine="482" w:firstLineChars="200"/>
        <w:rPr>
          <w:rFonts w:ascii="宋体" w:hAnsi="宋体"/>
          <w:b/>
          <w:sz w:val="24"/>
        </w:rPr>
      </w:pPr>
      <w:r>
        <w:rPr>
          <w:rFonts w:hint="eastAsia" w:ascii="宋体" w:hAnsi="宋体"/>
          <w:b/>
          <w:sz w:val="24"/>
        </w:rPr>
        <w:t>（一）资格审查</w:t>
      </w:r>
    </w:p>
    <w:p>
      <w:pPr>
        <w:spacing w:before="120" w:beforeLines="50" w:after="120" w:afterLines="50" w:line="360" w:lineRule="auto"/>
        <w:ind w:firstLine="480" w:firstLineChars="200"/>
        <w:rPr>
          <w:rFonts w:ascii="宋体" w:hAnsi="宋体"/>
          <w:b/>
          <w:sz w:val="24"/>
        </w:rPr>
      </w:pPr>
      <w:r>
        <w:rPr>
          <w:rFonts w:hint="eastAsia"/>
          <w:sz w:val="24"/>
        </w:rPr>
        <w:t>评标委员会按照招标文件载明的投标人资格条件对投标人进行审查，凡不符合资格审查中合格条件要求的，以无效标处理，不再进入后续阶段评标。</w:t>
      </w:r>
    </w:p>
    <w:p>
      <w:pPr>
        <w:spacing w:line="360" w:lineRule="auto"/>
        <w:ind w:firstLine="482" w:firstLineChars="200"/>
        <w:rPr>
          <w:rFonts w:ascii="宋体" w:hAnsi="宋体"/>
          <w:bCs/>
          <w:spacing w:val="14"/>
          <w:sz w:val="24"/>
        </w:rPr>
      </w:pPr>
      <w:r>
        <w:rPr>
          <w:rFonts w:hint="eastAsia" w:ascii="宋体" w:hAnsi="宋体"/>
          <w:b/>
          <w:sz w:val="24"/>
        </w:rPr>
        <w:t>（二）技术资信标评审（</w:t>
      </w:r>
      <w:r>
        <w:rPr>
          <w:rFonts w:ascii="宋体" w:hAnsi="宋体"/>
          <w:b/>
          <w:sz w:val="24"/>
        </w:rPr>
        <w:t>50</w:t>
      </w:r>
      <w:r>
        <w:rPr>
          <w:rFonts w:hint="eastAsia" w:ascii="宋体" w:hAnsi="宋体"/>
          <w:b/>
          <w:sz w:val="24"/>
        </w:rPr>
        <w:t>分）</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评标委员会针对投标人技术资信标的技术部分、资信部分，按评分标准（见下表）中的内容进行单独评定打分（小数点后保留1位小数）。所有成员评分合计后，再取平均分作为该投标人的得分（小数点后保留2位，第3位四舍五入）。如对某项类别划档意见分歧较大的，可以记名投票方式确定（少数服从多数）。缺项内容记0分。各标段技术与资信评分具体分值细化条款如下表：</w:t>
      </w:r>
    </w:p>
    <w:p>
      <w:pPr>
        <w:tabs>
          <w:tab w:val="left" w:pos="8280"/>
        </w:tabs>
        <w:autoSpaceDE w:val="0"/>
        <w:autoSpaceDN w:val="0"/>
        <w:adjustRightInd w:val="0"/>
        <w:spacing w:line="360" w:lineRule="auto"/>
        <w:ind w:right="25"/>
        <w:rPr>
          <w:rFonts w:ascii="宋体" w:hAnsi="宋体" w:cs="仿宋"/>
          <w:b/>
          <w:bCs/>
          <w:sz w:val="24"/>
        </w:rPr>
      </w:pPr>
      <w:r>
        <w:rPr>
          <w:rFonts w:hint="eastAsia" w:ascii="宋体" w:hAnsi="宋体" w:cs="仿宋"/>
          <w:b/>
          <w:bCs/>
          <w:sz w:val="24"/>
        </w:rPr>
        <w:t>（1）标段一：</w:t>
      </w:r>
    </w:p>
    <w:p>
      <w:pPr>
        <w:tabs>
          <w:tab w:val="left" w:pos="8280"/>
        </w:tabs>
        <w:autoSpaceDE w:val="0"/>
        <w:autoSpaceDN w:val="0"/>
        <w:adjustRightInd w:val="0"/>
        <w:spacing w:line="360" w:lineRule="auto"/>
        <w:ind w:right="25"/>
        <w:rPr>
          <w:rFonts w:ascii="宋体" w:hAnsi="宋体" w:cs="仿宋"/>
          <w:b/>
          <w:bCs/>
          <w:sz w:val="24"/>
        </w:rPr>
      </w:pPr>
      <w:r>
        <w:rPr>
          <w:rFonts w:hint="eastAsia" w:ascii="宋体" w:hAnsi="宋体" w:cs="仿宋"/>
          <w:b/>
          <w:bCs/>
          <w:sz w:val="24"/>
        </w:rPr>
        <w:t>5.9米级纯电动无站立式城市客车（电机额定功率≥60KW）</w:t>
      </w:r>
    </w:p>
    <w:tbl>
      <w:tblPr>
        <w:tblStyle w:val="4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115"/>
        <w:gridCol w:w="5801"/>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1229" w:type="dxa"/>
            <w:vAlign w:val="center"/>
          </w:tcPr>
          <w:p>
            <w:pPr>
              <w:widowControl/>
              <w:jc w:val="center"/>
              <w:rPr>
                <w:rFonts w:ascii="宋体" w:hAnsi="宋体" w:cs="仿宋_GB2312"/>
                <w:b/>
                <w:sz w:val="22"/>
                <w:szCs w:val="22"/>
              </w:rPr>
            </w:pPr>
            <w:r>
              <w:rPr>
                <w:rFonts w:hint="eastAsia" w:ascii="宋体" w:hAnsi="宋体" w:cs="仿宋_GB2312"/>
                <w:b/>
                <w:sz w:val="22"/>
                <w:szCs w:val="22"/>
              </w:rPr>
              <w:t>打分项目</w:t>
            </w:r>
          </w:p>
        </w:tc>
        <w:tc>
          <w:tcPr>
            <w:tcW w:w="6916" w:type="dxa"/>
            <w:gridSpan w:val="2"/>
            <w:vAlign w:val="center"/>
          </w:tcPr>
          <w:p>
            <w:pPr>
              <w:widowControl/>
              <w:jc w:val="center"/>
              <w:rPr>
                <w:rFonts w:ascii="宋体" w:hAnsi="宋体" w:cs="仿宋_GB2312"/>
                <w:b/>
                <w:sz w:val="22"/>
                <w:szCs w:val="22"/>
              </w:rPr>
            </w:pPr>
            <w:r>
              <w:rPr>
                <w:rFonts w:hint="eastAsia" w:ascii="宋体" w:hAnsi="宋体" w:cs="仿宋_GB2312"/>
                <w:b/>
                <w:sz w:val="22"/>
                <w:szCs w:val="22"/>
              </w:rPr>
              <w:t>评分细则</w:t>
            </w:r>
          </w:p>
        </w:tc>
        <w:tc>
          <w:tcPr>
            <w:tcW w:w="839" w:type="dxa"/>
            <w:vAlign w:val="center"/>
          </w:tcPr>
          <w:p>
            <w:pPr>
              <w:widowControl/>
              <w:jc w:val="center"/>
              <w:rPr>
                <w:rFonts w:ascii="宋体" w:hAnsi="宋体" w:cs="仿宋_GB2312"/>
                <w:b/>
                <w:sz w:val="22"/>
                <w:szCs w:val="22"/>
              </w:rPr>
            </w:pPr>
            <w:r>
              <w:rPr>
                <w:rFonts w:hint="eastAsia" w:ascii="宋体" w:hAnsi="宋体" w:cs="仿宋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9" w:type="dxa"/>
            <w:vMerge w:val="restart"/>
            <w:vAlign w:val="center"/>
          </w:tcPr>
          <w:p>
            <w:pPr>
              <w:widowControl/>
              <w:ind w:left="220" w:hanging="220" w:hangingChars="100"/>
              <w:rPr>
                <w:rFonts w:ascii="宋体" w:hAnsi="宋体" w:cs="仿宋_GB2312"/>
                <w:sz w:val="22"/>
                <w:szCs w:val="22"/>
              </w:rPr>
            </w:pPr>
            <w:r>
              <w:rPr>
                <w:rFonts w:hint="eastAsia" w:ascii="宋体" w:hAnsi="宋体" w:cs="仿宋_GB2312"/>
                <w:sz w:val="22"/>
                <w:szCs w:val="22"/>
              </w:rPr>
              <w:t>技术性能3</w:t>
            </w:r>
            <w:r>
              <w:rPr>
                <w:rFonts w:ascii="宋体" w:hAnsi="宋体" w:cs="仿宋_GB2312"/>
                <w:sz w:val="22"/>
                <w:szCs w:val="22"/>
              </w:rPr>
              <w:t>4</w:t>
            </w:r>
            <w:r>
              <w:rPr>
                <w:rFonts w:hint="eastAsia" w:ascii="宋体" w:hAnsi="宋体" w:cs="仿宋_GB2312"/>
                <w:sz w:val="22"/>
                <w:szCs w:val="22"/>
              </w:rPr>
              <w:t>分</w:t>
            </w:r>
          </w:p>
        </w:tc>
        <w:tc>
          <w:tcPr>
            <w:tcW w:w="1115" w:type="dxa"/>
            <w:vAlign w:val="center"/>
          </w:tcPr>
          <w:p>
            <w:pPr>
              <w:jc w:val="center"/>
              <w:rPr>
                <w:rFonts w:ascii="宋体" w:hAnsi="宋体" w:cs="仿宋_GB2312"/>
                <w:sz w:val="22"/>
                <w:szCs w:val="22"/>
              </w:rPr>
            </w:pPr>
            <w:r>
              <w:rPr>
                <w:rFonts w:hint="eastAsia" w:ascii="宋体" w:hAnsi="宋体" w:cs="仿宋_GB2312"/>
                <w:sz w:val="22"/>
                <w:szCs w:val="22"/>
              </w:rPr>
              <w:t>各项技术要求的响应程度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投标文件中所投产品主要技术要求全部符合招标文件采购需求中产品各项技术要求的得25分。每有一项负偏离的扣5分，扣完为止。</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标▲项为实质性响应项，不满足则投标无效。</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jc w:val="center"/>
              <w:rPr>
                <w:rFonts w:ascii="宋体" w:hAnsi="宋体" w:cs="仿宋_GB2312"/>
                <w:sz w:val="22"/>
                <w:szCs w:val="22"/>
              </w:rPr>
            </w:pPr>
            <w:r>
              <w:rPr>
                <w:rFonts w:hint="eastAsia" w:ascii="宋体" w:hAnsi="宋体" w:cs="仿宋_GB2312"/>
                <w:sz w:val="22"/>
                <w:szCs w:val="22"/>
              </w:rPr>
              <w:t>主要技术参数评议</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产品整车车身采用阴极电泳工艺或铝合金车身得1分；采取机器人喷涂、激光切割、焊接工艺的得1分；其他不得分。（须提供本公司阴极电泳、机器人、激光切割设备采购合同并加盖投标人公章，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要求整车控制器、电池箱体、电机防护等级均达到IP67。1.每增加一项防护等级达到IP68的加0.5分；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2.每增加一项防护等级达到IP69或IP6K9K及以上的加1分；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3.上述两项不累计计分，就高加分；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4.此项满分3分，投标人须提供国家或第三方检测报告，不提供的不得分。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制动系统采用前后盘式制动的得0.5分，其他不得分。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w:t>
            </w:r>
            <w:r>
              <w:rPr>
                <w:rFonts w:ascii="宋体" w:hAnsi="宋体" w:cs="仿宋_GB2312"/>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采用空气悬架的得0.5分，其他不得分。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w:t>
            </w:r>
            <w:r>
              <w:rPr>
                <w:rFonts w:ascii="宋体" w:hAnsi="宋体" w:cs="仿宋_GB2312"/>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样车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专家综合考量投标人提供的评审样车公告与投标响应车型公告一致性及所投车型的外观时尚前卫、美观大方，适应现代城市，内饰安全舒适，人性化设计布局等方面进行综合打分（0-3分），无样车的不得分。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售后服务</w:t>
            </w:r>
          </w:p>
          <w:p>
            <w:pPr>
              <w:widowControl/>
              <w:jc w:val="center"/>
              <w:rPr>
                <w:rFonts w:ascii="宋体" w:hAnsi="宋体" w:cs="仿宋_GB2312"/>
                <w:sz w:val="22"/>
                <w:szCs w:val="22"/>
              </w:rPr>
            </w:pPr>
            <w:r>
              <w:rPr>
                <w:rFonts w:hint="eastAsia" w:ascii="宋体" w:hAnsi="宋体" w:cs="仿宋_GB2312"/>
                <w:sz w:val="22"/>
                <w:szCs w:val="22"/>
              </w:rPr>
              <w:t>1</w:t>
            </w:r>
            <w:r>
              <w:rPr>
                <w:rFonts w:ascii="宋体" w:hAnsi="宋体" w:cs="仿宋_GB2312"/>
                <w:sz w:val="22"/>
                <w:szCs w:val="22"/>
              </w:rPr>
              <w:t>5</w:t>
            </w:r>
            <w:r>
              <w:rPr>
                <w:rFonts w:hint="eastAsia" w:ascii="宋体" w:hAnsi="宋体" w:cs="仿宋_GB2312"/>
                <w:sz w:val="22"/>
                <w:szCs w:val="22"/>
              </w:rPr>
              <w:t>分</w:t>
            </w: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售后服务站</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投标人已经或者承诺在中标后一个月内在采购方修理厂设立厂方驻点维修或特约维修服务站的，得1分；其他不得分。（投标人须提供特约维修服务站协议或加盖公章的承诺书，不提供的不得分）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质保服务</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整车质保增加转向系统、传动系统、制动系统、整桥等包含易损件的质保承诺的，每增加一项得2分，满分8分，未按要求承诺的不得分。（投标人须在投标文件中做出承诺，承诺书格式自拟，不提供的不得分）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整车包括转向系统、传动系统、制动系统、整桥等（含易损件）质保4年的基础上，增加质保期1年加0.5分，增加质保期2年的加1分，增加质保期3年的加2分，增加质保期4年的加</w:t>
            </w:r>
            <w:r>
              <w:rPr>
                <w:rFonts w:ascii="宋体" w:hAnsi="宋体" w:cs="仿宋_GB2312"/>
                <w:sz w:val="22"/>
                <w:szCs w:val="22"/>
              </w:rPr>
              <w:t>4</w:t>
            </w:r>
            <w:r>
              <w:rPr>
                <w:rFonts w:hint="eastAsia" w:ascii="宋体" w:hAnsi="宋体" w:cs="仿宋_GB2312"/>
                <w:sz w:val="22"/>
                <w:szCs w:val="22"/>
              </w:rPr>
              <w:t>分，每缺少一项质保内容相应质保期得分减1分，未按要求承诺的不得分，本项最高得</w:t>
            </w:r>
            <w:r>
              <w:rPr>
                <w:rFonts w:ascii="宋体" w:hAnsi="宋体" w:cs="仿宋_GB2312"/>
                <w:sz w:val="22"/>
                <w:szCs w:val="22"/>
              </w:rPr>
              <w:t>4</w:t>
            </w:r>
            <w:r>
              <w:rPr>
                <w:rFonts w:hint="eastAsia" w:ascii="宋体" w:hAnsi="宋体" w:cs="仿宋_GB2312"/>
                <w:sz w:val="22"/>
                <w:szCs w:val="22"/>
              </w:rPr>
              <w:t>分，最低0分。（投标人须在投标文件中做出承诺并加盖公章，承诺书格式自拟，不提供的不得分）</w:t>
            </w:r>
          </w:p>
        </w:tc>
        <w:tc>
          <w:tcPr>
            <w:tcW w:w="839" w:type="dxa"/>
            <w:vAlign w:val="center"/>
          </w:tcPr>
          <w:p>
            <w:pPr>
              <w:jc w:val="center"/>
              <w:rPr>
                <w:rFonts w:ascii="宋体" w:hAnsi="宋体" w:cs="仿宋_GB2312"/>
                <w:sz w:val="22"/>
                <w:szCs w:val="22"/>
              </w:rPr>
            </w:pPr>
            <w:r>
              <w:rPr>
                <w:rFonts w:ascii="宋体" w:hAnsi="宋体" w:cs="仿宋_GB2312"/>
                <w:sz w:val="22"/>
                <w:szCs w:val="22"/>
              </w:rPr>
              <w:t>4</w:t>
            </w:r>
            <w:r>
              <w:rPr>
                <w:rFonts w:hint="eastAsia" w:ascii="宋体" w:hAnsi="宋体"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售后服务兑现或承诺</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在类似公交车采购项目中采购人评价售后服务和履约情况良好的（提供各采购方的良好履约评价）得2分，在本项目采购人历年采购中存在履约评价不合格或售后服务差的本项不得分。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29" w:type="dxa"/>
            <w:vAlign w:val="center"/>
          </w:tcPr>
          <w:p>
            <w:pPr>
              <w:widowControl/>
              <w:jc w:val="center"/>
              <w:rPr>
                <w:rFonts w:ascii="宋体" w:hAnsi="宋体" w:cs="仿宋_GB2312"/>
                <w:sz w:val="22"/>
                <w:szCs w:val="22"/>
              </w:rPr>
            </w:pPr>
            <w:r>
              <w:rPr>
                <w:rFonts w:hint="eastAsia" w:ascii="宋体" w:hAnsi="宋体" w:cs="仿宋_GB2312"/>
                <w:sz w:val="22"/>
                <w:szCs w:val="22"/>
              </w:rPr>
              <w:t>对采购文件响应程度1分</w:t>
            </w:r>
          </w:p>
        </w:tc>
        <w:tc>
          <w:tcPr>
            <w:tcW w:w="6916" w:type="dxa"/>
            <w:gridSpan w:val="2"/>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投标文件内容完整无缺漏、无重复，文字及图片清晰得 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投标文件内容存在缺漏、重复，文字及图片不清晰，以上情况存在≤5处得 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bl>
    <w:p>
      <w:pPr>
        <w:tabs>
          <w:tab w:val="left" w:pos="8280"/>
        </w:tabs>
        <w:autoSpaceDE w:val="0"/>
        <w:autoSpaceDN w:val="0"/>
        <w:adjustRightInd w:val="0"/>
        <w:spacing w:line="360" w:lineRule="auto"/>
        <w:ind w:right="25"/>
        <w:rPr>
          <w:rFonts w:ascii="宋体" w:hAnsi="宋体"/>
        </w:rPr>
      </w:pPr>
      <w:r>
        <w:rPr>
          <w:rFonts w:hint="eastAsia" w:ascii="宋体" w:hAnsi="宋体" w:cs="仿宋"/>
          <w:b/>
          <w:bCs/>
          <w:sz w:val="24"/>
        </w:rPr>
        <w:t>（</w:t>
      </w:r>
      <w:r>
        <w:rPr>
          <w:rFonts w:ascii="宋体" w:hAnsi="宋体" w:cs="仿宋"/>
          <w:b/>
          <w:bCs/>
          <w:sz w:val="24"/>
        </w:rPr>
        <w:t>2</w:t>
      </w:r>
      <w:r>
        <w:rPr>
          <w:rFonts w:hint="eastAsia" w:ascii="宋体" w:hAnsi="宋体" w:cs="仿宋"/>
          <w:b/>
          <w:bCs/>
          <w:sz w:val="24"/>
        </w:rPr>
        <w:t>）标段二：</w:t>
      </w:r>
    </w:p>
    <w:p>
      <w:pPr>
        <w:tabs>
          <w:tab w:val="left" w:pos="8280"/>
        </w:tabs>
        <w:autoSpaceDE w:val="0"/>
        <w:autoSpaceDN w:val="0"/>
        <w:adjustRightInd w:val="0"/>
        <w:spacing w:line="360" w:lineRule="auto"/>
        <w:ind w:right="25" w:firstLine="482" w:firstLineChars="200"/>
        <w:rPr>
          <w:rFonts w:ascii="宋体" w:hAnsi="宋体" w:cs="仿宋"/>
          <w:b/>
          <w:bCs/>
          <w:sz w:val="24"/>
        </w:rPr>
      </w:pPr>
      <w:r>
        <w:rPr>
          <w:rFonts w:hint="eastAsia" w:ascii="宋体" w:hAnsi="宋体" w:cs="仿宋"/>
          <w:b/>
          <w:bCs/>
          <w:sz w:val="24"/>
        </w:rPr>
        <w:t>5.9米级纯电动无站立式城市客车（电机额定功率≥80KW）</w:t>
      </w:r>
    </w:p>
    <w:tbl>
      <w:tblPr>
        <w:tblStyle w:val="4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115"/>
        <w:gridCol w:w="5801"/>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1229" w:type="dxa"/>
            <w:vAlign w:val="center"/>
          </w:tcPr>
          <w:p>
            <w:pPr>
              <w:widowControl/>
              <w:jc w:val="center"/>
              <w:rPr>
                <w:rFonts w:ascii="宋体" w:hAnsi="宋体" w:cs="仿宋_GB2312"/>
                <w:b/>
                <w:sz w:val="22"/>
                <w:szCs w:val="22"/>
              </w:rPr>
            </w:pPr>
            <w:r>
              <w:rPr>
                <w:rFonts w:hint="eastAsia" w:ascii="宋体" w:hAnsi="宋体" w:cs="仿宋_GB2312"/>
                <w:b/>
                <w:sz w:val="22"/>
                <w:szCs w:val="22"/>
              </w:rPr>
              <w:t>打分项目</w:t>
            </w:r>
          </w:p>
        </w:tc>
        <w:tc>
          <w:tcPr>
            <w:tcW w:w="6916" w:type="dxa"/>
            <w:gridSpan w:val="2"/>
            <w:vAlign w:val="center"/>
          </w:tcPr>
          <w:p>
            <w:pPr>
              <w:widowControl/>
              <w:jc w:val="center"/>
              <w:rPr>
                <w:rFonts w:ascii="宋体" w:hAnsi="宋体" w:cs="仿宋_GB2312"/>
                <w:b/>
                <w:sz w:val="22"/>
                <w:szCs w:val="22"/>
              </w:rPr>
            </w:pPr>
            <w:r>
              <w:rPr>
                <w:rFonts w:hint="eastAsia" w:ascii="宋体" w:hAnsi="宋体" w:cs="仿宋_GB2312"/>
                <w:b/>
                <w:sz w:val="22"/>
                <w:szCs w:val="22"/>
              </w:rPr>
              <w:t>评分细则</w:t>
            </w:r>
          </w:p>
        </w:tc>
        <w:tc>
          <w:tcPr>
            <w:tcW w:w="839" w:type="dxa"/>
            <w:vAlign w:val="center"/>
          </w:tcPr>
          <w:p>
            <w:pPr>
              <w:widowControl/>
              <w:jc w:val="center"/>
              <w:rPr>
                <w:rFonts w:ascii="宋体" w:hAnsi="宋体" w:cs="仿宋_GB2312"/>
                <w:b/>
                <w:sz w:val="22"/>
                <w:szCs w:val="22"/>
              </w:rPr>
            </w:pPr>
            <w:r>
              <w:rPr>
                <w:rFonts w:hint="eastAsia" w:ascii="宋体" w:hAnsi="宋体" w:cs="仿宋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9" w:type="dxa"/>
            <w:vMerge w:val="restart"/>
            <w:vAlign w:val="center"/>
          </w:tcPr>
          <w:p>
            <w:pPr>
              <w:widowControl/>
              <w:ind w:left="220" w:hanging="220" w:hangingChars="100"/>
              <w:rPr>
                <w:rFonts w:ascii="宋体" w:hAnsi="宋体" w:cs="仿宋_GB2312"/>
                <w:sz w:val="22"/>
                <w:szCs w:val="22"/>
              </w:rPr>
            </w:pPr>
            <w:r>
              <w:rPr>
                <w:rFonts w:hint="eastAsia" w:ascii="宋体" w:hAnsi="宋体" w:cs="仿宋_GB2312"/>
                <w:sz w:val="22"/>
                <w:szCs w:val="22"/>
              </w:rPr>
              <w:t>技术性能3</w:t>
            </w:r>
            <w:r>
              <w:rPr>
                <w:rFonts w:ascii="宋体" w:hAnsi="宋体" w:cs="仿宋_GB2312"/>
                <w:sz w:val="22"/>
                <w:szCs w:val="22"/>
              </w:rPr>
              <w:t>4</w:t>
            </w:r>
            <w:r>
              <w:rPr>
                <w:rFonts w:hint="eastAsia" w:ascii="宋体" w:hAnsi="宋体" w:cs="仿宋_GB2312"/>
                <w:sz w:val="22"/>
                <w:szCs w:val="22"/>
              </w:rPr>
              <w:t>分</w:t>
            </w:r>
          </w:p>
        </w:tc>
        <w:tc>
          <w:tcPr>
            <w:tcW w:w="1115" w:type="dxa"/>
            <w:vAlign w:val="center"/>
          </w:tcPr>
          <w:p>
            <w:pPr>
              <w:jc w:val="center"/>
              <w:rPr>
                <w:rFonts w:ascii="宋体" w:hAnsi="宋体" w:cs="仿宋_GB2312"/>
                <w:sz w:val="22"/>
                <w:szCs w:val="22"/>
              </w:rPr>
            </w:pPr>
            <w:r>
              <w:rPr>
                <w:rFonts w:hint="eastAsia" w:ascii="宋体" w:hAnsi="宋体" w:cs="仿宋_GB2312"/>
                <w:sz w:val="22"/>
                <w:szCs w:val="22"/>
              </w:rPr>
              <w:t>各项技术要求的响应程度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投标文件中所投产品主要技术要求全部符合招标文件采购需求中产品各项技术要求的得25分。每有一项负偏离的扣</w:t>
            </w:r>
            <w:r>
              <w:rPr>
                <w:rFonts w:ascii="宋体" w:hAnsi="宋体" w:cs="仿宋_GB2312"/>
                <w:sz w:val="22"/>
                <w:szCs w:val="22"/>
              </w:rPr>
              <w:t>5</w:t>
            </w:r>
            <w:r>
              <w:rPr>
                <w:rFonts w:hint="eastAsia" w:ascii="宋体" w:hAnsi="宋体" w:cs="仿宋_GB2312"/>
                <w:sz w:val="22"/>
                <w:szCs w:val="22"/>
              </w:rPr>
              <w:t>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标▲项为实质性响应项，不满足则投标无效。</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jc w:val="center"/>
              <w:rPr>
                <w:rFonts w:ascii="宋体" w:hAnsi="宋体" w:cs="仿宋_GB2312"/>
                <w:sz w:val="22"/>
                <w:szCs w:val="22"/>
              </w:rPr>
            </w:pPr>
            <w:r>
              <w:rPr>
                <w:rFonts w:hint="eastAsia" w:ascii="宋体" w:hAnsi="宋体" w:cs="仿宋_GB2312"/>
                <w:sz w:val="22"/>
                <w:szCs w:val="22"/>
              </w:rPr>
              <w:t>主要技术参数评议</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产品整车车身采用阴极电泳工艺或铝合金车身得1分；采取机器人喷涂、激光切割工艺的得1分、焊接工艺的得1分；其他不得分。（须提供本公司阴极电泳、机器人、激光切割设备采购合同并加盖投标人公章，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要求整车控制器、电池箱体、电机防护等级均达到IP67。1.每增加一项防护等级达到IP68的加0.5分；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2.每增加一项防护等级达到IP69或IP6K9K及以上的加1分；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3.上述两项不累计计分，就高加分；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4.此项满分3分，投标人须提供国家或第三方检测报告，不提供的不得分。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制动系统采用前后盘式制动的得0.5分，其他不得分。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采用空气悬架的得0.5分，其他不得分。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样车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专家综合考量投标人提供的评审样车公告与投标响应车型公告一致性及所投车型的外观时尚前卫、美观大方，适应现代城市，内饰安全舒适，人性化设计布局等方面进行综合打分（0-3分）。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售后服务</w:t>
            </w:r>
          </w:p>
          <w:p>
            <w:pPr>
              <w:widowControl/>
              <w:jc w:val="center"/>
              <w:rPr>
                <w:rFonts w:ascii="宋体" w:hAnsi="宋体" w:cs="仿宋_GB2312"/>
                <w:sz w:val="22"/>
                <w:szCs w:val="22"/>
              </w:rPr>
            </w:pPr>
            <w:r>
              <w:rPr>
                <w:rFonts w:hint="eastAsia" w:ascii="宋体" w:hAnsi="宋体" w:cs="仿宋_GB2312"/>
                <w:sz w:val="22"/>
                <w:szCs w:val="22"/>
              </w:rPr>
              <w:t>1</w:t>
            </w:r>
            <w:r>
              <w:rPr>
                <w:rFonts w:ascii="宋体" w:hAnsi="宋体" w:cs="仿宋_GB2312"/>
                <w:sz w:val="22"/>
                <w:szCs w:val="22"/>
              </w:rPr>
              <w:t>5</w:t>
            </w:r>
            <w:r>
              <w:rPr>
                <w:rFonts w:hint="eastAsia" w:ascii="宋体" w:hAnsi="宋体" w:cs="仿宋_GB2312"/>
                <w:sz w:val="22"/>
                <w:szCs w:val="22"/>
              </w:rPr>
              <w:t>分</w:t>
            </w: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售后服务站</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投标人已经或者承诺在中标后一个月内在采购方修理厂设立厂方驻点维修或特约维修服务站的，得1分；其他不得分。（投标人须提供特约维修服务站协议或加盖公章的承诺书，不提供的不得分）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质保服务</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整车质保增加转向系统、传动系统、制动系统、整桥等包含易损件的质保承诺的，每增加一项得2分，满分8分，未按要求承诺的不得分。（投标人须在投标文件中做出承诺，承诺书格式自拟，不提供的不得分）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整车包括转向系统、传动系统、制动系统、整桥等（含易损件）质保4年的基础上，增加质保期1年加0.5分，增加质保期2年的加1分，增加质保期3年的加2分，增加质保期4年的加</w:t>
            </w:r>
            <w:r>
              <w:rPr>
                <w:rFonts w:ascii="宋体" w:hAnsi="宋体" w:cs="仿宋_GB2312"/>
                <w:sz w:val="22"/>
                <w:szCs w:val="22"/>
              </w:rPr>
              <w:t>4</w:t>
            </w:r>
            <w:r>
              <w:rPr>
                <w:rFonts w:hint="eastAsia" w:ascii="宋体" w:hAnsi="宋体" w:cs="仿宋_GB2312"/>
                <w:sz w:val="22"/>
                <w:szCs w:val="22"/>
              </w:rPr>
              <w:t>分，每缺少一项质保内容相应质保期得分减1分，未按要求承诺的不得分，本项最高得</w:t>
            </w:r>
            <w:r>
              <w:rPr>
                <w:rFonts w:ascii="宋体" w:hAnsi="宋体" w:cs="仿宋_GB2312"/>
                <w:sz w:val="22"/>
                <w:szCs w:val="22"/>
              </w:rPr>
              <w:t>4</w:t>
            </w:r>
            <w:r>
              <w:rPr>
                <w:rFonts w:hint="eastAsia" w:ascii="宋体" w:hAnsi="宋体" w:cs="仿宋_GB2312"/>
                <w:sz w:val="22"/>
                <w:szCs w:val="22"/>
              </w:rPr>
              <w:t>分，最低0分。（投标人须在投标文件中做出承诺并加盖公章，承诺书格式自拟，不提供的不得分）</w:t>
            </w:r>
          </w:p>
        </w:tc>
        <w:tc>
          <w:tcPr>
            <w:tcW w:w="839" w:type="dxa"/>
            <w:vAlign w:val="center"/>
          </w:tcPr>
          <w:p>
            <w:pPr>
              <w:jc w:val="center"/>
              <w:rPr>
                <w:rFonts w:ascii="宋体" w:hAnsi="宋体" w:cs="仿宋_GB2312"/>
                <w:sz w:val="22"/>
                <w:szCs w:val="22"/>
              </w:rPr>
            </w:pPr>
            <w:r>
              <w:rPr>
                <w:rFonts w:ascii="宋体" w:hAnsi="宋体" w:cs="仿宋_GB2312"/>
                <w:sz w:val="22"/>
                <w:szCs w:val="22"/>
              </w:rPr>
              <w:t>4</w:t>
            </w:r>
            <w:r>
              <w:rPr>
                <w:rFonts w:hint="eastAsia" w:ascii="宋体" w:hAnsi="宋体"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售后服务兑现或承诺</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在类似公交车采购项目中采购人评价售后服务和履约情况良好的（提供各采购方的良好履约评价）得2分，在本项目采购人历年采购中存在履约评价不合格或售后服务差的本项不得分。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29" w:type="dxa"/>
            <w:vAlign w:val="center"/>
          </w:tcPr>
          <w:p>
            <w:pPr>
              <w:widowControl/>
              <w:jc w:val="center"/>
              <w:rPr>
                <w:rFonts w:ascii="宋体" w:hAnsi="宋体" w:cs="仿宋_GB2312"/>
                <w:sz w:val="22"/>
                <w:szCs w:val="22"/>
              </w:rPr>
            </w:pPr>
            <w:r>
              <w:rPr>
                <w:rFonts w:hint="eastAsia" w:ascii="宋体" w:hAnsi="宋体" w:cs="仿宋_GB2312"/>
                <w:sz w:val="22"/>
                <w:szCs w:val="22"/>
              </w:rPr>
              <w:t>对采购文件响应程度1分</w:t>
            </w:r>
          </w:p>
        </w:tc>
        <w:tc>
          <w:tcPr>
            <w:tcW w:w="6916" w:type="dxa"/>
            <w:gridSpan w:val="2"/>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投标文件内容完整无缺漏、无重复，文字及图片清晰得 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投标文件内容存在缺漏、重复，文字及图片不清晰，以上情况存在≤5处得 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bl>
    <w:p>
      <w:pPr>
        <w:tabs>
          <w:tab w:val="left" w:pos="8280"/>
        </w:tabs>
        <w:autoSpaceDE w:val="0"/>
        <w:autoSpaceDN w:val="0"/>
        <w:adjustRightInd w:val="0"/>
        <w:spacing w:line="360" w:lineRule="auto"/>
        <w:ind w:right="25"/>
        <w:rPr>
          <w:rFonts w:ascii="宋体" w:hAnsi="宋体"/>
        </w:rPr>
      </w:pPr>
      <w:r>
        <w:rPr>
          <w:rFonts w:hint="eastAsia" w:ascii="宋体" w:hAnsi="宋体" w:cs="仿宋"/>
          <w:b/>
          <w:bCs/>
          <w:sz w:val="24"/>
        </w:rPr>
        <w:t>（</w:t>
      </w:r>
      <w:r>
        <w:rPr>
          <w:rFonts w:ascii="宋体" w:hAnsi="宋体" w:cs="仿宋"/>
          <w:b/>
          <w:bCs/>
          <w:sz w:val="24"/>
        </w:rPr>
        <w:t>3</w:t>
      </w:r>
      <w:r>
        <w:rPr>
          <w:rFonts w:hint="eastAsia" w:ascii="宋体" w:hAnsi="宋体" w:cs="仿宋"/>
          <w:b/>
          <w:bCs/>
          <w:sz w:val="24"/>
        </w:rPr>
        <w:t>）标段三：</w:t>
      </w:r>
    </w:p>
    <w:p>
      <w:pPr>
        <w:tabs>
          <w:tab w:val="left" w:pos="8280"/>
        </w:tabs>
        <w:autoSpaceDE w:val="0"/>
        <w:autoSpaceDN w:val="0"/>
        <w:adjustRightInd w:val="0"/>
        <w:spacing w:line="360" w:lineRule="auto"/>
        <w:ind w:right="25" w:firstLine="482" w:firstLineChars="200"/>
        <w:rPr>
          <w:rFonts w:ascii="宋体" w:hAnsi="宋体" w:cs="仿宋"/>
          <w:b/>
          <w:bCs/>
          <w:sz w:val="24"/>
        </w:rPr>
      </w:pPr>
      <w:r>
        <w:rPr>
          <w:rFonts w:hint="eastAsia" w:ascii="宋体" w:hAnsi="宋体" w:cs="仿宋"/>
          <w:b/>
          <w:bCs/>
          <w:sz w:val="24"/>
        </w:rPr>
        <w:t>5.9米级纯电动城市客车（微公交）</w:t>
      </w:r>
    </w:p>
    <w:tbl>
      <w:tblPr>
        <w:tblStyle w:val="4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115"/>
        <w:gridCol w:w="5801"/>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1229" w:type="dxa"/>
            <w:vAlign w:val="center"/>
          </w:tcPr>
          <w:p>
            <w:pPr>
              <w:widowControl/>
              <w:jc w:val="center"/>
              <w:rPr>
                <w:rFonts w:ascii="宋体" w:hAnsi="宋体" w:cs="仿宋_GB2312"/>
                <w:b/>
                <w:sz w:val="22"/>
                <w:szCs w:val="22"/>
              </w:rPr>
            </w:pPr>
            <w:r>
              <w:rPr>
                <w:rFonts w:hint="eastAsia" w:ascii="宋体" w:hAnsi="宋体" w:cs="仿宋_GB2312"/>
                <w:b/>
                <w:sz w:val="22"/>
                <w:szCs w:val="22"/>
              </w:rPr>
              <w:t>打分项目</w:t>
            </w:r>
          </w:p>
        </w:tc>
        <w:tc>
          <w:tcPr>
            <w:tcW w:w="6916" w:type="dxa"/>
            <w:gridSpan w:val="2"/>
            <w:vAlign w:val="center"/>
          </w:tcPr>
          <w:p>
            <w:pPr>
              <w:widowControl/>
              <w:jc w:val="center"/>
              <w:rPr>
                <w:rFonts w:ascii="宋体" w:hAnsi="宋体" w:cs="仿宋_GB2312"/>
                <w:b/>
                <w:sz w:val="22"/>
                <w:szCs w:val="22"/>
              </w:rPr>
            </w:pPr>
            <w:r>
              <w:rPr>
                <w:rFonts w:hint="eastAsia" w:ascii="宋体" w:hAnsi="宋体" w:cs="仿宋_GB2312"/>
                <w:b/>
                <w:sz w:val="22"/>
                <w:szCs w:val="22"/>
              </w:rPr>
              <w:t>评分细则</w:t>
            </w:r>
          </w:p>
        </w:tc>
        <w:tc>
          <w:tcPr>
            <w:tcW w:w="839" w:type="dxa"/>
            <w:vAlign w:val="center"/>
          </w:tcPr>
          <w:p>
            <w:pPr>
              <w:widowControl/>
              <w:jc w:val="center"/>
              <w:rPr>
                <w:rFonts w:ascii="宋体" w:hAnsi="宋体" w:cs="仿宋_GB2312"/>
                <w:b/>
                <w:sz w:val="22"/>
                <w:szCs w:val="22"/>
              </w:rPr>
            </w:pPr>
            <w:r>
              <w:rPr>
                <w:rFonts w:hint="eastAsia" w:ascii="宋体" w:hAnsi="宋体" w:cs="仿宋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29" w:type="dxa"/>
            <w:vMerge w:val="restart"/>
            <w:vAlign w:val="center"/>
          </w:tcPr>
          <w:p>
            <w:pPr>
              <w:widowControl/>
              <w:ind w:left="220" w:hanging="220" w:hangingChars="100"/>
              <w:rPr>
                <w:rFonts w:ascii="宋体" w:hAnsi="宋体" w:cs="仿宋_GB2312"/>
                <w:sz w:val="22"/>
                <w:szCs w:val="22"/>
              </w:rPr>
            </w:pPr>
            <w:r>
              <w:rPr>
                <w:rFonts w:hint="eastAsia" w:ascii="宋体" w:hAnsi="宋体" w:cs="仿宋_GB2312"/>
                <w:sz w:val="22"/>
                <w:szCs w:val="22"/>
              </w:rPr>
              <w:t>技术性能3</w:t>
            </w:r>
            <w:r>
              <w:rPr>
                <w:rFonts w:ascii="宋体" w:hAnsi="宋体" w:cs="仿宋_GB2312"/>
                <w:sz w:val="22"/>
                <w:szCs w:val="22"/>
              </w:rPr>
              <w:t>4</w:t>
            </w:r>
            <w:r>
              <w:rPr>
                <w:rFonts w:hint="eastAsia" w:ascii="宋体" w:hAnsi="宋体" w:cs="仿宋_GB2312"/>
                <w:sz w:val="22"/>
                <w:szCs w:val="22"/>
              </w:rPr>
              <w:t>分</w:t>
            </w:r>
          </w:p>
        </w:tc>
        <w:tc>
          <w:tcPr>
            <w:tcW w:w="1115" w:type="dxa"/>
            <w:vAlign w:val="center"/>
          </w:tcPr>
          <w:p>
            <w:pPr>
              <w:jc w:val="center"/>
              <w:rPr>
                <w:rFonts w:ascii="宋体" w:hAnsi="宋体" w:cs="仿宋_GB2312"/>
                <w:sz w:val="22"/>
                <w:szCs w:val="22"/>
              </w:rPr>
            </w:pPr>
            <w:r>
              <w:rPr>
                <w:rFonts w:hint="eastAsia" w:ascii="宋体" w:hAnsi="宋体" w:cs="仿宋_GB2312"/>
                <w:sz w:val="22"/>
                <w:szCs w:val="22"/>
              </w:rPr>
              <w:t>各项技术要求的响应程度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投标文件中所投产品主要技术要求全部符合招标文件采购需求中产品各项技术要求的得22分。每有一项负偏离的扣5分。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标▲项为实质性响应项，不满足则投标无效。</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jc w:val="center"/>
              <w:rPr>
                <w:rFonts w:ascii="宋体" w:hAnsi="宋体" w:cs="仿宋_GB2312"/>
                <w:sz w:val="22"/>
                <w:szCs w:val="22"/>
              </w:rPr>
            </w:pPr>
            <w:r>
              <w:rPr>
                <w:rFonts w:hint="eastAsia" w:ascii="宋体" w:hAnsi="宋体" w:cs="仿宋_GB2312"/>
                <w:sz w:val="22"/>
                <w:szCs w:val="22"/>
              </w:rPr>
              <w:t>主要技术参数评议</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产品整车车身采用阴极电泳工艺或铝合金车身得1分；采取机器人喷涂、激光切割、焊接工艺的得1分；其他不得分。（须提供本公司阴极电泳、机器人、激光切割设备采购合同并加盖投标人公章，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基础电量达到89kwh,电量每增加满10kwh加1分，满分2分。</w:t>
            </w:r>
          </w:p>
        </w:tc>
        <w:tc>
          <w:tcPr>
            <w:tcW w:w="839" w:type="dxa"/>
            <w:vAlign w:val="center"/>
          </w:tcPr>
          <w:p>
            <w:pPr>
              <w:widowControl/>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采用气压制动的得1分，其他不得分。</w:t>
            </w:r>
          </w:p>
        </w:tc>
        <w:tc>
          <w:tcPr>
            <w:tcW w:w="839" w:type="dxa"/>
            <w:vAlign w:val="center"/>
          </w:tcPr>
          <w:p>
            <w:pPr>
              <w:widowControl/>
              <w:jc w:val="center"/>
              <w:rPr>
                <w:rFonts w:ascii="宋体" w:hAnsi="宋体" w:cs="仿宋_GB2312"/>
                <w:sz w:val="22"/>
                <w:szCs w:val="22"/>
              </w:rPr>
            </w:pPr>
            <w:r>
              <w:rPr>
                <w:rFonts w:hint="eastAsia" w:ascii="宋体" w:hAnsi="宋体" w:cs="仿宋_GB2312"/>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要求整车控制器、电池箱体、电机防护等级均达到IP67。1.每增加一项防护等级达到IP68的加0.5分；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2.每增加一项防护等级达到IP69或IP6K9K及以上的加1分；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3.上述两项不累计计分，就高加分；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4.此项满分3分，投标人须提供国家或第三方检测报告，不提供的不得分。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制动系统采用前后盘式制动的得0.5分，其他不得分。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w:t>
            </w:r>
            <w:r>
              <w:rPr>
                <w:rFonts w:ascii="宋体" w:hAnsi="宋体" w:cs="仿宋_GB2312"/>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采用空气悬架的得0.5分，其他不得分。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0</w:t>
            </w:r>
            <w:r>
              <w:rPr>
                <w:rFonts w:ascii="宋体" w:hAnsi="宋体" w:cs="仿宋_GB2312"/>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样车</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专家综合考量投标人提供的评审样车公告与投标响应车型公告一致性及所投车型的外观时尚前卫、美观大方，适应现代城市，内饰安全舒适，人性化设计布局等方面进行综合打分（0-3分）。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售后服务</w:t>
            </w:r>
          </w:p>
          <w:p>
            <w:pPr>
              <w:widowControl/>
              <w:jc w:val="center"/>
              <w:rPr>
                <w:rFonts w:ascii="宋体" w:hAnsi="宋体" w:cs="仿宋_GB2312"/>
                <w:sz w:val="22"/>
                <w:szCs w:val="22"/>
              </w:rPr>
            </w:pPr>
            <w:r>
              <w:rPr>
                <w:rFonts w:hint="eastAsia" w:ascii="宋体" w:hAnsi="宋体" w:cs="仿宋_GB2312"/>
                <w:sz w:val="22"/>
                <w:szCs w:val="22"/>
              </w:rPr>
              <w:t>1</w:t>
            </w:r>
            <w:r>
              <w:rPr>
                <w:rFonts w:ascii="宋体" w:hAnsi="宋体" w:cs="仿宋_GB2312"/>
                <w:sz w:val="22"/>
                <w:szCs w:val="22"/>
              </w:rPr>
              <w:t>5</w:t>
            </w:r>
            <w:r>
              <w:rPr>
                <w:rFonts w:hint="eastAsia" w:ascii="宋体" w:hAnsi="宋体" w:cs="仿宋_GB2312"/>
                <w:sz w:val="22"/>
                <w:szCs w:val="22"/>
              </w:rPr>
              <w:t>分</w:t>
            </w: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售后服务站</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投标人已经或者承诺在中标后一个月内在采购方修理厂设立厂方驻点维修或特约维修服务站的，得1分；其他不得分。（投标人须提供特约维修服务站协议或加盖公章的承诺书，不提供的不得分）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restart"/>
            <w:vAlign w:val="center"/>
          </w:tcPr>
          <w:p>
            <w:pPr>
              <w:widowControl/>
              <w:jc w:val="center"/>
              <w:rPr>
                <w:rFonts w:ascii="宋体" w:hAnsi="宋体" w:cs="仿宋_GB2312"/>
                <w:sz w:val="22"/>
                <w:szCs w:val="22"/>
              </w:rPr>
            </w:pPr>
            <w:r>
              <w:rPr>
                <w:rFonts w:hint="eastAsia" w:ascii="宋体" w:hAnsi="宋体" w:cs="仿宋_GB2312"/>
                <w:sz w:val="22"/>
                <w:szCs w:val="22"/>
              </w:rPr>
              <w:t>质保服务</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整车质保增加转向系统、传动系统、制动系统、整桥等包含易损件的质保承诺的，每增加一项得2分，满分8分，未按要求承诺的不得分。（投标人须在投标文件中做出承诺，承诺书格式自拟，不提供的不得分）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Merge w:val="continue"/>
            <w:vAlign w:val="center"/>
          </w:tcPr>
          <w:p>
            <w:pPr>
              <w:widowControl/>
              <w:jc w:val="center"/>
              <w:rPr>
                <w:rFonts w:ascii="宋体" w:hAnsi="宋体" w:cs="仿宋_GB2312"/>
                <w:sz w:val="22"/>
                <w:szCs w:val="22"/>
              </w:rPr>
            </w:pP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整车包括转向系统、传动系统、制动系统、整桥等（含易损件）质保4年的基础上，增加质保期1年加0.5分，增加质保期2年的加1分，增加质保期3年的加2分，增加质保期4年的加</w:t>
            </w:r>
            <w:r>
              <w:rPr>
                <w:rFonts w:ascii="宋体" w:hAnsi="宋体" w:cs="仿宋_GB2312"/>
                <w:sz w:val="22"/>
                <w:szCs w:val="22"/>
              </w:rPr>
              <w:t>4</w:t>
            </w:r>
            <w:r>
              <w:rPr>
                <w:rFonts w:hint="eastAsia" w:ascii="宋体" w:hAnsi="宋体" w:cs="仿宋_GB2312"/>
                <w:sz w:val="22"/>
                <w:szCs w:val="22"/>
              </w:rPr>
              <w:t>分，每缺少一项质保内容相应质保期得分减1分，未按要求承诺的不得分，本项最高得</w:t>
            </w:r>
            <w:r>
              <w:rPr>
                <w:rFonts w:ascii="宋体" w:hAnsi="宋体" w:cs="仿宋_GB2312"/>
                <w:sz w:val="22"/>
                <w:szCs w:val="22"/>
              </w:rPr>
              <w:t>4</w:t>
            </w:r>
            <w:r>
              <w:rPr>
                <w:rFonts w:hint="eastAsia" w:ascii="宋体" w:hAnsi="宋体" w:cs="仿宋_GB2312"/>
                <w:sz w:val="22"/>
                <w:szCs w:val="22"/>
              </w:rPr>
              <w:t>分，最低0分。（投标人须在投标文件中做出承诺并加盖公章，承诺书格式自拟，不提供的不得分）</w:t>
            </w:r>
          </w:p>
        </w:tc>
        <w:tc>
          <w:tcPr>
            <w:tcW w:w="839" w:type="dxa"/>
            <w:vAlign w:val="center"/>
          </w:tcPr>
          <w:p>
            <w:pPr>
              <w:rPr>
                <w:rFonts w:ascii="宋体" w:hAnsi="宋体" w:cs="仿宋_GB2312"/>
                <w:sz w:val="22"/>
                <w:szCs w:val="22"/>
              </w:rPr>
            </w:pPr>
            <w:r>
              <w:rPr>
                <w:rFonts w:ascii="宋体" w:hAnsi="宋体" w:cs="仿宋_GB2312"/>
                <w:sz w:val="22"/>
                <w:szCs w:val="22"/>
              </w:rPr>
              <w:t>4</w:t>
            </w:r>
            <w:r>
              <w:rPr>
                <w:rFonts w:hint="eastAsia" w:ascii="宋体" w:hAnsi="宋体"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9" w:type="dxa"/>
            <w:vMerge w:val="continue"/>
            <w:vAlign w:val="center"/>
          </w:tcPr>
          <w:p>
            <w:pPr>
              <w:widowControl/>
              <w:jc w:val="center"/>
              <w:rPr>
                <w:rFonts w:ascii="宋体" w:hAnsi="宋体" w:cs="仿宋_GB2312"/>
                <w:sz w:val="22"/>
                <w:szCs w:val="22"/>
              </w:rPr>
            </w:pPr>
          </w:p>
        </w:tc>
        <w:tc>
          <w:tcPr>
            <w:tcW w:w="1115" w:type="dxa"/>
            <w:vAlign w:val="center"/>
          </w:tcPr>
          <w:p>
            <w:pPr>
              <w:widowControl/>
              <w:jc w:val="center"/>
              <w:rPr>
                <w:rFonts w:ascii="宋体" w:hAnsi="宋体" w:cs="仿宋_GB2312"/>
                <w:sz w:val="22"/>
                <w:szCs w:val="22"/>
              </w:rPr>
            </w:pPr>
            <w:r>
              <w:rPr>
                <w:rFonts w:hint="eastAsia" w:ascii="宋体" w:hAnsi="宋体" w:cs="仿宋_GB2312"/>
                <w:sz w:val="22"/>
                <w:szCs w:val="22"/>
              </w:rPr>
              <w:t>售后服务兑现或承诺</w:t>
            </w:r>
          </w:p>
        </w:tc>
        <w:tc>
          <w:tcPr>
            <w:tcW w:w="5801" w:type="dxa"/>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在类似公交车采购项目中采购人评价售后服务和履约情况良好的（提供各采购方的良好履约评价）得2分，在本项目采购人历年采购中存在履约评价不合格或售后服务差的本项不得分。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29" w:type="dxa"/>
            <w:vAlign w:val="center"/>
          </w:tcPr>
          <w:p>
            <w:pPr>
              <w:widowControl/>
              <w:jc w:val="center"/>
              <w:rPr>
                <w:rFonts w:ascii="宋体" w:hAnsi="宋体" w:cs="仿宋_GB2312"/>
                <w:sz w:val="22"/>
                <w:szCs w:val="22"/>
              </w:rPr>
            </w:pPr>
            <w:r>
              <w:rPr>
                <w:rFonts w:hint="eastAsia" w:ascii="宋体" w:hAnsi="宋体" w:cs="仿宋_GB2312"/>
                <w:sz w:val="22"/>
                <w:szCs w:val="22"/>
              </w:rPr>
              <w:t>对采购文件响应程度1分</w:t>
            </w:r>
          </w:p>
        </w:tc>
        <w:tc>
          <w:tcPr>
            <w:tcW w:w="6916" w:type="dxa"/>
            <w:gridSpan w:val="2"/>
            <w:vAlign w:val="center"/>
          </w:tcPr>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投标文件内容完整无缺漏、无重复，文字及图片清晰得 1分；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投标文件内容存在缺漏、重复，文字及图片不清晰，以上情况存在≤5处得 0.5分；</w:t>
            </w:r>
          </w:p>
          <w:p>
            <w:pPr>
              <w:tabs>
                <w:tab w:val="left" w:pos="1080"/>
              </w:tabs>
              <w:spacing w:line="360" w:lineRule="exact"/>
              <w:jc w:val="left"/>
              <w:rPr>
                <w:rFonts w:ascii="宋体" w:hAnsi="宋体" w:cs="仿宋_GB2312"/>
                <w:sz w:val="22"/>
                <w:szCs w:val="22"/>
              </w:rPr>
            </w:pPr>
            <w:r>
              <w:rPr>
                <w:rFonts w:hint="eastAsia" w:ascii="宋体" w:hAnsi="宋体" w:cs="仿宋_GB2312"/>
                <w:sz w:val="22"/>
                <w:szCs w:val="22"/>
              </w:rPr>
              <w:t>投标文件内容存在缺漏、重复、文字及图片不清晰，以上情况存在＞5处不得分。</w:t>
            </w:r>
          </w:p>
        </w:tc>
        <w:tc>
          <w:tcPr>
            <w:tcW w:w="839" w:type="dxa"/>
            <w:vAlign w:val="center"/>
          </w:tcPr>
          <w:p>
            <w:pPr>
              <w:jc w:val="center"/>
              <w:rPr>
                <w:rFonts w:ascii="宋体" w:hAnsi="宋体" w:cs="仿宋_GB2312"/>
                <w:sz w:val="22"/>
                <w:szCs w:val="22"/>
              </w:rPr>
            </w:pPr>
            <w:r>
              <w:rPr>
                <w:rFonts w:hint="eastAsia" w:ascii="宋体" w:hAnsi="宋体" w:cs="仿宋_GB2312"/>
                <w:sz w:val="22"/>
                <w:szCs w:val="22"/>
              </w:rPr>
              <w:t>1分</w:t>
            </w:r>
          </w:p>
        </w:tc>
      </w:tr>
    </w:tbl>
    <w:p>
      <w:pPr>
        <w:pStyle w:val="2"/>
        <w:ind w:firstLine="0" w:firstLineChars="0"/>
      </w:pPr>
    </w:p>
    <w:p>
      <w:pPr>
        <w:spacing w:line="360" w:lineRule="auto"/>
        <w:ind w:firstLine="480" w:firstLineChars="200"/>
        <w:rPr>
          <w:rFonts w:ascii="宋体" w:hAnsi="宋体"/>
          <w:sz w:val="24"/>
        </w:rPr>
      </w:pPr>
      <w:r>
        <w:rPr>
          <w:rFonts w:hint="eastAsia" w:ascii="宋体" w:hAnsi="宋体"/>
          <w:sz w:val="24"/>
        </w:rPr>
        <w:t>（三）商务标评审（</w:t>
      </w:r>
      <w:r>
        <w:rPr>
          <w:rFonts w:ascii="宋体" w:hAnsi="宋体"/>
          <w:sz w:val="24"/>
        </w:rPr>
        <w:t>50</w:t>
      </w:r>
      <w:r>
        <w:rPr>
          <w:rFonts w:hint="eastAsia" w:ascii="宋体" w:hAnsi="宋体"/>
          <w:sz w:val="24"/>
        </w:rPr>
        <w:t>分）。</w:t>
      </w:r>
    </w:p>
    <w:p>
      <w:pPr>
        <w:adjustRightInd w:val="0"/>
        <w:snapToGrid w:val="0"/>
        <w:spacing w:line="360" w:lineRule="auto"/>
        <w:ind w:firstLine="480" w:firstLineChars="200"/>
        <w:rPr>
          <w:sz w:val="24"/>
        </w:rPr>
      </w:pPr>
      <w:r>
        <w:rPr>
          <w:rFonts w:hint="eastAsia"/>
          <w:sz w:val="24"/>
        </w:rPr>
        <w:t>（1）评标标底价的确定（以元为单位，小数点后保留2位小数，小数点后第3位四舍五入）：经评审的所有有效报价中的最低报价作为评标标底价。</w:t>
      </w:r>
    </w:p>
    <w:p>
      <w:pPr>
        <w:adjustRightInd w:val="0"/>
        <w:snapToGrid w:val="0"/>
        <w:spacing w:line="360" w:lineRule="auto"/>
        <w:ind w:firstLine="480" w:firstLineChars="200"/>
        <w:rPr>
          <w:sz w:val="24"/>
        </w:rPr>
      </w:pPr>
      <w:r>
        <w:rPr>
          <w:rFonts w:hint="eastAsia"/>
          <w:sz w:val="24"/>
        </w:rPr>
        <w:t>（2）投标报价得分（</w:t>
      </w:r>
      <w:r>
        <w:rPr>
          <w:sz w:val="24"/>
        </w:rPr>
        <w:t>50</w:t>
      </w:r>
      <w:r>
        <w:rPr>
          <w:rFonts w:hint="eastAsia"/>
          <w:sz w:val="24"/>
        </w:rPr>
        <w:t>分）(小数点后保留2位小数，小数点后第3位四舍五入）：等于评标标底价得</w:t>
      </w:r>
      <w:r>
        <w:rPr>
          <w:sz w:val="24"/>
        </w:rPr>
        <w:t>50</w:t>
      </w:r>
      <w:r>
        <w:rPr>
          <w:rFonts w:hint="eastAsia"/>
          <w:sz w:val="24"/>
        </w:rPr>
        <w:t>分，各投标报价与评标标底价相比，采用线性插入法计算，每高于1%扣</w:t>
      </w:r>
      <w:r>
        <w:rPr>
          <w:sz w:val="24"/>
        </w:rPr>
        <w:t>0.5</w:t>
      </w:r>
      <w:r>
        <w:rPr>
          <w:rFonts w:hint="eastAsia"/>
          <w:sz w:val="24"/>
        </w:rPr>
        <w:t>分（商务标分值＝</w:t>
      </w:r>
      <w:r>
        <w:rPr>
          <w:sz w:val="24"/>
        </w:rPr>
        <w:t>50</w:t>
      </w:r>
      <w:r>
        <w:rPr>
          <w:rFonts w:hint="eastAsia"/>
          <w:sz w:val="24"/>
        </w:rPr>
        <w:t xml:space="preserve">－| </w:t>
      </w:r>
      <w:r>
        <w:rPr>
          <w:rFonts w:hint="eastAsia"/>
          <w:sz w:val="24"/>
        </w:rPr>
        <w:fldChar w:fldCharType="begin"/>
      </w:r>
      <w:r>
        <w:rPr>
          <w:rFonts w:hint="eastAsia"/>
          <w:sz w:val="24"/>
        </w:rPr>
        <w:instrText xml:space="preserve"> EQ \F(投标报价-评标标底价,评标标底价) </w:instrText>
      </w:r>
      <w:r>
        <w:rPr>
          <w:rFonts w:hint="eastAsia"/>
          <w:sz w:val="24"/>
        </w:rPr>
        <w:fldChar w:fldCharType="end"/>
      </w:r>
      <w:r>
        <w:rPr>
          <w:rFonts w:hint="eastAsia"/>
          <w:sz w:val="24"/>
        </w:rPr>
        <w:t>|×100×</w:t>
      </w:r>
      <w:r>
        <w:rPr>
          <w:rFonts w:hint="eastAsia"/>
          <w:sz w:val="24"/>
          <w:lang w:val="en-US" w:eastAsia="zh-CN"/>
        </w:rPr>
        <w:t>0.5</w:t>
      </w:r>
      <w:r>
        <w:rPr>
          <w:rFonts w:hint="eastAsia"/>
          <w:sz w:val="24"/>
        </w:rPr>
        <w:t>）。</w:t>
      </w:r>
    </w:p>
    <w:p>
      <w:pPr>
        <w:adjustRightInd w:val="0"/>
        <w:snapToGrid w:val="0"/>
        <w:spacing w:line="360" w:lineRule="auto"/>
        <w:ind w:firstLine="480" w:firstLineChars="200"/>
        <w:rPr>
          <w:sz w:val="24"/>
        </w:rPr>
      </w:pPr>
      <w:r>
        <w:rPr>
          <w:rFonts w:hint="eastAsia"/>
          <w:sz w:val="24"/>
        </w:rPr>
        <w:t>（四）投标人的综合得分=技术资信标得分+商务标得分。</w:t>
      </w:r>
    </w:p>
    <w:p>
      <w:pPr>
        <w:adjustRightInd w:val="0"/>
        <w:snapToGrid w:val="0"/>
        <w:spacing w:line="360" w:lineRule="auto"/>
        <w:ind w:firstLine="480" w:firstLineChars="200"/>
        <w:rPr>
          <w:sz w:val="24"/>
        </w:rPr>
      </w:pPr>
      <w:r>
        <w:rPr>
          <w:rFonts w:hint="eastAsia"/>
          <w:sz w:val="24"/>
        </w:rPr>
        <w:t>（五）</w:t>
      </w:r>
      <w:r>
        <w:rPr>
          <w:sz w:val="24"/>
        </w:rPr>
        <w:t>中标候选人的确定</w:t>
      </w:r>
    </w:p>
    <w:p>
      <w:pPr>
        <w:adjustRightInd w:val="0"/>
        <w:snapToGrid w:val="0"/>
        <w:spacing w:line="360" w:lineRule="auto"/>
        <w:ind w:firstLine="480" w:firstLineChars="200"/>
        <w:rPr>
          <w:sz w:val="24"/>
        </w:rPr>
      </w:pPr>
      <w:r>
        <w:rPr>
          <w:sz w:val="24"/>
        </w:rPr>
        <w:t>评标委员会按评标总得分确定中标候选人，即总得分最高者为第一中标候选人、次高者为第二中标候选人。如出现总得分相同的，按以下优先顺序确定中标候选人推荐次序：</w:t>
      </w:r>
    </w:p>
    <w:p>
      <w:pPr>
        <w:adjustRightInd w:val="0"/>
        <w:snapToGrid w:val="0"/>
        <w:spacing w:line="360" w:lineRule="auto"/>
        <w:ind w:firstLine="480" w:firstLineChars="200"/>
        <w:rPr>
          <w:sz w:val="24"/>
        </w:rPr>
      </w:pPr>
      <w:r>
        <w:rPr>
          <w:sz w:val="24"/>
        </w:rPr>
        <w:t>（</w:t>
      </w:r>
      <w:r>
        <w:rPr>
          <w:rFonts w:hint="eastAsia"/>
          <w:sz w:val="24"/>
        </w:rPr>
        <w:t>1</w:t>
      </w:r>
      <w:r>
        <w:rPr>
          <w:sz w:val="24"/>
        </w:rPr>
        <w:t>）投标报价</w:t>
      </w:r>
      <w:r>
        <w:rPr>
          <w:rFonts w:hint="eastAsia"/>
          <w:sz w:val="24"/>
        </w:rPr>
        <w:t>低</w:t>
      </w:r>
      <w:r>
        <w:rPr>
          <w:sz w:val="24"/>
        </w:rPr>
        <w:t>者</w:t>
      </w:r>
      <w:r>
        <w:rPr>
          <w:rFonts w:hint="eastAsia"/>
          <w:sz w:val="24"/>
        </w:rPr>
        <w:t>；</w:t>
      </w:r>
    </w:p>
    <w:p>
      <w:pPr>
        <w:adjustRightInd w:val="0"/>
        <w:snapToGrid w:val="0"/>
        <w:spacing w:line="360" w:lineRule="auto"/>
        <w:ind w:firstLine="480" w:firstLineChars="200"/>
        <w:rPr>
          <w:sz w:val="24"/>
        </w:rPr>
      </w:pPr>
      <w:r>
        <w:rPr>
          <w:sz w:val="24"/>
        </w:rPr>
        <w:t>（</w:t>
      </w:r>
      <w:r>
        <w:rPr>
          <w:rFonts w:hint="eastAsia"/>
          <w:sz w:val="24"/>
        </w:rPr>
        <w:t>2</w:t>
      </w:r>
      <w:r>
        <w:rPr>
          <w:sz w:val="24"/>
        </w:rPr>
        <w:t>）技术资信标得分高者</w:t>
      </w:r>
      <w:r>
        <w:rPr>
          <w:rFonts w:hint="eastAsia"/>
          <w:sz w:val="24"/>
        </w:rPr>
        <w:t>；</w:t>
      </w:r>
    </w:p>
    <w:p>
      <w:pPr>
        <w:adjustRightInd w:val="0"/>
        <w:snapToGrid w:val="0"/>
        <w:spacing w:line="360" w:lineRule="auto"/>
        <w:ind w:firstLine="480" w:firstLineChars="200"/>
      </w:pPr>
      <w:r>
        <w:rPr>
          <w:sz w:val="24"/>
        </w:rPr>
        <w:t>（</w:t>
      </w:r>
      <w:r>
        <w:rPr>
          <w:rFonts w:hint="eastAsia"/>
          <w:sz w:val="24"/>
        </w:rPr>
        <w:t>3</w:t>
      </w:r>
      <w:r>
        <w:rPr>
          <w:sz w:val="24"/>
        </w:rPr>
        <w:t>）抽签确</w:t>
      </w:r>
      <w:r>
        <w:rPr>
          <w:rFonts w:hint="eastAsia"/>
          <w:sz w:val="24"/>
        </w:rPr>
        <w:t>定。</w:t>
      </w:r>
    </w:p>
    <w:p>
      <w:pPr>
        <w:spacing w:line="400" w:lineRule="exact"/>
        <w:ind w:firstLine="480" w:firstLineChars="200"/>
        <w:rPr>
          <w:rFonts w:ascii="宋体" w:hAnsi="宋体"/>
          <w:sz w:val="24"/>
        </w:rPr>
      </w:pPr>
      <w:bookmarkStart w:id="3" w:name="_GoBack"/>
      <w:bookmarkEnd w:id="3"/>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360" w:lineRule="auto"/>
        <w:rPr>
          <w:rFonts w:ascii="宋体" w:hAnsi="宋体"/>
          <w:bCs/>
          <w:sz w:val="24"/>
        </w:rPr>
      </w:pPr>
      <w:r>
        <w:rPr>
          <w:rFonts w:hint="eastAsia" w:ascii="宋体" w:hAnsi="宋体"/>
          <w:bCs/>
          <w:sz w:val="24"/>
        </w:rPr>
        <w:br w:type="page"/>
      </w:r>
    </w:p>
    <w:p>
      <w:pPr>
        <w:adjustRightInd w:val="0"/>
        <w:spacing w:line="360" w:lineRule="auto"/>
        <w:jc w:val="center"/>
        <w:rPr>
          <w:sz w:val="32"/>
        </w:rPr>
      </w:pPr>
      <w:r>
        <w:rPr>
          <w:rFonts w:hint="eastAsia"/>
          <w:sz w:val="32"/>
        </w:rPr>
        <w:t>第五章 合同主要条款</w:t>
      </w:r>
    </w:p>
    <w:p>
      <w:pPr>
        <w:snapToGrid w:val="0"/>
        <w:spacing w:line="360" w:lineRule="auto"/>
        <w:jc w:val="left"/>
        <w:rPr>
          <w:rFonts w:ascii="宋体" w:hAnsi="宋体"/>
          <w:b/>
          <w:kern w:val="0"/>
          <w:sz w:val="24"/>
        </w:rPr>
      </w:pPr>
      <w:r>
        <w:rPr>
          <w:rFonts w:ascii="宋体" w:hAnsi="宋体"/>
          <w:b/>
          <w:kern w:val="0"/>
          <w:sz w:val="24"/>
        </w:rPr>
        <w:t xml:space="preserve">项目名称：                                      </w:t>
      </w:r>
    </w:p>
    <w:p>
      <w:pPr>
        <w:snapToGrid w:val="0"/>
        <w:spacing w:line="360" w:lineRule="auto"/>
        <w:jc w:val="left"/>
        <w:rPr>
          <w:rFonts w:ascii="宋体" w:hAnsi="宋体"/>
          <w:b/>
          <w:kern w:val="0"/>
          <w:sz w:val="24"/>
        </w:rPr>
      </w:pPr>
      <w:r>
        <w:rPr>
          <w:rFonts w:ascii="宋体" w:hAnsi="宋体"/>
          <w:b/>
          <w:kern w:val="0"/>
          <w:sz w:val="24"/>
        </w:rPr>
        <w:t>项目编号：</w:t>
      </w:r>
    </w:p>
    <w:p>
      <w:pPr>
        <w:snapToGrid w:val="0"/>
        <w:spacing w:line="360" w:lineRule="auto"/>
        <w:jc w:val="left"/>
        <w:rPr>
          <w:rFonts w:ascii="宋体" w:hAnsi="宋体"/>
          <w:b/>
          <w:kern w:val="0"/>
          <w:sz w:val="24"/>
        </w:rPr>
      </w:pPr>
      <w:r>
        <w:rPr>
          <w:rFonts w:ascii="宋体" w:hAnsi="宋体"/>
          <w:b/>
          <w:kern w:val="0"/>
          <w:sz w:val="24"/>
        </w:rPr>
        <w:t>标段</w:t>
      </w:r>
      <w:r>
        <w:rPr>
          <w:rFonts w:hint="eastAsia" w:ascii="宋体" w:hAnsi="宋体"/>
          <w:b/>
          <w:kern w:val="0"/>
          <w:sz w:val="24"/>
        </w:rPr>
        <w:t>：</w:t>
      </w:r>
    </w:p>
    <w:p>
      <w:pPr>
        <w:snapToGrid w:val="0"/>
        <w:spacing w:line="360" w:lineRule="auto"/>
        <w:rPr>
          <w:rFonts w:ascii="宋体" w:hAnsi="宋体"/>
          <w:b/>
          <w:kern w:val="0"/>
          <w:sz w:val="24"/>
        </w:rPr>
      </w:pPr>
      <w:r>
        <w:rPr>
          <w:rFonts w:ascii="宋体" w:hAnsi="宋体"/>
          <w:b/>
          <w:kern w:val="0"/>
          <w:sz w:val="24"/>
        </w:rPr>
        <w:t>甲方：（采购单位）</w:t>
      </w:r>
      <w:r>
        <w:rPr>
          <w:rFonts w:hint="eastAsia" w:ascii="宋体" w:hAnsi="宋体"/>
          <w:b/>
          <w:kern w:val="0"/>
          <w:sz w:val="24"/>
        </w:rPr>
        <w:t>台州市公交巴士有限公司</w:t>
      </w:r>
      <w:r>
        <w:rPr>
          <w:rFonts w:ascii="宋体" w:hAnsi="宋体"/>
          <w:b/>
          <w:kern w:val="0"/>
          <w:sz w:val="24"/>
        </w:rPr>
        <w:t xml:space="preserve">              </w:t>
      </w:r>
    </w:p>
    <w:p>
      <w:pPr>
        <w:snapToGrid w:val="0"/>
        <w:spacing w:line="360" w:lineRule="auto"/>
        <w:rPr>
          <w:rFonts w:ascii="宋体" w:hAnsi="宋体"/>
          <w:b/>
          <w:kern w:val="0"/>
          <w:sz w:val="24"/>
        </w:rPr>
      </w:pPr>
      <w:r>
        <w:rPr>
          <w:rFonts w:ascii="宋体" w:hAnsi="宋体"/>
          <w:b/>
          <w:kern w:val="0"/>
          <w:sz w:val="24"/>
        </w:rPr>
        <w:t xml:space="preserve">所在地：浙江台州                              </w:t>
      </w:r>
    </w:p>
    <w:p>
      <w:pPr>
        <w:snapToGrid w:val="0"/>
        <w:spacing w:line="360" w:lineRule="auto"/>
        <w:rPr>
          <w:rFonts w:ascii="宋体" w:hAnsi="宋体"/>
          <w:b/>
          <w:kern w:val="0"/>
          <w:sz w:val="24"/>
        </w:rPr>
      </w:pPr>
      <w:r>
        <w:rPr>
          <w:rFonts w:ascii="宋体" w:hAnsi="宋体"/>
          <w:b/>
          <w:kern w:val="0"/>
          <w:sz w:val="24"/>
        </w:rPr>
        <w:t xml:space="preserve">乙方：（中标供应商）            </w:t>
      </w:r>
    </w:p>
    <w:p>
      <w:pPr>
        <w:snapToGrid w:val="0"/>
        <w:spacing w:line="360" w:lineRule="auto"/>
        <w:rPr>
          <w:rFonts w:ascii="宋体" w:hAnsi="宋体"/>
          <w:b/>
          <w:kern w:val="0"/>
          <w:sz w:val="24"/>
        </w:rPr>
      </w:pPr>
      <w:r>
        <w:rPr>
          <w:rFonts w:ascii="宋体" w:hAnsi="宋体"/>
          <w:b/>
          <w:kern w:val="0"/>
          <w:sz w:val="24"/>
        </w:rPr>
        <w:t xml:space="preserve">所在地： </w:t>
      </w:r>
    </w:p>
    <w:p>
      <w:pPr>
        <w:snapToGrid w:val="0"/>
        <w:spacing w:line="360" w:lineRule="auto"/>
        <w:ind w:firstLine="480" w:firstLineChars="200"/>
        <w:rPr>
          <w:rFonts w:ascii="宋体" w:hAnsi="宋体"/>
          <w:kern w:val="0"/>
          <w:sz w:val="24"/>
        </w:rPr>
      </w:pPr>
      <w:r>
        <w:rPr>
          <w:rFonts w:ascii="宋体" w:hAnsi="宋体"/>
          <w:kern w:val="0"/>
          <w:sz w:val="24"/>
        </w:rPr>
        <w:t>甲、乙双方根据</w:t>
      </w:r>
      <w:r>
        <w:rPr>
          <w:rFonts w:hint="eastAsia" w:ascii="宋体" w:hAnsi="宋体"/>
          <w:kern w:val="0"/>
          <w:sz w:val="24"/>
        </w:rPr>
        <w:t>台州市公交巴士有限公司</w:t>
      </w:r>
      <w:r>
        <w:rPr>
          <w:rFonts w:ascii="宋体" w:hAnsi="宋体"/>
          <w:kern w:val="0"/>
          <w:sz w:val="24"/>
        </w:rPr>
        <w:t>关于</w:t>
      </w:r>
      <w:r>
        <w:rPr>
          <w:rFonts w:hint="eastAsia" w:ascii="宋体" w:hAnsi="宋体"/>
          <w:sz w:val="24"/>
          <w:u w:val="single"/>
        </w:rPr>
        <w:t xml:space="preserve">       </w:t>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hint="eastAsia" w:ascii="宋体" w:hAnsi="宋体"/>
          <w:kern w:val="0"/>
          <w:sz w:val="24"/>
        </w:rPr>
        <w:softHyphen/>
      </w:r>
      <w:r>
        <w:rPr>
          <w:rFonts w:ascii="宋体" w:hAnsi="宋体"/>
          <w:kern w:val="0"/>
          <w:sz w:val="24"/>
        </w:rPr>
        <w:t>项目</w:t>
      </w:r>
      <w:r>
        <w:rPr>
          <w:rFonts w:hint="eastAsia" w:ascii="宋体" w:hAnsi="宋体"/>
          <w:kern w:val="0"/>
          <w:sz w:val="24"/>
        </w:rPr>
        <w:t>公开招标</w:t>
      </w:r>
      <w:r>
        <w:rPr>
          <w:rFonts w:ascii="宋体" w:hAnsi="宋体"/>
          <w:kern w:val="0"/>
          <w:sz w:val="24"/>
        </w:rPr>
        <w:t>的结果，签署本合同。</w:t>
      </w:r>
    </w:p>
    <w:p>
      <w:pPr>
        <w:spacing w:line="360" w:lineRule="auto"/>
        <w:rPr>
          <w:rFonts w:ascii="宋体" w:hAnsi="宋体" w:cs="宋体"/>
          <w:sz w:val="24"/>
          <w:lang w:val="zh-CN"/>
        </w:rPr>
      </w:pPr>
      <w:r>
        <w:rPr>
          <w:rFonts w:hint="eastAsia" w:ascii="宋体" w:hAnsi="宋体" w:cs="宋体"/>
          <w:sz w:val="24"/>
          <w:lang w:val="zh-CN"/>
        </w:rPr>
        <w:t xml:space="preserve">一、合同文件： </w:t>
      </w:r>
    </w:p>
    <w:p>
      <w:pPr>
        <w:spacing w:line="360" w:lineRule="auto"/>
        <w:ind w:firstLine="480" w:firstLineChars="200"/>
        <w:rPr>
          <w:rFonts w:ascii="宋体" w:hAnsi="宋体" w:cs="宋体"/>
          <w:sz w:val="24"/>
          <w:lang w:val="zh-CN"/>
        </w:rPr>
      </w:pPr>
      <w:r>
        <w:rPr>
          <w:rFonts w:hint="eastAsia" w:ascii="宋体" w:hAnsi="宋体" w:cs="宋体"/>
          <w:sz w:val="24"/>
          <w:lang w:val="zh-CN"/>
        </w:rPr>
        <w:t>1.合同条款。</w:t>
      </w:r>
    </w:p>
    <w:p>
      <w:pPr>
        <w:spacing w:line="360" w:lineRule="auto"/>
        <w:ind w:firstLine="480" w:firstLineChars="200"/>
        <w:rPr>
          <w:rFonts w:ascii="宋体" w:hAnsi="宋体" w:cs="宋体"/>
          <w:sz w:val="24"/>
          <w:lang w:val="zh-CN"/>
        </w:rPr>
      </w:pPr>
      <w:r>
        <w:rPr>
          <w:rFonts w:hint="eastAsia" w:ascii="宋体" w:hAnsi="宋体" w:cs="宋体"/>
          <w:sz w:val="24"/>
          <w:lang w:val="zh-CN"/>
        </w:rPr>
        <w:t>2.中标通知书。</w:t>
      </w:r>
    </w:p>
    <w:p>
      <w:pPr>
        <w:spacing w:line="360" w:lineRule="auto"/>
        <w:ind w:firstLine="480" w:firstLineChars="200"/>
        <w:rPr>
          <w:rFonts w:ascii="宋体" w:hAnsi="宋体" w:cs="宋体"/>
          <w:sz w:val="24"/>
          <w:lang w:val="zh-CN"/>
        </w:rPr>
      </w:pPr>
      <w:r>
        <w:rPr>
          <w:rFonts w:hint="eastAsia" w:ascii="宋体" w:hAnsi="宋体" w:cs="宋体"/>
          <w:sz w:val="24"/>
          <w:lang w:val="zh-CN"/>
        </w:rPr>
        <w:t>3.更正补充文件。</w:t>
      </w:r>
    </w:p>
    <w:p>
      <w:pPr>
        <w:spacing w:line="360" w:lineRule="auto"/>
        <w:ind w:firstLine="480" w:firstLineChars="200"/>
        <w:rPr>
          <w:rFonts w:ascii="宋体" w:hAnsi="宋体" w:cs="宋体"/>
          <w:sz w:val="24"/>
          <w:lang w:val="zh-CN"/>
        </w:rPr>
      </w:pPr>
      <w:r>
        <w:rPr>
          <w:rFonts w:hint="eastAsia" w:ascii="宋体" w:hAnsi="宋体" w:cs="宋体"/>
          <w:sz w:val="24"/>
          <w:lang w:val="zh-CN"/>
        </w:rPr>
        <w:t>4.招标文件。</w:t>
      </w:r>
    </w:p>
    <w:p>
      <w:pPr>
        <w:spacing w:line="360" w:lineRule="auto"/>
        <w:ind w:firstLine="480" w:firstLineChars="200"/>
        <w:rPr>
          <w:rFonts w:ascii="宋体" w:hAnsi="宋体" w:cs="宋体"/>
          <w:sz w:val="24"/>
          <w:lang w:val="zh-CN"/>
        </w:rPr>
      </w:pPr>
      <w:r>
        <w:rPr>
          <w:rFonts w:hint="eastAsia" w:ascii="宋体" w:hAnsi="宋体" w:cs="宋体"/>
          <w:sz w:val="24"/>
          <w:lang w:val="zh-CN"/>
        </w:rPr>
        <w:t>5.中标供应商投标文件。</w:t>
      </w:r>
    </w:p>
    <w:p>
      <w:pPr>
        <w:spacing w:line="360" w:lineRule="auto"/>
        <w:ind w:firstLine="480" w:firstLineChars="200"/>
        <w:rPr>
          <w:rFonts w:ascii="宋体" w:hAnsi="宋体" w:cs="宋体"/>
          <w:sz w:val="24"/>
          <w:lang w:val="zh-CN"/>
        </w:rPr>
      </w:pPr>
      <w:r>
        <w:rPr>
          <w:rFonts w:hint="eastAsia" w:ascii="宋体" w:hAnsi="宋体" w:cs="宋体"/>
          <w:sz w:val="24"/>
          <w:lang w:val="zh-CN"/>
        </w:rPr>
        <w:t>6.其他。</w:t>
      </w:r>
    </w:p>
    <w:p>
      <w:pPr>
        <w:snapToGrid w:val="0"/>
        <w:spacing w:line="360" w:lineRule="auto"/>
        <w:ind w:firstLine="480" w:firstLineChars="200"/>
        <w:rPr>
          <w:rFonts w:ascii="宋体" w:hAnsi="宋体"/>
          <w:kern w:val="0"/>
          <w:sz w:val="24"/>
        </w:rPr>
      </w:pPr>
      <w:r>
        <w:rPr>
          <w:rFonts w:hint="eastAsia" w:ascii="宋体" w:hAnsi="宋体" w:cs="宋体"/>
          <w:sz w:val="24"/>
          <w:lang w:val="zh-CN"/>
        </w:rPr>
        <w:t>上述所指合同文件应认为是互相补充和解释的，但是有模棱两可或互相矛盾之处，以其所列内容顺序为准。</w:t>
      </w:r>
    </w:p>
    <w:p>
      <w:pPr>
        <w:snapToGrid w:val="0"/>
        <w:spacing w:before="120" w:after="120" w:line="360" w:lineRule="auto"/>
        <w:ind w:firstLine="472" w:firstLineChars="196"/>
        <w:rPr>
          <w:rFonts w:ascii="宋体" w:hAnsi="宋体"/>
          <w:b/>
          <w:sz w:val="24"/>
        </w:rPr>
      </w:pPr>
      <w:r>
        <w:rPr>
          <w:rFonts w:hint="eastAsia" w:ascii="宋体" w:hAnsi="宋体"/>
          <w:b/>
          <w:sz w:val="24"/>
        </w:rPr>
        <w:t>二</w:t>
      </w:r>
      <w:r>
        <w:rPr>
          <w:rFonts w:ascii="宋体" w:hAnsi="宋体"/>
          <w:b/>
          <w:sz w:val="24"/>
        </w:rPr>
        <w:t>、货物内容</w:t>
      </w:r>
      <w:r>
        <w:rPr>
          <w:rFonts w:hint="eastAsia" w:ascii="宋体" w:hAnsi="宋体"/>
          <w:b/>
          <w:sz w:val="24"/>
        </w:rPr>
        <w:t>及合同价格</w:t>
      </w:r>
    </w:p>
    <w:p>
      <w:pPr>
        <w:adjustRightInd w:val="0"/>
        <w:snapToGrid w:val="0"/>
        <w:spacing w:before="120" w:after="120" w:line="360" w:lineRule="auto"/>
        <w:ind w:right="300" w:firstLine="511" w:firstLineChars="213"/>
        <w:jc w:val="right"/>
        <w:rPr>
          <w:rFonts w:ascii="宋体" w:hAnsi="宋体"/>
          <w:kern w:val="0"/>
          <w:sz w:val="24"/>
        </w:rPr>
      </w:pPr>
      <w:r>
        <w:rPr>
          <w:rFonts w:hint="eastAsia" w:ascii="宋体" w:hAnsi="宋体"/>
          <w:kern w:val="0"/>
          <w:sz w:val="24"/>
        </w:rPr>
        <w:t>金额单位：元</w:t>
      </w:r>
    </w:p>
    <w:tbl>
      <w:tblPr>
        <w:tblStyle w:val="42"/>
        <w:tblW w:w="9391" w:type="dxa"/>
        <w:jc w:val="center"/>
        <w:tblLayout w:type="fixed"/>
        <w:tblCellMar>
          <w:top w:w="0" w:type="dxa"/>
          <w:left w:w="108" w:type="dxa"/>
          <w:bottom w:w="0" w:type="dxa"/>
          <w:right w:w="108" w:type="dxa"/>
        </w:tblCellMar>
      </w:tblPr>
      <w:tblGrid>
        <w:gridCol w:w="679"/>
        <w:gridCol w:w="1916"/>
        <w:gridCol w:w="1781"/>
        <w:gridCol w:w="774"/>
        <w:gridCol w:w="793"/>
        <w:gridCol w:w="1322"/>
        <w:gridCol w:w="1452"/>
        <w:gridCol w:w="674"/>
      </w:tblGrid>
      <w:tr>
        <w:tblPrEx>
          <w:tblCellMar>
            <w:top w:w="0" w:type="dxa"/>
            <w:left w:w="108" w:type="dxa"/>
            <w:bottom w:w="0" w:type="dxa"/>
            <w:right w:w="108" w:type="dxa"/>
          </w:tblCellMar>
        </w:tblPrEx>
        <w:trPr>
          <w:trHeight w:val="735"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货物名称</w:t>
            </w: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品牌/产地、规格</w:t>
            </w:r>
          </w:p>
        </w:tc>
        <w:tc>
          <w:tcPr>
            <w:tcW w:w="7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单位</w:t>
            </w:r>
          </w:p>
        </w:tc>
        <w:tc>
          <w:tcPr>
            <w:tcW w:w="7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数量</w:t>
            </w:r>
          </w:p>
        </w:tc>
        <w:tc>
          <w:tcPr>
            <w:tcW w:w="13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综合单价（元）</w:t>
            </w: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总价（元）</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b/>
                <w:sz w:val="24"/>
              </w:rPr>
            </w:pPr>
            <w:r>
              <w:rPr>
                <w:rFonts w:hint="eastAsia" w:ascii="宋体" w:hAnsi="宋体" w:cs="仿宋"/>
                <w:b/>
                <w:sz w:val="24"/>
              </w:rPr>
              <w:t>备注</w:t>
            </w:r>
          </w:p>
        </w:tc>
      </w:tr>
      <w:tr>
        <w:tblPrEx>
          <w:tblCellMar>
            <w:top w:w="0" w:type="dxa"/>
            <w:left w:w="108" w:type="dxa"/>
            <w:bottom w:w="0" w:type="dxa"/>
            <w:right w:w="108" w:type="dxa"/>
          </w:tblCellMar>
        </w:tblPrEx>
        <w:trPr>
          <w:trHeight w:val="57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r>
              <w:rPr>
                <w:rFonts w:hint="eastAsia" w:ascii="宋体" w:hAnsi="宋体" w:cs="仿宋"/>
                <w:sz w:val="24"/>
              </w:rPr>
              <w:t>1</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widowControl/>
              <w:snapToGrid w:val="0"/>
              <w:spacing w:after="120" w:afterLines="50"/>
              <w:ind w:left="140"/>
              <w:rPr>
                <w:rFonts w:ascii="宋体" w:hAnsi="宋体" w:cs="仿宋"/>
                <w:kern w:val="0"/>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p>
        </w:tc>
      </w:tr>
      <w:tr>
        <w:tblPrEx>
          <w:tblCellMar>
            <w:top w:w="0" w:type="dxa"/>
            <w:left w:w="108" w:type="dxa"/>
            <w:bottom w:w="0" w:type="dxa"/>
            <w:right w:w="108" w:type="dxa"/>
          </w:tblCellMar>
        </w:tblPrEx>
        <w:trPr>
          <w:trHeight w:val="57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r>
              <w:rPr>
                <w:rFonts w:hint="eastAsia" w:ascii="宋体" w:hAnsi="宋体" w:cs="仿宋"/>
                <w:sz w:val="24"/>
              </w:rPr>
              <w:t>..</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snapToGrid w:val="0"/>
              <w:spacing w:after="120" w:afterLines="50" w:line="360" w:lineRule="auto"/>
              <w:ind w:left="140"/>
              <w:jc w:val="center"/>
              <w:rPr>
                <w:rFonts w:ascii="宋体" w:hAnsi="宋体" w:cs="仿宋"/>
                <w:kern w:val="0"/>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widowControl/>
              <w:snapToGrid w:val="0"/>
              <w:spacing w:after="120" w:afterLines="50"/>
              <w:ind w:left="140"/>
              <w:rPr>
                <w:rFonts w:ascii="宋体" w:hAnsi="宋体" w:cs="仿宋"/>
                <w:kern w:val="0"/>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仿宋"/>
                <w:sz w:val="24"/>
              </w:rPr>
            </w:pPr>
          </w:p>
        </w:tc>
      </w:tr>
      <w:tr>
        <w:tblPrEx>
          <w:tblCellMar>
            <w:top w:w="0" w:type="dxa"/>
            <w:left w:w="108" w:type="dxa"/>
            <w:bottom w:w="0" w:type="dxa"/>
            <w:right w:w="108" w:type="dxa"/>
          </w:tblCellMar>
        </w:tblPrEx>
        <w:trPr>
          <w:trHeight w:val="506" w:hRule="atLeast"/>
          <w:jc w:val="center"/>
        </w:trPr>
        <w:tc>
          <w:tcPr>
            <w:tcW w:w="939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cs="仿宋"/>
                <w:sz w:val="24"/>
              </w:rPr>
            </w:pPr>
            <w:r>
              <w:rPr>
                <w:rFonts w:hint="eastAsia" w:ascii="宋体" w:hAnsi="宋体" w:cs="仿宋"/>
                <w:sz w:val="24"/>
              </w:rPr>
              <w:t>合计=</w:t>
            </w:r>
            <w:r>
              <w:rPr>
                <w:rFonts w:hint="eastAsia" w:ascii="宋体" w:hAnsi="宋体" w:cs="仿宋"/>
                <w:sz w:val="24"/>
                <w:u w:val="single"/>
              </w:rPr>
              <w:t xml:space="preserve">                          </w:t>
            </w:r>
            <w:r>
              <w:rPr>
                <w:rFonts w:hint="eastAsia" w:ascii="宋体" w:hAnsi="宋体" w:cs="仿宋"/>
                <w:sz w:val="24"/>
              </w:rPr>
              <w:t>（元）</w:t>
            </w:r>
          </w:p>
        </w:tc>
      </w:tr>
    </w:tbl>
    <w:p>
      <w:pPr>
        <w:tabs>
          <w:tab w:val="left" w:pos="180"/>
        </w:tabs>
        <w:autoSpaceDE w:val="0"/>
        <w:autoSpaceDN w:val="0"/>
        <w:adjustRightInd w:val="0"/>
        <w:snapToGrid w:val="0"/>
        <w:spacing w:line="360" w:lineRule="auto"/>
        <w:ind w:right="34" w:rightChars="12" w:firstLine="480" w:firstLineChars="200"/>
        <w:jc w:val="left"/>
        <w:rPr>
          <w:rFonts w:ascii="宋体" w:hAnsi="宋体"/>
          <w:kern w:val="0"/>
          <w:sz w:val="24"/>
        </w:rPr>
      </w:pPr>
      <w:r>
        <w:rPr>
          <w:rFonts w:hint="eastAsia" w:ascii="宋体" w:hAnsi="宋体"/>
          <w:kern w:val="0"/>
          <w:sz w:val="24"/>
        </w:rPr>
        <w:t>1、本项目投标承诺货物的全费用综合单价一次性包死，数量按实计量。</w:t>
      </w:r>
    </w:p>
    <w:p>
      <w:pPr>
        <w:tabs>
          <w:tab w:val="left" w:pos="180"/>
        </w:tabs>
        <w:autoSpaceDE w:val="0"/>
        <w:autoSpaceDN w:val="0"/>
        <w:adjustRightInd w:val="0"/>
        <w:snapToGrid w:val="0"/>
        <w:spacing w:line="360" w:lineRule="auto"/>
        <w:ind w:right="34" w:rightChars="12" w:firstLine="480" w:firstLineChars="200"/>
        <w:jc w:val="left"/>
        <w:rPr>
          <w:rFonts w:ascii="宋体" w:hAnsi="宋体"/>
          <w:kern w:val="0"/>
          <w:sz w:val="24"/>
        </w:rPr>
      </w:pPr>
      <w:r>
        <w:rPr>
          <w:rFonts w:hint="eastAsia" w:ascii="宋体" w:hAnsi="宋体"/>
          <w:kern w:val="0"/>
          <w:sz w:val="24"/>
        </w:rPr>
        <w:t>2、交货货物数量由乙方计量，甲方及有关部门核准，按实结算。</w:t>
      </w:r>
    </w:p>
    <w:p>
      <w:pPr>
        <w:snapToGrid w:val="0"/>
        <w:spacing w:line="360" w:lineRule="auto"/>
        <w:ind w:firstLine="472" w:firstLineChars="196"/>
        <w:rPr>
          <w:rFonts w:ascii="宋体" w:hAnsi="宋体"/>
          <w:b/>
          <w:sz w:val="24"/>
        </w:rPr>
      </w:pPr>
      <w:r>
        <w:rPr>
          <w:rFonts w:hint="eastAsia" w:ascii="宋体" w:hAnsi="宋体"/>
          <w:b/>
          <w:sz w:val="24"/>
        </w:rPr>
        <w:t>三</w:t>
      </w:r>
      <w:r>
        <w:rPr>
          <w:rFonts w:ascii="宋体" w:hAnsi="宋体"/>
          <w:b/>
          <w:sz w:val="24"/>
        </w:rPr>
        <w:t>、技术资料</w:t>
      </w:r>
    </w:p>
    <w:p>
      <w:pPr>
        <w:snapToGrid w:val="0"/>
        <w:spacing w:line="360" w:lineRule="auto"/>
        <w:ind w:firstLine="470" w:firstLineChars="196"/>
        <w:rPr>
          <w:rFonts w:ascii="宋体" w:hAnsi="宋体"/>
          <w:b/>
          <w:sz w:val="24"/>
        </w:rPr>
      </w:pPr>
      <w:r>
        <w:rPr>
          <w:rFonts w:ascii="宋体" w:hAnsi="宋体"/>
          <w:sz w:val="24"/>
        </w:rPr>
        <w:t>1</w:t>
      </w:r>
      <w:r>
        <w:rPr>
          <w:rFonts w:hint="eastAsia" w:ascii="宋体" w:hAnsi="宋体"/>
          <w:sz w:val="24"/>
        </w:rPr>
        <w:t>.</w:t>
      </w:r>
      <w:r>
        <w:rPr>
          <w:rFonts w:ascii="宋体" w:hAnsi="宋体"/>
          <w:kern w:val="0"/>
          <w:sz w:val="24"/>
        </w:rPr>
        <w:t>乙方应按招标文件规定的时间向甲方提供使用货物的有关技术资料。</w:t>
      </w:r>
    </w:p>
    <w:p>
      <w:pPr>
        <w:snapToGrid w:val="0"/>
        <w:spacing w:line="360" w:lineRule="auto"/>
        <w:ind w:left="1"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auto"/>
        <w:ind w:left="546" w:leftChars="195" w:firstLine="118" w:firstLineChars="49"/>
        <w:rPr>
          <w:rFonts w:ascii="宋体" w:hAnsi="宋体"/>
          <w:b/>
          <w:sz w:val="24"/>
        </w:rPr>
      </w:pPr>
      <w:r>
        <w:rPr>
          <w:rFonts w:hint="eastAsia" w:ascii="宋体" w:hAnsi="宋体"/>
          <w:b/>
          <w:sz w:val="24"/>
        </w:rPr>
        <w:t>四</w:t>
      </w:r>
      <w:r>
        <w:rPr>
          <w:rFonts w:ascii="宋体" w:hAnsi="宋体"/>
          <w:b/>
          <w:sz w:val="24"/>
        </w:rPr>
        <w:t>、知识产权与产权担保</w:t>
      </w:r>
    </w:p>
    <w:p>
      <w:pPr>
        <w:snapToGrid w:val="0"/>
        <w:spacing w:line="360" w:lineRule="auto"/>
        <w:ind w:firstLine="480" w:firstLineChars="200"/>
        <w:rPr>
          <w:rFonts w:ascii="宋体" w:hAnsi="宋体"/>
          <w:kern w:val="0"/>
          <w:sz w:val="24"/>
        </w:rPr>
      </w:pPr>
      <w:r>
        <w:rPr>
          <w:rFonts w:hint="eastAsia" w:ascii="宋体" w:hAnsi="宋体"/>
          <w:kern w:val="0"/>
          <w:sz w:val="24"/>
        </w:rPr>
        <w:t>1</w:t>
      </w:r>
      <w:r>
        <w:rPr>
          <w:rFonts w:ascii="宋体" w:hAnsi="宋体"/>
          <w:kern w:val="0"/>
          <w:sz w:val="24"/>
        </w:rPr>
        <w:t>.乙方应保证所提供的货物或其任何一部分均不会侵犯任何第三方的知识产权</w:t>
      </w:r>
      <w:r>
        <w:rPr>
          <w:rFonts w:hint="eastAsia" w:ascii="宋体" w:hAnsi="宋体"/>
          <w:kern w:val="0"/>
          <w:sz w:val="24"/>
        </w:rPr>
        <w:t>。</w:t>
      </w:r>
    </w:p>
    <w:p>
      <w:pPr>
        <w:snapToGrid w:val="0"/>
        <w:spacing w:line="360" w:lineRule="auto"/>
        <w:ind w:firstLine="480" w:firstLineChars="200"/>
        <w:rPr>
          <w:rFonts w:ascii="宋体" w:hAnsi="宋体"/>
          <w:sz w:val="24"/>
        </w:rPr>
      </w:pPr>
      <w:r>
        <w:rPr>
          <w:rFonts w:hint="eastAsia" w:ascii="宋体" w:hAnsi="宋体"/>
          <w:kern w:val="0"/>
          <w:sz w:val="24"/>
        </w:rPr>
        <w:t>2</w:t>
      </w:r>
      <w:r>
        <w:rPr>
          <w:rFonts w:ascii="宋体" w:hAnsi="宋体"/>
          <w:kern w:val="0"/>
          <w:sz w:val="24"/>
        </w:rPr>
        <w:t>.</w:t>
      </w:r>
      <w:r>
        <w:rPr>
          <w:rFonts w:ascii="宋体" w:hAnsi="宋体"/>
          <w:sz w:val="24"/>
        </w:rPr>
        <w:t>乙方保证所交付的货物的所有权完全属于乙方且无任何抵押、查封等权</w:t>
      </w:r>
      <w:r>
        <w:rPr>
          <w:rFonts w:hint="eastAsia" w:ascii="宋体" w:hAnsi="宋体"/>
          <w:sz w:val="24"/>
        </w:rPr>
        <w:t>利</w:t>
      </w:r>
      <w:r>
        <w:rPr>
          <w:rFonts w:ascii="宋体" w:hAnsi="宋体"/>
          <w:sz w:val="24"/>
        </w:rPr>
        <w:t>瑕疵。</w:t>
      </w:r>
    </w:p>
    <w:p>
      <w:pPr>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sz w:val="21"/>
        </w:rPr>
        <w:t xml:space="preserve"> </w:t>
      </w:r>
      <w:r>
        <w:rPr>
          <w:rFonts w:hint="eastAsia" w:ascii="宋体" w:hAnsi="宋体"/>
          <w:sz w:val="24"/>
        </w:rPr>
        <w:t>车辆后台技术数据免费向甲方无条件开放。（以乙方承诺为准）</w:t>
      </w:r>
    </w:p>
    <w:p>
      <w:pPr>
        <w:snapToGrid w:val="0"/>
        <w:spacing w:line="360" w:lineRule="auto"/>
        <w:ind w:left="543" w:leftChars="194" w:firstLine="118" w:firstLineChars="49"/>
        <w:rPr>
          <w:rFonts w:ascii="宋体" w:hAnsi="宋体"/>
          <w:b/>
          <w:sz w:val="24"/>
        </w:rPr>
      </w:pPr>
      <w:r>
        <w:rPr>
          <w:rFonts w:hint="eastAsia" w:ascii="宋体" w:hAnsi="宋体"/>
          <w:b/>
          <w:sz w:val="24"/>
        </w:rPr>
        <w:t>五</w:t>
      </w:r>
      <w:r>
        <w:rPr>
          <w:rFonts w:ascii="宋体" w:hAnsi="宋体"/>
          <w:b/>
          <w:sz w:val="24"/>
        </w:rPr>
        <w:t>、履约保证金</w:t>
      </w:r>
    </w:p>
    <w:p>
      <w:pPr>
        <w:snapToGrid w:val="0"/>
        <w:spacing w:line="360" w:lineRule="auto"/>
        <w:ind w:firstLine="480" w:firstLineChars="200"/>
        <w:rPr>
          <w:rFonts w:ascii="宋体" w:hAnsi="宋体"/>
          <w:kern w:val="0"/>
          <w:sz w:val="24"/>
        </w:rPr>
      </w:pPr>
      <w:r>
        <w:rPr>
          <w:rFonts w:hint="eastAsia" w:ascii="宋体" w:hAnsi="宋体"/>
          <w:kern w:val="0"/>
          <w:sz w:val="24"/>
        </w:rPr>
        <w:t>在合同签订前乙方须向甲方缴纳合同金额1%（现金、银行转账、支票、汇票、本票或者金融机构、担保机构出具的保函等形式提交）的履约保证金，履约保证金在本项目验收合格且无违约扣除情况后30个工作日内无息退还。</w:t>
      </w:r>
    </w:p>
    <w:p>
      <w:pPr>
        <w:snapToGrid w:val="0"/>
        <w:spacing w:line="360" w:lineRule="auto"/>
        <w:ind w:left="543" w:leftChars="194" w:firstLine="118" w:firstLineChars="49"/>
        <w:rPr>
          <w:rFonts w:ascii="宋体" w:hAnsi="宋体"/>
          <w:b/>
          <w:sz w:val="24"/>
        </w:rPr>
      </w:pPr>
      <w:r>
        <w:rPr>
          <w:rFonts w:hint="eastAsia" w:ascii="宋体" w:hAnsi="宋体"/>
          <w:b/>
          <w:sz w:val="24"/>
        </w:rPr>
        <w:t>六、转包或分包</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.本合同范围的货物，应由</w:t>
      </w:r>
      <w:r>
        <w:rPr>
          <w:rFonts w:ascii="宋体" w:hAnsi="宋体"/>
          <w:kern w:val="0"/>
          <w:sz w:val="24"/>
        </w:rPr>
        <w:t>乙</w:t>
      </w:r>
      <w:r>
        <w:rPr>
          <w:rFonts w:hint="eastAsia" w:ascii="宋体" w:hAnsi="宋体"/>
          <w:kern w:val="0"/>
          <w:sz w:val="24"/>
        </w:rPr>
        <w:t>方直接供应，不得转让他人供应；</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.除非得到</w:t>
      </w:r>
      <w:r>
        <w:rPr>
          <w:rFonts w:ascii="宋体" w:hAnsi="宋体"/>
          <w:kern w:val="0"/>
          <w:sz w:val="24"/>
        </w:rPr>
        <w:t>甲</w:t>
      </w:r>
      <w:r>
        <w:rPr>
          <w:rFonts w:hint="eastAsia" w:ascii="宋体" w:hAnsi="宋体"/>
          <w:kern w:val="0"/>
          <w:sz w:val="24"/>
        </w:rPr>
        <w:t>方的书面同意，</w:t>
      </w:r>
      <w:r>
        <w:rPr>
          <w:rFonts w:ascii="宋体" w:hAnsi="宋体"/>
          <w:kern w:val="0"/>
          <w:sz w:val="24"/>
        </w:rPr>
        <w:t>乙</w:t>
      </w:r>
      <w:r>
        <w:rPr>
          <w:rFonts w:hint="eastAsia" w:ascii="宋体" w:hAnsi="宋体"/>
          <w:kern w:val="0"/>
          <w:sz w:val="24"/>
        </w:rPr>
        <w:t>方不得将本合同范围的货物全部或部分分包给他人供应；</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.如有转让和未经</w:t>
      </w:r>
      <w:r>
        <w:rPr>
          <w:rFonts w:ascii="宋体" w:hAnsi="宋体"/>
          <w:kern w:val="0"/>
          <w:sz w:val="24"/>
        </w:rPr>
        <w:t>甲</w:t>
      </w:r>
      <w:r>
        <w:rPr>
          <w:rFonts w:hint="eastAsia" w:ascii="宋体" w:hAnsi="宋体"/>
          <w:kern w:val="0"/>
          <w:sz w:val="24"/>
        </w:rPr>
        <w:t>方同意的分包行为，</w:t>
      </w:r>
      <w:r>
        <w:rPr>
          <w:rFonts w:ascii="宋体" w:hAnsi="宋体"/>
          <w:kern w:val="0"/>
          <w:sz w:val="24"/>
        </w:rPr>
        <w:t>甲</w:t>
      </w:r>
      <w:r>
        <w:rPr>
          <w:rFonts w:hint="eastAsia" w:ascii="宋体" w:hAnsi="宋体"/>
          <w:kern w:val="0"/>
          <w:sz w:val="24"/>
        </w:rPr>
        <w:t>方有权解除合同，没收履约保证金并追究乙方的违约责任。</w:t>
      </w:r>
    </w:p>
    <w:p>
      <w:pPr>
        <w:snapToGrid w:val="0"/>
        <w:spacing w:line="360" w:lineRule="auto"/>
        <w:ind w:firstLine="472" w:firstLineChars="196"/>
        <w:rPr>
          <w:rFonts w:ascii="宋体" w:hAnsi="宋体"/>
          <w:sz w:val="24"/>
        </w:rPr>
      </w:pPr>
      <w:r>
        <w:rPr>
          <w:rFonts w:hint="eastAsia" w:ascii="宋体" w:hAnsi="宋体"/>
          <w:b/>
          <w:sz w:val="24"/>
        </w:rPr>
        <w:t>七</w:t>
      </w:r>
      <w:r>
        <w:rPr>
          <w:rFonts w:ascii="宋体" w:hAnsi="宋体"/>
          <w:b/>
          <w:sz w:val="24"/>
        </w:rPr>
        <w:t>、质保期</w:t>
      </w:r>
      <w:r>
        <w:rPr>
          <w:rFonts w:hint="eastAsia" w:ascii="宋体" w:hAnsi="宋体"/>
          <w:b/>
          <w:sz w:val="24"/>
        </w:rPr>
        <w:t>及质量保证金额</w:t>
      </w:r>
    </w:p>
    <w:p>
      <w:pPr>
        <w:spacing w:line="360" w:lineRule="auto"/>
        <w:ind w:firstLine="480" w:firstLineChars="200"/>
        <w:rPr>
          <w:rFonts w:ascii="宋体" w:hAnsi="宋体"/>
          <w:sz w:val="24"/>
        </w:rPr>
      </w:pPr>
      <w:r>
        <w:rPr>
          <w:rFonts w:hint="eastAsia" w:ascii="宋体" w:hAnsi="宋体"/>
          <w:sz w:val="24"/>
        </w:rPr>
        <w:t>整车免费质保</w:t>
      </w:r>
      <w:r>
        <w:rPr>
          <w:rFonts w:ascii="宋体" w:hAnsi="宋体"/>
          <w:sz w:val="24"/>
          <w:u w:val="single"/>
        </w:rPr>
        <w:t xml:space="preserve">     </w:t>
      </w:r>
      <w:r>
        <w:rPr>
          <w:rFonts w:hint="eastAsia" w:ascii="宋体" w:hAnsi="宋体"/>
          <w:sz w:val="24"/>
        </w:rPr>
        <w:t>年（其余车辆重要部位及重要零部件其质保期以乙方投标时承诺为准）。在验收合格后3个工作日内乙方须向甲方现金转账方式缴纳结算总价5%的质量保证金，质量保证金在车辆运行一年后且无违约扣除情况下，允许乙方以等额见索即付的银行保函置换。</w:t>
      </w:r>
    </w:p>
    <w:p>
      <w:pPr>
        <w:snapToGrid w:val="0"/>
        <w:spacing w:line="360" w:lineRule="auto"/>
        <w:ind w:left="546" w:leftChars="195" w:firstLine="118" w:firstLineChars="49"/>
        <w:rPr>
          <w:rFonts w:ascii="宋体" w:hAnsi="宋体"/>
          <w:b/>
          <w:sz w:val="24"/>
        </w:rPr>
      </w:pPr>
      <w:r>
        <w:rPr>
          <w:rFonts w:hint="eastAsia" w:ascii="宋体" w:hAnsi="宋体"/>
          <w:b/>
          <w:sz w:val="24"/>
        </w:rPr>
        <w:t>八</w:t>
      </w:r>
      <w:r>
        <w:rPr>
          <w:rFonts w:ascii="宋体" w:hAnsi="宋体"/>
          <w:b/>
          <w:sz w:val="24"/>
        </w:rPr>
        <w:t>、交货期、交货方式及交货地点</w:t>
      </w:r>
    </w:p>
    <w:p>
      <w:pPr>
        <w:snapToGrid w:val="0"/>
        <w:spacing w:line="360" w:lineRule="auto"/>
        <w:ind w:left="546" w:leftChars="195" w:firstLine="117" w:firstLineChars="49"/>
        <w:rPr>
          <w:rFonts w:ascii="宋体" w:hAnsi="宋体"/>
          <w:b/>
          <w:sz w:val="24"/>
        </w:rPr>
      </w:pPr>
      <w:r>
        <w:rPr>
          <w:rFonts w:ascii="宋体" w:hAnsi="宋体"/>
          <w:bCs/>
          <w:sz w:val="24"/>
        </w:rPr>
        <w:t>1</w:t>
      </w:r>
      <w:r>
        <w:rPr>
          <w:rFonts w:hint="eastAsia" w:ascii="宋体" w:hAnsi="宋体"/>
          <w:bCs/>
          <w:sz w:val="24"/>
        </w:rPr>
        <w:t>.</w:t>
      </w:r>
      <w:r>
        <w:rPr>
          <w:rFonts w:ascii="宋体" w:hAnsi="宋体"/>
          <w:bCs/>
          <w:sz w:val="24"/>
        </w:rPr>
        <w:t>交货期：</w:t>
      </w:r>
      <w:r>
        <w:rPr>
          <w:rFonts w:hint="eastAsia" w:ascii="宋体" w:hAnsi="宋体"/>
          <w:sz w:val="24"/>
          <w:u w:val="single"/>
        </w:rPr>
        <w:t>合同签订后</w:t>
      </w:r>
      <w:r>
        <w:rPr>
          <w:rFonts w:ascii="宋体" w:hAnsi="宋体"/>
          <w:sz w:val="24"/>
          <w:u w:val="single"/>
        </w:rPr>
        <w:t>45</w:t>
      </w:r>
      <w:r>
        <w:rPr>
          <w:rFonts w:hint="eastAsia" w:ascii="宋体" w:hAnsi="宋体"/>
          <w:sz w:val="24"/>
          <w:u w:val="single"/>
        </w:rPr>
        <w:t>天内完成供货、调试、验收和车辆登记上牌工作</w:t>
      </w:r>
      <w:r>
        <w:rPr>
          <w:rFonts w:hint="eastAsia" w:ascii="宋体" w:hAnsi="宋体"/>
          <w:bCs/>
          <w:sz w:val="24"/>
        </w:rPr>
        <w:t>；</w:t>
      </w:r>
    </w:p>
    <w:p>
      <w:pPr>
        <w:snapToGrid w:val="0"/>
        <w:spacing w:line="360" w:lineRule="auto"/>
        <w:ind w:left="546" w:leftChars="195" w:firstLine="117" w:firstLineChars="49"/>
        <w:rPr>
          <w:rFonts w:ascii="宋体" w:hAnsi="宋体"/>
          <w:sz w:val="24"/>
        </w:rPr>
      </w:pPr>
      <w:r>
        <w:rPr>
          <w:rFonts w:ascii="宋体" w:hAnsi="宋体"/>
          <w:sz w:val="24"/>
        </w:rPr>
        <w:t>2</w:t>
      </w:r>
      <w:r>
        <w:rPr>
          <w:rFonts w:hint="eastAsia" w:ascii="宋体" w:hAnsi="宋体"/>
          <w:sz w:val="24"/>
        </w:rPr>
        <w:t>.</w:t>
      </w:r>
      <w:r>
        <w:rPr>
          <w:rFonts w:ascii="宋体" w:hAnsi="宋体"/>
          <w:sz w:val="24"/>
        </w:rPr>
        <w:t>交货方式：</w:t>
      </w:r>
      <w:r>
        <w:rPr>
          <w:rFonts w:hint="eastAsia" w:ascii="宋体" w:hAnsi="宋体"/>
          <w:sz w:val="24"/>
          <w:u w:val="single"/>
        </w:rPr>
        <w:t>由乙方提供车辆并完成上牌后至甲方指定交货地点；</w:t>
      </w:r>
    </w:p>
    <w:p>
      <w:pPr>
        <w:snapToGrid w:val="0"/>
        <w:spacing w:line="360" w:lineRule="auto"/>
        <w:ind w:left="546" w:leftChars="195" w:firstLine="117" w:firstLineChars="49"/>
        <w:rPr>
          <w:rFonts w:ascii="宋体" w:hAnsi="宋体"/>
          <w:sz w:val="24"/>
          <w:u w:val="single"/>
        </w:rPr>
      </w:pPr>
      <w:r>
        <w:rPr>
          <w:rFonts w:ascii="宋体" w:hAnsi="宋体"/>
          <w:sz w:val="24"/>
        </w:rPr>
        <w:t>3</w:t>
      </w:r>
      <w:r>
        <w:rPr>
          <w:rFonts w:hint="eastAsia" w:ascii="宋体" w:hAnsi="宋体"/>
          <w:sz w:val="24"/>
        </w:rPr>
        <w:t>.</w:t>
      </w:r>
      <w:r>
        <w:rPr>
          <w:rFonts w:ascii="宋体" w:hAnsi="宋体"/>
          <w:sz w:val="24"/>
        </w:rPr>
        <w:t>交货地点：</w:t>
      </w:r>
      <w:r>
        <w:rPr>
          <w:rFonts w:hint="eastAsia" w:ascii="宋体" w:hAnsi="宋体"/>
          <w:sz w:val="24"/>
          <w:u w:val="single"/>
        </w:rPr>
        <w:t xml:space="preserve">       </w:t>
      </w:r>
    </w:p>
    <w:p>
      <w:pPr>
        <w:snapToGrid w:val="0"/>
        <w:spacing w:line="360" w:lineRule="auto"/>
        <w:ind w:left="546" w:leftChars="195" w:firstLine="118" w:firstLineChars="49"/>
        <w:rPr>
          <w:rFonts w:ascii="宋体" w:hAnsi="宋体"/>
          <w:b/>
          <w:sz w:val="24"/>
        </w:rPr>
      </w:pPr>
      <w:r>
        <w:rPr>
          <w:rFonts w:hint="eastAsia" w:ascii="宋体" w:hAnsi="宋体"/>
          <w:b/>
          <w:sz w:val="24"/>
        </w:rPr>
        <w:t>九</w:t>
      </w:r>
      <w:r>
        <w:rPr>
          <w:rFonts w:ascii="宋体" w:hAnsi="宋体"/>
          <w:b/>
          <w:sz w:val="24"/>
        </w:rPr>
        <w:t>、货款支付</w:t>
      </w:r>
    </w:p>
    <w:p>
      <w:pPr>
        <w:snapToGrid w:val="0"/>
        <w:spacing w:line="360" w:lineRule="auto"/>
        <w:ind w:firstLine="480" w:firstLineChars="200"/>
        <w:rPr>
          <w:rFonts w:ascii="宋体" w:hAnsi="宋体"/>
          <w:kern w:val="0"/>
          <w:sz w:val="24"/>
        </w:rPr>
      </w:pPr>
      <w:r>
        <w:rPr>
          <w:rFonts w:hint="eastAsia" w:ascii="宋体" w:hAnsi="宋体"/>
          <w:kern w:val="0"/>
          <w:sz w:val="24"/>
        </w:rPr>
        <w:t>1.</w:t>
      </w:r>
      <w:r>
        <w:rPr>
          <w:rFonts w:hint="eastAsia"/>
        </w:rPr>
        <w:t xml:space="preserve"> </w:t>
      </w:r>
      <w:r>
        <w:rPr>
          <w:rFonts w:hint="eastAsia" w:ascii="宋体" w:hAnsi="宋体" w:cs="仿宋"/>
          <w:sz w:val="24"/>
        </w:rPr>
        <w:t>车辆上牌、验收合格、收到质量保证金后15日内，支付80%货款，一年后支付剩余20%货款。</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乙方收取每笔货款时需向甲方提供款项申请资料及增值税正式专用发票。</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甲方向乙方支付的所有费用均须汇入协议书中指定的银行账户。</w:t>
      </w:r>
    </w:p>
    <w:p>
      <w:pPr>
        <w:snapToGrid w:val="0"/>
        <w:spacing w:line="360" w:lineRule="auto"/>
        <w:ind w:firstLine="472" w:firstLineChars="196"/>
        <w:rPr>
          <w:rFonts w:ascii="宋体" w:hAnsi="宋体"/>
          <w:b/>
          <w:sz w:val="24"/>
        </w:rPr>
      </w:pPr>
      <w:r>
        <w:rPr>
          <w:rFonts w:hint="eastAsia" w:ascii="宋体" w:hAnsi="宋体"/>
          <w:b/>
          <w:sz w:val="24"/>
        </w:rPr>
        <w:t>十、税费</w:t>
      </w:r>
    </w:p>
    <w:p>
      <w:pPr>
        <w:snapToGrid w:val="0"/>
        <w:spacing w:line="360" w:lineRule="auto"/>
        <w:ind w:firstLine="480" w:firstLineChars="200"/>
        <w:rPr>
          <w:rFonts w:ascii="宋体" w:hAnsi="宋体"/>
          <w:kern w:val="0"/>
          <w:sz w:val="24"/>
        </w:rPr>
      </w:pPr>
      <w:r>
        <w:rPr>
          <w:rFonts w:hint="eastAsia" w:ascii="宋体" w:hAnsi="宋体"/>
          <w:kern w:val="0"/>
          <w:sz w:val="24"/>
        </w:rPr>
        <w:t>本合同执行中相关的一切税费均由</w:t>
      </w:r>
      <w:r>
        <w:rPr>
          <w:rFonts w:ascii="宋体" w:hAnsi="宋体"/>
          <w:kern w:val="0"/>
          <w:sz w:val="24"/>
        </w:rPr>
        <w:t>乙</w:t>
      </w:r>
      <w:r>
        <w:rPr>
          <w:rFonts w:hint="eastAsia" w:ascii="宋体" w:hAnsi="宋体"/>
          <w:kern w:val="0"/>
          <w:sz w:val="24"/>
        </w:rPr>
        <w:t>方负担。</w:t>
      </w:r>
    </w:p>
    <w:p>
      <w:pPr>
        <w:snapToGrid w:val="0"/>
        <w:spacing w:line="360" w:lineRule="auto"/>
        <w:ind w:left="546" w:leftChars="195" w:firstLine="118" w:firstLineChars="49"/>
        <w:rPr>
          <w:rFonts w:ascii="宋体" w:hAnsi="宋体"/>
          <w:sz w:val="24"/>
        </w:rPr>
      </w:pPr>
      <w:r>
        <w:rPr>
          <w:rFonts w:ascii="宋体" w:hAnsi="宋体"/>
          <w:b/>
          <w:sz w:val="24"/>
        </w:rPr>
        <w:t>十</w:t>
      </w:r>
      <w:r>
        <w:rPr>
          <w:rFonts w:hint="eastAsia" w:ascii="宋体" w:hAnsi="宋体"/>
          <w:b/>
          <w:sz w:val="24"/>
        </w:rPr>
        <w:t>一</w:t>
      </w:r>
      <w:r>
        <w:rPr>
          <w:rFonts w:ascii="宋体" w:hAnsi="宋体"/>
          <w:b/>
          <w:sz w:val="24"/>
        </w:rPr>
        <w:t>、质量保证及售后服务</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乙方应按招标文件规定的货物性能、技术要求、质量标准向甲方提供未经使用的全新产品。</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乙方提供的货物在质</w:t>
      </w:r>
      <w:r>
        <w:rPr>
          <w:rFonts w:hint="eastAsia" w:ascii="宋体" w:hAnsi="宋体"/>
          <w:kern w:val="0"/>
          <w:sz w:val="24"/>
        </w:rPr>
        <w:t>保</w:t>
      </w:r>
      <w:r>
        <w:rPr>
          <w:rFonts w:ascii="宋体" w:hAnsi="宋体"/>
          <w:kern w:val="0"/>
          <w:sz w:val="24"/>
        </w:rPr>
        <w:t>期内</w:t>
      </w:r>
      <w:r>
        <w:rPr>
          <w:rFonts w:hint="eastAsia" w:ascii="宋体" w:hAnsi="宋体"/>
          <w:kern w:val="0"/>
          <w:sz w:val="24"/>
        </w:rPr>
        <w:t>非因人为原因发生故障</w:t>
      </w:r>
      <w:r>
        <w:rPr>
          <w:rFonts w:ascii="宋体" w:hAnsi="宋体"/>
          <w:kern w:val="0"/>
          <w:sz w:val="24"/>
        </w:rPr>
        <w:t>，乙方应负责免费更换。对达不到技术要求者，根据实际情况，经双方协商，可按以下办法处理：</w:t>
      </w:r>
    </w:p>
    <w:p>
      <w:pPr>
        <w:snapToGrid w:val="0"/>
        <w:spacing w:line="360" w:lineRule="auto"/>
        <w:ind w:firstLine="420"/>
        <w:rPr>
          <w:rFonts w:ascii="宋体" w:hAnsi="宋体"/>
          <w:kern w:val="0"/>
          <w:sz w:val="24"/>
        </w:rPr>
      </w:pPr>
      <w:r>
        <w:rPr>
          <w:rFonts w:ascii="宋体" w:hAnsi="宋体"/>
          <w:kern w:val="0"/>
          <w:sz w:val="24"/>
        </w:rPr>
        <w:t>⑴更换：由乙方承担所发生的全部费用。</w:t>
      </w:r>
    </w:p>
    <w:p>
      <w:pPr>
        <w:snapToGrid w:val="0"/>
        <w:spacing w:line="360" w:lineRule="auto"/>
        <w:ind w:firstLine="420"/>
        <w:rPr>
          <w:rFonts w:ascii="宋体" w:hAnsi="宋体"/>
          <w:kern w:val="0"/>
          <w:sz w:val="24"/>
        </w:rPr>
      </w:pPr>
      <w:r>
        <w:rPr>
          <w:rFonts w:ascii="宋体" w:hAnsi="宋体"/>
          <w:kern w:val="0"/>
          <w:sz w:val="24"/>
        </w:rPr>
        <w:t>⑵贬值处理：由甲乙双方合议定价。</w:t>
      </w:r>
    </w:p>
    <w:p>
      <w:pPr>
        <w:snapToGrid w:val="0"/>
        <w:spacing w:line="360" w:lineRule="auto"/>
        <w:ind w:firstLine="420"/>
        <w:rPr>
          <w:rFonts w:ascii="宋体" w:hAnsi="宋体"/>
          <w:kern w:val="0"/>
          <w:sz w:val="24"/>
        </w:rPr>
      </w:pPr>
      <w:r>
        <w:rPr>
          <w:rFonts w:ascii="宋体" w:hAnsi="宋体"/>
          <w:kern w:val="0"/>
          <w:sz w:val="24"/>
        </w:rPr>
        <w:t>⑶退货处理：乙方应退还甲方支付的合同款，同时应承担该货物的直接费用（运输、保险、检验、货款利息及银行手续费等）。</w:t>
      </w:r>
    </w:p>
    <w:p>
      <w:pPr>
        <w:snapToGrid w:val="0"/>
        <w:spacing w:line="360" w:lineRule="auto"/>
        <w:ind w:firstLine="360" w:firstLineChars="150"/>
        <w:rPr>
          <w:rFonts w:ascii="宋体" w:hAnsi="宋体"/>
          <w:kern w:val="0"/>
          <w:sz w:val="24"/>
        </w:rPr>
      </w:pPr>
      <w:r>
        <w:rPr>
          <w:rFonts w:hint="eastAsia" w:ascii="宋体" w:hAnsi="宋体"/>
          <w:kern w:val="0"/>
          <w:sz w:val="24"/>
        </w:rPr>
        <w:t>上述三种方式如协商不成，甲方有权直接自行选择上述三项处理方式任一项进行处理，乙方不得异议。</w:t>
      </w:r>
    </w:p>
    <w:p>
      <w:pPr>
        <w:snapToGrid w:val="0"/>
        <w:spacing w:line="360" w:lineRule="auto"/>
        <w:ind w:firstLine="360" w:firstLineChars="150"/>
        <w:rPr>
          <w:rFonts w:ascii="宋体" w:hAnsi="宋体"/>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维修服务要求24小时内响应，72小时内派人到现场，一星期内修复，未按时间修复的，自停运之日开始每天赔偿500元；需承诺保障车辆后续配件供应，乙方需自甲方向其提出采购需求1个工作日内响应，3个工作日内回复，7个工作日内提供甲方所需的配件，逾期未提供造成车辆停运的，自停运之日开始每天赔偿300元。</w:t>
      </w:r>
    </w:p>
    <w:p>
      <w:pPr>
        <w:snapToGrid w:val="0"/>
        <w:spacing w:line="360" w:lineRule="auto"/>
        <w:ind w:firstLine="472" w:firstLineChars="196"/>
        <w:rPr>
          <w:rFonts w:ascii="宋体" w:hAnsi="宋体"/>
          <w:b/>
          <w:sz w:val="24"/>
        </w:rPr>
      </w:pPr>
      <w:r>
        <w:rPr>
          <w:rFonts w:ascii="宋体" w:hAnsi="宋体"/>
          <w:b/>
          <w:sz w:val="24"/>
        </w:rPr>
        <w:t>十</w:t>
      </w:r>
      <w:r>
        <w:rPr>
          <w:rFonts w:hint="eastAsia" w:ascii="宋体" w:hAnsi="宋体"/>
          <w:b/>
          <w:sz w:val="24"/>
        </w:rPr>
        <w:t>二</w:t>
      </w:r>
      <w:r>
        <w:rPr>
          <w:rFonts w:ascii="宋体" w:hAnsi="宋体"/>
          <w:b/>
          <w:sz w:val="24"/>
        </w:rPr>
        <w:t>、调试和验收</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甲方对乙方提交的货物依据招标文件上的技术规格要求和国家有关质量标准进行现场初步验收，外观、说明书符合招标文件技术要求的，给予签收，初步验收不合格的不予签收。</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乙方交货前应对产品</w:t>
      </w:r>
      <w:r>
        <w:rPr>
          <w:rFonts w:hint="eastAsia" w:ascii="宋体" w:hAnsi="宋体"/>
          <w:kern w:val="0"/>
          <w:sz w:val="24"/>
        </w:rPr>
        <w:t>做出</w:t>
      </w:r>
      <w:r>
        <w:rPr>
          <w:rFonts w:ascii="宋体" w:hAnsi="宋体"/>
          <w:kern w:val="0"/>
          <w:sz w:val="24"/>
        </w:rPr>
        <w:t>全面检查和对验收文件进行整理，并列出清单，作为甲方收货验收和使用的技术条件依据，检验的结果应随货物交甲方。</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甲方对乙方提供的货物在使用前进行调试时，乙方需负责安装并培训甲方的使用操作人员，并协助甲方一起调试，直到符合技术要求，甲方才做最终验收。</w:t>
      </w:r>
    </w:p>
    <w:p>
      <w:pPr>
        <w:snapToGrid w:val="0"/>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w:t>
      </w:r>
      <w:r>
        <w:rPr>
          <w:rFonts w:ascii="宋体" w:hAnsi="宋体"/>
          <w:kern w:val="0"/>
          <w:sz w:val="24"/>
        </w:rPr>
        <w:t>对技术复杂的货物，甲方</w:t>
      </w:r>
      <w:r>
        <w:rPr>
          <w:rFonts w:hint="eastAsia" w:ascii="宋体" w:hAnsi="宋体"/>
          <w:kern w:val="0"/>
          <w:sz w:val="24"/>
        </w:rPr>
        <w:t>可</w:t>
      </w:r>
      <w:r>
        <w:rPr>
          <w:rFonts w:ascii="宋体" w:hAnsi="宋体"/>
          <w:kern w:val="0"/>
          <w:sz w:val="24"/>
        </w:rPr>
        <w:t>请国家认可的专业检测机构参与初步验收及最终验收，并由其出具质量检测报告。</w:t>
      </w:r>
    </w:p>
    <w:p>
      <w:pPr>
        <w:snapToGrid w:val="0"/>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w:t>
      </w:r>
      <w:r>
        <w:rPr>
          <w:rFonts w:ascii="宋体" w:hAnsi="宋体"/>
          <w:kern w:val="0"/>
          <w:sz w:val="24"/>
        </w:rPr>
        <w:t>验收时乙方必须在现场，验收完毕后作出验收结果报告；验收费用由乙方负责。</w:t>
      </w:r>
      <w:r>
        <w:rPr>
          <w:rFonts w:hint="eastAsia" w:ascii="宋体" w:hAnsi="宋体"/>
          <w:kern w:val="0"/>
          <w:sz w:val="24"/>
        </w:rPr>
        <w:t>如乙方拒不到场，视为其同意甲方之验收结果并不得异议。</w:t>
      </w:r>
    </w:p>
    <w:p>
      <w:pPr>
        <w:snapToGrid w:val="0"/>
        <w:spacing w:line="360" w:lineRule="auto"/>
        <w:ind w:firstLine="480" w:firstLineChars="200"/>
        <w:rPr>
          <w:rFonts w:ascii="宋体" w:hAnsi="宋体"/>
          <w:kern w:val="0"/>
          <w:sz w:val="24"/>
        </w:rPr>
      </w:pPr>
      <w:r>
        <w:rPr>
          <w:rFonts w:hint="eastAsia" w:ascii="宋体" w:hAnsi="宋体"/>
          <w:kern w:val="0"/>
          <w:sz w:val="24"/>
        </w:rPr>
        <w:t>6.在合同履行过程中，因乙方人员在合同履行过程中造成甲方或其自身人身或财产损害，由乙方承担全部责任。</w:t>
      </w:r>
    </w:p>
    <w:p>
      <w:pPr>
        <w:snapToGrid w:val="0"/>
        <w:spacing w:line="360" w:lineRule="auto"/>
        <w:ind w:firstLine="472" w:firstLineChars="196"/>
        <w:rPr>
          <w:rFonts w:ascii="宋体" w:hAnsi="宋体"/>
          <w:b/>
          <w:sz w:val="24"/>
        </w:rPr>
      </w:pPr>
      <w:r>
        <w:rPr>
          <w:rFonts w:ascii="宋体" w:hAnsi="宋体"/>
          <w:b/>
          <w:sz w:val="24"/>
        </w:rPr>
        <w:t>十</w:t>
      </w:r>
      <w:r>
        <w:rPr>
          <w:rFonts w:hint="eastAsia" w:ascii="宋体" w:hAnsi="宋体"/>
          <w:b/>
          <w:sz w:val="24"/>
        </w:rPr>
        <w:t>三</w:t>
      </w:r>
      <w:r>
        <w:rPr>
          <w:rFonts w:ascii="宋体" w:hAnsi="宋体"/>
          <w:b/>
          <w:sz w:val="24"/>
        </w:rPr>
        <w:t>、货物包装、发运及运输</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乙方应在货物发运前对其进行满足运输距离、防潮、防震、防锈和防破损装卸等要求包装，以保证货物安全运达甲方指定地点。</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使用说明书、质量检验证明书、随配附件和工具以及清单一并附于货物内。</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乙方在货物发运手续办理完毕后24小时内或货到甲方48小时前通知甲方，以准备接货</w:t>
      </w:r>
      <w:r>
        <w:rPr>
          <w:rFonts w:hint="eastAsia" w:ascii="宋体" w:hAnsi="宋体"/>
          <w:kern w:val="0"/>
          <w:sz w:val="24"/>
        </w:rPr>
        <w:t>。</w:t>
      </w:r>
    </w:p>
    <w:p>
      <w:pPr>
        <w:snapToGrid w:val="0"/>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w:t>
      </w:r>
      <w:r>
        <w:rPr>
          <w:rFonts w:ascii="宋体" w:hAnsi="宋体"/>
          <w:kern w:val="0"/>
          <w:sz w:val="24"/>
        </w:rPr>
        <w:t>货物在交付甲方前发生的风险均由乙方负责</w:t>
      </w:r>
      <w:r>
        <w:rPr>
          <w:rFonts w:hint="eastAsia" w:ascii="宋体" w:hAnsi="宋体"/>
          <w:kern w:val="0"/>
          <w:sz w:val="24"/>
        </w:rPr>
        <w:t>，车辆完成登记和上牌后至甲方指定地点并经甲方验收合格后视为乙方完成交付。</w:t>
      </w:r>
    </w:p>
    <w:p>
      <w:pPr>
        <w:snapToGrid w:val="0"/>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w:t>
      </w:r>
      <w:r>
        <w:rPr>
          <w:rFonts w:ascii="宋体" w:hAnsi="宋体"/>
          <w:kern w:val="0"/>
          <w:sz w:val="24"/>
        </w:rPr>
        <w:t>货物在规定的交付期限内由乙方送达甲方指定的地点，乙方同时需通知甲方货物已送达</w:t>
      </w:r>
      <w:r>
        <w:rPr>
          <w:rFonts w:hint="eastAsia" w:ascii="宋体" w:hAnsi="宋体"/>
          <w:kern w:val="0"/>
          <w:sz w:val="24"/>
        </w:rPr>
        <w:t>，并与甲工作人员办理交接手续，否则视为未交付。</w:t>
      </w:r>
    </w:p>
    <w:p>
      <w:pPr>
        <w:snapToGrid w:val="0"/>
        <w:spacing w:line="360" w:lineRule="auto"/>
        <w:ind w:firstLine="480" w:firstLineChars="200"/>
        <w:rPr>
          <w:rFonts w:ascii="宋体" w:hAnsi="宋体"/>
          <w:kern w:val="0"/>
          <w:sz w:val="24"/>
        </w:rPr>
      </w:pPr>
      <w:r>
        <w:rPr>
          <w:rFonts w:hint="eastAsia" w:ascii="宋体" w:hAnsi="宋体"/>
          <w:kern w:val="0"/>
          <w:sz w:val="24"/>
        </w:rPr>
        <w:t>6</w:t>
      </w:r>
      <w:r>
        <w:rPr>
          <w:rFonts w:ascii="宋体" w:hAnsi="宋体"/>
          <w:kern w:val="0"/>
          <w:sz w:val="24"/>
        </w:rPr>
        <w:t>.</w:t>
      </w:r>
      <w:r>
        <w:rPr>
          <w:rFonts w:hint="eastAsia" w:ascii="宋体" w:hAnsi="宋体"/>
          <w:kern w:val="0"/>
          <w:sz w:val="24"/>
        </w:rPr>
        <w:t>货物在装运前由乙方投保，一旦货物在装卸、运输过程中发生损坏或短缺，由乙方负责索赔。</w:t>
      </w:r>
    </w:p>
    <w:p>
      <w:pPr>
        <w:snapToGrid w:val="0"/>
        <w:spacing w:line="360" w:lineRule="auto"/>
        <w:ind w:firstLine="480" w:firstLineChars="200"/>
        <w:rPr>
          <w:rFonts w:ascii="宋体" w:hAnsi="宋体"/>
          <w:kern w:val="0"/>
          <w:sz w:val="24"/>
        </w:rPr>
      </w:pPr>
      <w:r>
        <w:rPr>
          <w:rFonts w:hint="eastAsia" w:ascii="宋体" w:hAnsi="宋体"/>
          <w:kern w:val="0"/>
          <w:sz w:val="24"/>
        </w:rPr>
        <w:t>7</w:t>
      </w:r>
      <w:r>
        <w:rPr>
          <w:rFonts w:ascii="宋体" w:hAnsi="宋体"/>
          <w:kern w:val="0"/>
          <w:sz w:val="24"/>
        </w:rPr>
        <w:t>.</w:t>
      </w:r>
      <w:r>
        <w:rPr>
          <w:rFonts w:hint="eastAsia" w:ascii="宋体" w:hAnsi="宋体"/>
          <w:kern w:val="0"/>
          <w:sz w:val="24"/>
        </w:rPr>
        <w:t>乙方保证在确认货物因装卸、运输中发生损坏或短缺后，尽快给予调换、修复和补齐缺件，不管其造成的原因如何，也不能以办理索赔为由而拖延。</w:t>
      </w:r>
    </w:p>
    <w:p>
      <w:pPr>
        <w:snapToGrid w:val="0"/>
        <w:spacing w:line="360" w:lineRule="auto"/>
        <w:ind w:firstLine="472" w:firstLineChars="196"/>
        <w:rPr>
          <w:rFonts w:ascii="宋体" w:hAnsi="宋体"/>
          <w:b/>
          <w:sz w:val="24"/>
        </w:rPr>
      </w:pPr>
      <w:r>
        <w:rPr>
          <w:rFonts w:ascii="宋体" w:hAnsi="宋体"/>
          <w:b/>
          <w:sz w:val="24"/>
        </w:rPr>
        <w:t>十</w:t>
      </w:r>
      <w:r>
        <w:rPr>
          <w:rFonts w:hint="eastAsia" w:ascii="宋体" w:hAnsi="宋体"/>
          <w:b/>
          <w:sz w:val="24"/>
        </w:rPr>
        <w:t>四</w:t>
      </w:r>
      <w:r>
        <w:rPr>
          <w:rFonts w:ascii="宋体" w:hAnsi="宋体"/>
          <w:b/>
          <w:sz w:val="24"/>
        </w:rPr>
        <w:t>、违约责任</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甲方无正当理由拒收货物的，甲方向乙方偿付拒收货款总值的百分之五违约金。</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甲方无故逾期验收和办理货款支付手续的</w:t>
      </w:r>
      <w:r>
        <w:rPr>
          <w:rFonts w:ascii="宋体" w:hAnsi="宋体"/>
          <w:kern w:val="0"/>
          <w:sz w:val="24"/>
        </w:rPr>
        <w:t>,</w:t>
      </w:r>
      <w:r>
        <w:rPr>
          <w:rFonts w:hint="eastAsia" w:ascii="宋体" w:hAnsi="宋体"/>
          <w:kern w:val="0"/>
          <w:sz w:val="24"/>
        </w:rPr>
        <w:t>甲方应按逾期付款总额每日万分之五向乙方支付违约金。</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乙方逾期交付货物的，乙方应按逾期交货总额每日千分之六向甲方支付违约金，甲方可直接从待付货款中扣除。逾期超过约定日期</w:t>
      </w:r>
      <w:r>
        <w:rPr>
          <w:rFonts w:ascii="宋体" w:hAnsi="宋体"/>
          <w:kern w:val="0"/>
          <w:sz w:val="24"/>
        </w:rPr>
        <w:t>10</w:t>
      </w:r>
      <w:r>
        <w:rPr>
          <w:rFonts w:hint="eastAsia" w:ascii="宋体" w:hAnsi="宋体"/>
          <w:kern w:val="0"/>
          <w:sz w:val="24"/>
        </w:rPr>
        <w:t>个工作日不能交货的，甲方可单方面解除本合同。乙方因逾期交货或因其他违约行为导致甲方解除合同的，乙方应向甲方支付合同总价20%的违约金，如造成甲方损失超过违约金的，超出部分由乙方继续承担赔偿责任。</w:t>
      </w:r>
      <w:r>
        <w:rPr>
          <w:rFonts w:ascii="宋体" w:hAnsi="宋体"/>
          <w:kern w:val="0"/>
          <w:sz w:val="24"/>
        </w:rPr>
        <w:t xml:space="preserve"> </w:t>
      </w:r>
    </w:p>
    <w:p>
      <w:pPr>
        <w:snapToGrid w:val="0"/>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并向甲方支付合同总价20%的违约金。</w:t>
      </w:r>
    </w:p>
    <w:p>
      <w:pPr>
        <w:snapToGrid w:val="0"/>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若发生纠纷，由违约方赔偿守约方因纠纷所支付的费用（包括但不限于律师费、差旅费、诉讼费、保全费、鉴定费、评估费等）</w:t>
      </w:r>
    </w:p>
    <w:p>
      <w:pPr>
        <w:snapToGrid w:val="0"/>
        <w:spacing w:line="360" w:lineRule="auto"/>
        <w:ind w:firstLine="482" w:firstLineChars="200"/>
        <w:rPr>
          <w:rFonts w:ascii="宋体" w:hAnsi="宋体"/>
          <w:b/>
          <w:sz w:val="24"/>
        </w:rPr>
      </w:pPr>
      <w:r>
        <w:rPr>
          <w:rFonts w:ascii="宋体" w:hAnsi="宋体"/>
          <w:b/>
          <w:sz w:val="24"/>
        </w:rPr>
        <w:t>十</w:t>
      </w:r>
      <w:r>
        <w:rPr>
          <w:rFonts w:hint="eastAsia" w:ascii="宋体" w:hAnsi="宋体"/>
          <w:b/>
          <w:sz w:val="24"/>
        </w:rPr>
        <w:t>五</w:t>
      </w:r>
      <w:r>
        <w:rPr>
          <w:rFonts w:ascii="宋体" w:hAnsi="宋体"/>
          <w:b/>
          <w:sz w:val="24"/>
        </w:rPr>
        <w:t>、不可抗力事件处理</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在合同有效期内，任何一方因不可抗力事件导致不能履行合同，则合同履行期可延长，其延长期与不可抗力影响期相同。</w:t>
      </w:r>
    </w:p>
    <w:p>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不可抗力事件发生后，应立即通知对方，并寄送有关权威机构出具的证明。</w:t>
      </w:r>
    </w:p>
    <w:p>
      <w:pPr>
        <w:snapToGrid w:val="0"/>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不可抗力事件延续</w:t>
      </w:r>
      <w:r>
        <w:rPr>
          <w:rFonts w:hint="eastAsia" w:ascii="宋体" w:hAnsi="宋体"/>
          <w:kern w:val="0"/>
          <w:sz w:val="24"/>
        </w:rPr>
        <w:t>60</w:t>
      </w:r>
      <w:r>
        <w:rPr>
          <w:rFonts w:ascii="宋体" w:hAnsi="宋体"/>
          <w:kern w:val="0"/>
          <w:sz w:val="24"/>
        </w:rPr>
        <w:t>天以上，双方应通过友好协商，确定是否继续履行合同。</w:t>
      </w:r>
    </w:p>
    <w:p>
      <w:pPr>
        <w:snapToGrid w:val="0"/>
        <w:spacing w:line="360" w:lineRule="auto"/>
        <w:ind w:firstLine="472" w:firstLineChars="196"/>
        <w:rPr>
          <w:rFonts w:ascii="宋体" w:hAnsi="宋体"/>
          <w:b/>
          <w:sz w:val="24"/>
        </w:rPr>
      </w:pPr>
      <w:r>
        <w:rPr>
          <w:rFonts w:ascii="宋体" w:hAnsi="宋体"/>
          <w:b/>
          <w:sz w:val="24"/>
        </w:rPr>
        <w:t>十</w:t>
      </w:r>
      <w:r>
        <w:rPr>
          <w:rFonts w:hint="eastAsia" w:ascii="宋体" w:hAnsi="宋体"/>
          <w:b/>
          <w:sz w:val="24"/>
        </w:rPr>
        <w:t>六</w:t>
      </w:r>
      <w:r>
        <w:rPr>
          <w:rFonts w:ascii="宋体" w:hAnsi="宋体"/>
          <w:b/>
          <w:sz w:val="24"/>
        </w:rPr>
        <w:t>、诉讼</w:t>
      </w:r>
    </w:p>
    <w:p>
      <w:pPr>
        <w:snapToGrid w:val="0"/>
        <w:spacing w:line="360" w:lineRule="auto"/>
        <w:ind w:firstLine="480" w:firstLineChars="200"/>
        <w:rPr>
          <w:rFonts w:ascii="宋体" w:hAnsi="宋体"/>
          <w:kern w:val="0"/>
          <w:sz w:val="24"/>
        </w:rPr>
      </w:pPr>
      <w:r>
        <w:rPr>
          <w:rFonts w:ascii="宋体" w:hAnsi="宋体"/>
          <w:kern w:val="0"/>
          <w:sz w:val="24"/>
        </w:rPr>
        <w:t>双方在执行合同中所发生的一切争议，应通过协商解决。如协商不成，</w:t>
      </w:r>
      <w:r>
        <w:rPr>
          <w:rFonts w:hint="eastAsia" w:ascii="宋体" w:hAnsi="宋体"/>
          <w:kern w:val="0"/>
          <w:sz w:val="24"/>
        </w:rPr>
        <w:t>依法向甲方所在地人民法院提起诉讼。</w:t>
      </w:r>
    </w:p>
    <w:p>
      <w:pPr>
        <w:snapToGrid w:val="0"/>
        <w:spacing w:line="360" w:lineRule="auto"/>
        <w:ind w:firstLine="472" w:firstLineChars="196"/>
        <w:rPr>
          <w:rFonts w:ascii="宋体" w:hAnsi="宋体"/>
          <w:b/>
          <w:sz w:val="24"/>
        </w:rPr>
      </w:pPr>
      <w:r>
        <w:rPr>
          <w:rFonts w:ascii="宋体" w:hAnsi="宋体"/>
          <w:b/>
          <w:sz w:val="24"/>
        </w:rPr>
        <w:t>十</w:t>
      </w:r>
      <w:r>
        <w:rPr>
          <w:rFonts w:hint="eastAsia" w:ascii="宋体" w:hAnsi="宋体"/>
          <w:b/>
          <w:sz w:val="24"/>
        </w:rPr>
        <w:t>七</w:t>
      </w:r>
      <w:r>
        <w:rPr>
          <w:rFonts w:ascii="宋体" w:hAnsi="宋体"/>
          <w:b/>
          <w:sz w:val="24"/>
        </w:rPr>
        <w:t>、合同生效及其它</w:t>
      </w:r>
    </w:p>
    <w:p>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合同经双方法定代表人或授权代表签字并加盖单位公章后生效。</w:t>
      </w:r>
    </w:p>
    <w:p>
      <w:pPr>
        <w:snapToGrid w:val="0"/>
        <w:spacing w:line="360" w:lineRule="auto"/>
        <w:ind w:firstLine="480" w:firstLineChars="200"/>
        <w:rPr>
          <w:rFonts w:ascii="宋体" w:hAnsi="宋体"/>
          <w:kern w:val="0"/>
          <w:sz w:val="24"/>
        </w:rPr>
      </w:pPr>
      <w:r>
        <w:rPr>
          <w:rFonts w:hint="eastAsia" w:ascii="宋体" w:hAnsi="宋体"/>
          <w:kern w:val="0"/>
          <w:sz w:val="24"/>
        </w:rPr>
        <w:t>2.</w:t>
      </w:r>
      <w:r>
        <w:rPr>
          <w:rFonts w:ascii="宋体" w:hAnsi="宋体"/>
          <w:kern w:val="0"/>
          <w:sz w:val="24"/>
        </w:rPr>
        <w:t>本合同未尽事宜，遵照《中华人民共和国</w:t>
      </w:r>
      <w:r>
        <w:rPr>
          <w:rFonts w:hint="eastAsia" w:ascii="宋体" w:hAnsi="宋体"/>
          <w:kern w:val="0"/>
          <w:sz w:val="24"/>
        </w:rPr>
        <w:t>民法典</w:t>
      </w:r>
      <w:r>
        <w:rPr>
          <w:rFonts w:ascii="宋体" w:hAnsi="宋体"/>
          <w:kern w:val="0"/>
          <w:sz w:val="24"/>
        </w:rPr>
        <w:t>》有关条文执行。</w:t>
      </w:r>
    </w:p>
    <w:p>
      <w:pPr>
        <w:snapToGrid w:val="0"/>
        <w:spacing w:line="360" w:lineRule="auto"/>
        <w:ind w:firstLine="480" w:firstLineChars="200"/>
        <w:rPr>
          <w:rFonts w:ascii="宋体" w:hAnsi="宋体"/>
          <w:kern w:val="0"/>
          <w:sz w:val="24"/>
        </w:rPr>
      </w:pPr>
      <w:r>
        <w:rPr>
          <w:rFonts w:hint="eastAsia" w:ascii="宋体" w:hAnsi="宋体"/>
          <w:kern w:val="0"/>
          <w:sz w:val="24"/>
        </w:rPr>
        <w:t>3.本合同一式陆份，甲方执叁份、乙方执贰份，台州市产权交易所有限公司执壹份。本项目未尽事宜以招标文件、投标文件及澄清文件等为准。</w:t>
      </w:r>
    </w:p>
    <w:p>
      <w:pPr>
        <w:widowControl/>
        <w:spacing w:line="360" w:lineRule="auto"/>
        <w:ind w:firstLine="482" w:firstLineChars="200"/>
        <w:rPr>
          <w:rFonts w:ascii="宋体" w:hAnsi="宋体" w:cs="Book Antiqua"/>
          <w:b/>
          <w:sz w:val="24"/>
        </w:rPr>
      </w:pPr>
    </w:p>
    <w:p>
      <w:pPr>
        <w:spacing w:line="360" w:lineRule="auto"/>
        <w:ind w:left="5880" w:hanging="5880" w:hangingChars="2450"/>
        <w:rPr>
          <w:rFonts w:ascii="宋体" w:hAnsi="宋体" w:cs="Book Antiqua"/>
          <w:sz w:val="24"/>
        </w:rPr>
      </w:pPr>
      <w:r>
        <w:rPr>
          <w:rFonts w:ascii="宋体" w:hAnsi="宋体" w:cs="Book Antiqua"/>
          <w:sz w:val="24"/>
        </w:rPr>
        <w:t>甲方（公章）</w:t>
      </w:r>
      <w:r>
        <w:rPr>
          <w:rFonts w:hint="eastAsia" w:ascii="宋体" w:hAnsi="宋体" w:cs="Book Antiqua"/>
          <w:sz w:val="24"/>
        </w:rPr>
        <w:t xml:space="preserve"> </w:t>
      </w:r>
      <w:r>
        <w:rPr>
          <w:rFonts w:ascii="宋体" w:hAnsi="宋体" w:cs="Book Antiqua"/>
          <w:sz w:val="24"/>
        </w:rPr>
        <w:t xml:space="preserve">                     </w:t>
      </w:r>
      <w:r>
        <w:rPr>
          <w:rFonts w:hint="eastAsia" w:ascii="宋体" w:hAnsi="宋体" w:cs="Book Antiqua"/>
          <w:sz w:val="24"/>
        </w:rPr>
        <w:t xml:space="preserve">    </w:t>
      </w:r>
      <w:r>
        <w:rPr>
          <w:rFonts w:ascii="宋体" w:hAnsi="宋体" w:cs="Book Antiqua"/>
          <w:sz w:val="24"/>
        </w:rPr>
        <w:t>乙方（公章）</w:t>
      </w:r>
    </w:p>
    <w:p>
      <w:pPr>
        <w:spacing w:line="360" w:lineRule="auto"/>
        <w:rPr>
          <w:rFonts w:ascii="宋体" w:hAnsi="宋体" w:cs="Book Antiqua"/>
          <w:sz w:val="24"/>
        </w:rPr>
      </w:pPr>
      <w:r>
        <w:rPr>
          <w:rFonts w:ascii="宋体" w:hAnsi="宋体" w:cs="Book Antiqua"/>
          <w:sz w:val="24"/>
        </w:rPr>
        <w:t xml:space="preserve">法定代表人                 </w:t>
      </w:r>
      <w:r>
        <w:rPr>
          <w:rFonts w:hint="eastAsia" w:ascii="宋体" w:hAnsi="宋体" w:cs="Book Antiqua"/>
          <w:sz w:val="24"/>
        </w:rPr>
        <w:t xml:space="preserve"> </w:t>
      </w:r>
      <w:r>
        <w:rPr>
          <w:rFonts w:ascii="宋体" w:hAnsi="宋体" w:cs="Book Antiqua"/>
          <w:sz w:val="24"/>
        </w:rPr>
        <w:t xml:space="preserve"> </w:t>
      </w:r>
      <w:r>
        <w:rPr>
          <w:rFonts w:hint="eastAsia" w:ascii="宋体" w:hAnsi="宋体" w:cs="Book Antiqua"/>
          <w:sz w:val="24"/>
        </w:rPr>
        <w:t xml:space="preserve">       </w:t>
      </w:r>
      <w:r>
        <w:rPr>
          <w:rFonts w:ascii="宋体" w:hAnsi="宋体" w:cs="Book Antiqua"/>
          <w:sz w:val="24"/>
        </w:rPr>
        <w:t xml:space="preserve">  法定代表人</w:t>
      </w:r>
    </w:p>
    <w:p>
      <w:pPr>
        <w:spacing w:line="360" w:lineRule="auto"/>
        <w:rPr>
          <w:rFonts w:ascii="宋体" w:hAnsi="宋体" w:cs="Book Antiqua"/>
          <w:sz w:val="24"/>
        </w:rPr>
      </w:pPr>
      <w:r>
        <w:rPr>
          <w:rFonts w:ascii="宋体" w:hAnsi="宋体" w:cs="Book Antiqua"/>
          <w:sz w:val="24"/>
        </w:rPr>
        <w:t xml:space="preserve">或委托代理人：                  </w:t>
      </w:r>
      <w:r>
        <w:rPr>
          <w:rFonts w:hint="eastAsia" w:ascii="宋体" w:hAnsi="宋体" w:cs="Book Antiqua"/>
          <w:sz w:val="24"/>
        </w:rPr>
        <w:t xml:space="preserve">    </w:t>
      </w:r>
      <w:r>
        <w:rPr>
          <w:rFonts w:ascii="宋体" w:hAnsi="宋体" w:cs="Book Antiqua"/>
          <w:sz w:val="24"/>
        </w:rPr>
        <w:t xml:space="preserve">  </w:t>
      </w:r>
      <w:r>
        <w:rPr>
          <w:rFonts w:hint="eastAsia" w:ascii="宋体" w:hAnsi="宋体" w:cs="Book Antiqua"/>
          <w:sz w:val="24"/>
        </w:rPr>
        <w:t>或</w:t>
      </w:r>
      <w:r>
        <w:rPr>
          <w:rFonts w:ascii="宋体" w:hAnsi="宋体" w:cs="Book Antiqua"/>
          <w:sz w:val="24"/>
        </w:rPr>
        <w:t>委托代理人：</w:t>
      </w:r>
    </w:p>
    <w:p>
      <w:pPr>
        <w:spacing w:line="360" w:lineRule="auto"/>
        <w:rPr>
          <w:rFonts w:ascii="宋体" w:hAnsi="宋体" w:cs="Book Antiqua"/>
          <w:sz w:val="24"/>
        </w:rPr>
      </w:pPr>
      <w:r>
        <w:rPr>
          <w:rFonts w:ascii="宋体" w:hAnsi="宋体" w:cs="Book Antiqua"/>
          <w:sz w:val="24"/>
        </w:rPr>
        <w:t>联系电话</w:t>
      </w:r>
      <w:r>
        <w:rPr>
          <w:rFonts w:hint="eastAsia" w:ascii="宋体" w:hAnsi="宋体" w:cs="Book Antiqua"/>
          <w:sz w:val="24"/>
        </w:rPr>
        <w:t>：</w:t>
      </w:r>
      <w:r>
        <w:rPr>
          <w:rFonts w:ascii="宋体" w:hAnsi="宋体" w:cs="Book Antiqua"/>
          <w:sz w:val="24"/>
        </w:rPr>
        <w:t xml:space="preserve">       </w:t>
      </w:r>
      <w:r>
        <w:rPr>
          <w:rFonts w:hint="eastAsia" w:ascii="宋体" w:hAnsi="宋体" w:cs="Book Antiqua"/>
          <w:sz w:val="24"/>
        </w:rPr>
        <w:t xml:space="preserve">        </w:t>
      </w:r>
      <w:r>
        <w:rPr>
          <w:rFonts w:ascii="宋体" w:hAnsi="宋体" w:cs="Book Antiqua"/>
          <w:sz w:val="24"/>
        </w:rPr>
        <w:t xml:space="preserve">             联系电话：</w:t>
      </w:r>
    </w:p>
    <w:p>
      <w:pPr>
        <w:spacing w:line="360" w:lineRule="auto"/>
        <w:rPr>
          <w:rFonts w:ascii="宋体" w:hAnsi="宋体" w:cs="Book Antiqua"/>
          <w:sz w:val="24"/>
        </w:rPr>
      </w:pPr>
      <w:r>
        <w:rPr>
          <w:rFonts w:ascii="宋体" w:hAnsi="宋体" w:cs="Book Antiqua"/>
          <w:sz w:val="24"/>
        </w:rPr>
        <w:t xml:space="preserve">开户银行：          </w:t>
      </w:r>
      <w:r>
        <w:rPr>
          <w:rFonts w:hint="eastAsia" w:ascii="宋体" w:hAnsi="宋体" w:cs="Book Antiqua"/>
          <w:sz w:val="24"/>
        </w:rPr>
        <w:t xml:space="preserve">    </w:t>
      </w:r>
      <w:r>
        <w:rPr>
          <w:rFonts w:ascii="宋体" w:hAnsi="宋体" w:cs="Book Antiqua"/>
          <w:sz w:val="24"/>
        </w:rPr>
        <w:t xml:space="preserve">              开户银行： </w:t>
      </w:r>
    </w:p>
    <w:p>
      <w:pPr>
        <w:spacing w:line="360" w:lineRule="auto"/>
        <w:rPr>
          <w:rFonts w:ascii="宋体" w:hAnsi="宋体" w:cs="Book Antiqua"/>
          <w:sz w:val="24"/>
        </w:rPr>
      </w:pPr>
      <w:r>
        <w:rPr>
          <w:rFonts w:hint="eastAsia" w:ascii="宋体" w:hAnsi="宋体" w:cs="Book Antiqua"/>
          <w:sz w:val="24"/>
        </w:rPr>
        <w:t>账号</w:t>
      </w:r>
      <w:r>
        <w:rPr>
          <w:rFonts w:ascii="宋体" w:hAnsi="宋体" w:cs="Book Antiqua"/>
          <w:sz w:val="24"/>
        </w:rPr>
        <w:t xml:space="preserve">：                                </w:t>
      </w:r>
      <w:r>
        <w:rPr>
          <w:rFonts w:hint="eastAsia" w:ascii="宋体" w:hAnsi="宋体" w:cs="Book Antiqua"/>
          <w:sz w:val="24"/>
        </w:rPr>
        <w:t>账号</w:t>
      </w:r>
      <w:r>
        <w:rPr>
          <w:rFonts w:ascii="宋体" w:hAnsi="宋体" w:cs="Book Antiqua"/>
          <w:sz w:val="24"/>
        </w:rPr>
        <w:t>：</w:t>
      </w:r>
    </w:p>
    <w:p>
      <w:pPr>
        <w:spacing w:line="360" w:lineRule="auto"/>
        <w:ind w:left="4560" w:hanging="4560" w:hangingChars="1900"/>
        <w:rPr>
          <w:rFonts w:ascii="宋体" w:hAnsi="宋体" w:cs="Book Antiqua"/>
          <w:sz w:val="24"/>
        </w:rPr>
      </w:pPr>
      <w:r>
        <w:rPr>
          <w:rFonts w:ascii="宋体" w:hAnsi="宋体" w:cs="Book Antiqua"/>
          <w:sz w:val="24"/>
        </w:rPr>
        <w:t>地址及邮编</w:t>
      </w:r>
      <w:r>
        <w:rPr>
          <w:rFonts w:hint="eastAsia" w:ascii="宋体" w:hAnsi="宋体" w:cs="Book Antiqua"/>
          <w:sz w:val="24"/>
        </w:rPr>
        <w:t>：</w:t>
      </w:r>
      <w:r>
        <w:rPr>
          <w:rFonts w:ascii="宋体" w:hAnsi="宋体" w:cs="Book Antiqua"/>
          <w:sz w:val="24"/>
        </w:rPr>
        <w:t xml:space="preserve">  </w:t>
      </w:r>
      <w:r>
        <w:rPr>
          <w:rFonts w:hint="eastAsia" w:ascii="宋体" w:hAnsi="宋体" w:cs="Book Antiqua"/>
          <w:sz w:val="24"/>
        </w:rPr>
        <w:t xml:space="preserve">   </w:t>
      </w:r>
      <w:r>
        <w:rPr>
          <w:rFonts w:ascii="宋体" w:hAnsi="宋体" w:cs="Book Antiqua"/>
          <w:sz w:val="24"/>
        </w:rPr>
        <w:t xml:space="preserve">                     地址及邮编：</w:t>
      </w:r>
    </w:p>
    <w:p>
      <w:pPr>
        <w:spacing w:line="360" w:lineRule="auto"/>
        <w:rPr>
          <w:rFonts w:ascii="宋体" w:hAnsi="宋体" w:cs="宋体"/>
          <w:sz w:val="24"/>
          <w:u w:val="single"/>
        </w:rPr>
      </w:pPr>
      <w:r>
        <w:rPr>
          <w:rFonts w:hint="eastAsia" w:ascii="宋体" w:hAnsi="宋体" w:cs="Book Antiqua"/>
          <w:sz w:val="24"/>
        </w:rPr>
        <w:t xml:space="preserve">  </w:t>
      </w:r>
      <w:r>
        <w:rPr>
          <w:rFonts w:hint="eastAsia"/>
          <w:sz w:val="24"/>
        </w:rPr>
        <w:t>签订时间：    年   月    日</w:t>
      </w:r>
    </w:p>
    <w:p>
      <w:pPr>
        <w:spacing w:line="360" w:lineRule="auto"/>
        <w:rPr>
          <w:rFonts w:ascii="宋体" w:hAnsi="宋体" w:cs="宋体"/>
          <w:sz w:val="24"/>
        </w:rPr>
      </w:pPr>
    </w:p>
    <w:p>
      <w:pPr>
        <w:pStyle w:val="39"/>
        <w:autoSpaceDE w:val="0"/>
        <w:autoSpaceDN w:val="0"/>
        <w:spacing w:line="360" w:lineRule="exact"/>
        <w:ind w:firstLine="987" w:firstLineChars="273"/>
        <w:rPr>
          <w:rFonts w:hAnsi="宋体"/>
          <w:b w:val="0"/>
        </w:rPr>
      </w:pPr>
      <w:r>
        <w:rPr>
          <w:rFonts w:hint="eastAsia" w:ascii="宋体" w:hAnsi="宋体" w:cs="宋体"/>
          <w:sz w:val="36"/>
          <w:szCs w:val="36"/>
        </w:rPr>
        <w:br w:type="page"/>
      </w:r>
      <w:r>
        <w:rPr>
          <w:rFonts w:hAnsi="宋体"/>
          <w:b w:val="0"/>
        </w:rPr>
        <w:t>第六章　投标文件格式</w:t>
      </w:r>
    </w:p>
    <w:p>
      <w:pPr>
        <w:snapToGrid w:val="0"/>
        <w:spacing w:before="50" w:after="120" w:afterLines="50"/>
        <w:jc w:val="center"/>
        <w:rPr>
          <w:rFonts w:ascii="宋体" w:hAnsi="宋体" w:cs="宋体"/>
          <w:sz w:val="24"/>
        </w:rPr>
      </w:pPr>
    </w:p>
    <w:p>
      <w:pPr>
        <w:snapToGrid w:val="0"/>
        <w:spacing w:before="50" w:after="120" w:afterLines="50"/>
        <w:jc w:val="center"/>
        <w:rPr>
          <w:rFonts w:ascii="宋体" w:hAnsi="宋体"/>
          <w:b/>
          <w:bCs/>
          <w:sz w:val="36"/>
          <w:szCs w:val="36"/>
        </w:rPr>
      </w:pPr>
      <w:r>
        <w:rPr>
          <w:rFonts w:hint="eastAsia" w:ascii="宋体" w:hAnsi="宋体"/>
          <w:b/>
          <w:bCs/>
          <w:sz w:val="36"/>
          <w:szCs w:val="36"/>
        </w:rPr>
        <w:t>资格标目录</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（1）具有独立法人资格的企（事）业单位的营业执照；</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（2）法定代表人授权书（法定代表人亲自办理投标事宜的，则无需提交)；（附件1）</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（3）诚信投标承诺书；（附件2）</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（4）具有良好的商业信誉和健全的财务会计制度的承诺函；（附件3）</w:t>
      </w:r>
    </w:p>
    <w:p>
      <w:pPr>
        <w:autoSpaceDE w:val="0"/>
        <w:autoSpaceDN w:val="0"/>
        <w:adjustRightInd w:val="0"/>
        <w:spacing w:line="360" w:lineRule="auto"/>
        <w:ind w:left="480"/>
        <w:jc w:val="left"/>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）具有依法缴纳税收和社会保障资金证明的承诺函；（附件4）</w:t>
      </w:r>
    </w:p>
    <w:p>
      <w:pPr>
        <w:pStyle w:val="2"/>
        <w:ind w:firstLine="480" w:firstLineChars="200"/>
        <w:rPr>
          <w:rFonts w:ascii="宋体" w:hAnsi="宋体" w:cs="宋体"/>
          <w:sz w:val="24"/>
        </w:rPr>
        <w:sectPr>
          <w:pgSz w:w="11906" w:h="16838"/>
          <w:pgMar w:top="1440" w:right="1797" w:bottom="1440" w:left="1797" w:header="851" w:footer="992" w:gutter="0"/>
          <w:cols w:space="720" w:num="1"/>
          <w:docGrid w:linePitch="312" w:charSpace="0"/>
        </w:sectPr>
      </w:pPr>
      <w:r>
        <w:rPr>
          <w:rFonts w:hint="eastAsia" w:ascii="宋体" w:hAnsi="宋体" w:cs="宋体"/>
          <w:sz w:val="24"/>
        </w:rPr>
        <w:t>（</w:t>
      </w:r>
      <w:r>
        <w:rPr>
          <w:rFonts w:ascii="宋体" w:hAnsi="宋体" w:cs="宋体"/>
          <w:sz w:val="24"/>
        </w:rPr>
        <w:t>6</w:t>
      </w:r>
      <w:r>
        <w:rPr>
          <w:rFonts w:hint="eastAsia" w:ascii="宋体" w:hAnsi="宋体" w:cs="宋体"/>
          <w:sz w:val="24"/>
        </w:rPr>
        <w:t>）投标人没有失信记录承诺函。（附件5）</w:t>
      </w:r>
    </w:p>
    <w:p>
      <w:pPr>
        <w:pStyle w:val="2"/>
        <w:ind w:firstLineChars="200"/>
      </w:pPr>
      <w:r>
        <w:rPr>
          <w:rFonts w:hint="eastAsia"/>
        </w:rPr>
        <w:t>附件1</w:t>
      </w:r>
    </w:p>
    <w:p>
      <w:pPr>
        <w:spacing w:line="500" w:lineRule="exact"/>
        <w:jc w:val="center"/>
        <w:rPr>
          <w:b/>
          <w:sz w:val="36"/>
        </w:rPr>
      </w:pPr>
      <w:r>
        <w:rPr>
          <w:rFonts w:hint="eastAsia" w:ascii="宋体"/>
          <w:b/>
          <w:sz w:val="36"/>
        </w:rPr>
        <w:t>法定代表人授权书</w:t>
      </w:r>
    </w:p>
    <w:p>
      <w:pPr>
        <w:spacing w:line="360" w:lineRule="auto"/>
        <w:rPr>
          <w:rFonts w:ascii="宋体"/>
          <w:sz w:val="24"/>
        </w:rPr>
      </w:pPr>
      <w:r>
        <w:rPr>
          <w:rFonts w:hint="eastAsia"/>
          <w:sz w:val="24"/>
          <w:u w:val="single"/>
        </w:rPr>
        <w:t xml:space="preserve">                   </w:t>
      </w:r>
      <w:r>
        <w:rPr>
          <w:rFonts w:hint="eastAsia" w:ascii="宋体"/>
          <w:sz w:val="24"/>
        </w:rPr>
        <w:t>：（采购单位）</w:t>
      </w:r>
    </w:p>
    <w:p>
      <w:pPr>
        <w:pStyle w:val="26"/>
        <w:spacing w:before="120" w:after="120" w:line="360" w:lineRule="auto"/>
        <w:ind w:left="280" w:leftChars="100" w:firstLine="480" w:firstLineChars="200"/>
        <w:rPr>
          <w:rFonts w:hAnsi="宋体"/>
        </w:rPr>
      </w:pPr>
      <w:r>
        <w:rPr>
          <w:rFonts w:hAnsi="宋体"/>
          <w:u w:val="single"/>
        </w:rPr>
        <w:t xml:space="preserve">（投标人全称）  </w:t>
      </w:r>
      <w:r>
        <w:rPr>
          <w:rFonts w:hAnsi="宋体"/>
        </w:rPr>
        <w:t>法定代表人</w:t>
      </w:r>
      <w:r>
        <w:rPr>
          <w:rFonts w:hint="eastAsia" w:ascii="Arial" w:hAnsi="Arial" w:cs="Arial"/>
        </w:rPr>
        <w:t>（或营业执照中单位负责人）</w:t>
      </w:r>
      <w:r>
        <w:rPr>
          <w:rFonts w:hAnsi="宋体"/>
          <w:u w:val="single"/>
        </w:rPr>
        <w:tab/>
      </w:r>
      <w:r>
        <w:rPr>
          <w:rFonts w:hAnsi="宋体"/>
          <w:u w:val="single"/>
        </w:rPr>
        <w:t>（法定代表</w:t>
      </w:r>
      <w:r>
        <w:rPr>
          <w:rFonts w:hint="eastAsia" w:hAnsi="宋体"/>
          <w:u w:val="single"/>
        </w:rPr>
        <w:t>人</w:t>
      </w:r>
      <w:r>
        <w:rPr>
          <w:rFonts w:hint="eastAsia" w:ascii="Arial" w:hAnsi="Arial" w:cs="Arial"/>
          <w:u w:val="single"/>
        </w:rPr>
        <w:t>或营业执照中单位负责人</w:t>
      </w:r>
      <w:r>
        <w:rPr>
          <w:rFonts w:hAnsi="宋体"/>
          <w:u w:val="single"/>
        </w:rPr>
        <w:t xml:space="preserve">姓名） </w:t>
      </w:r>
      <w:r>
        <w:rPr>
          <w:rFonts w:hAnsi="宋体"/>
        </w:rPr>
        <w:t>授权</w:t>
      </w:r>
      <w:r>
        <w:rPr>
          <w:rFonts w:hint="eastAsia" w:hAnsi="宋体"/>
          <w:u w:val="single"/>
        </w:rPr>
        <w:t xml:space="preserve">   （全权代表</w:t>
      </w:r>
      <w:r>
        <w:rPr>
          <w:rFonts w:hAnsi="宋体"/>
          <w:u w:val="single"/>
        </w:rPr>
        <w:t>姓名</w:t>
      </w:r>
      <w:r>
        <w:rPr>
          <w:rFonts w:hint="eastAsia" w:hAnsi="宋体"/>
          <w:u w:val="single"/>
        </w:rPr>
        <w:t xml:space="preserve">） </w:t>
      </w:r>
      <w:r>
        <w:rPr>
          <w:rFonts w:hAnsi="宋体"/>
        </w:rPr>
        <w:t>为</w:t>
      </w:r>
      <w:r>
        <w:rPr>
          <w:rFonts w:hint="eastAsia" w:hAnsi="宋体"/>
        </w:rPr>
        <w:t>全权代表</w:t>
      </w:r>
      <w:r>
        <w:rPr>
          <w:rFonts w:hAnsi="宋体"/>
        </w:rPr>
        <w:t>，参加贵单位组织的</w:t>
      </w:r>
      <w:r>
        <w:rPr>
          <w:rFonts w:hint="eastAsia" w:hAnsi="宋体"/>
          <w:u w:val="single"/>
        </w:rPr>
        <w:t>台州公交巴士5.9米级新能源公交车采购项目</w:t>
      </w:r>
      <w:r>
        <w:rPr>
          <w:rFonts w:hAnsi="宋体"/>
        </w:rPr>
        <w:t>的采购活动，并代表我方全权办理针对上述项目的投标、开标、评标、签约等具体事务和签署相关文件。</w:t>
      </w:r>
      <w:r>
        <w:rPr>
          <w:rFonts w:hint="eastAsia" w:hAnsi="宋体"/>
        </w:rPr>
        <w:t>我方对全权代表的签字事项负全部责任。</w:t>
      </w:r>
    </w:p>
    <w:p>
      <w:pPr>
        <w:pStyle w:val="26"/>
        <w:spacing w:before="120" w:after="120" w:line="360" w:lineRule="auto"/>
        <w:ind w:left="185" w:leftChars="66" w:firstLine="480" w:firstLineChars="200"/>
        <w:rPr>
          <w:rFonts w:hAnsi="宋体"/>
        </w:rPr>
      </w:pPr>
      <w:r>
        <w:rPr>
          <w:rFonts w:hint="eastAsia" w:hAnsi="宋体"/>
        </w:rPr>
        <w:t>在撤销授权的书面通知以前，本授权书一直有效。全权代表在授权委托书有效期内签署的所有文件不因授权的撤销而失效。</w:t>
      </w:r>
    </w:p>
    <w:p>
      <w:pPr>
        <w:pStyle w:val="26"/>
        <w:spacing w:before="120" w:after="120" w:line="360" w:lineRule="auto"/>
        <w:ind w:left="185" w:leftChars="66" w:firstLine="480" w:firstLineChars="200"/>
        <w:rPr>
          <w:rFonts w:hAnsi="宋体"/>
        </w:rPr>
      </w:pPr>
      <w:r>
        <w:rPr>
          <w:rFonts w:hint="eastAsia" w:hAnsi="宋体"/>
        </w:rPr>
        <w:t>全权代表无转委托权，特此委托。</w:t>
      </w:r>
    </w:p>
    <w:p>
      <w:pPr>
        <w:spacing w:line="360" w:lineRule="auto"/>
        <w:rPr>
          <w:sz w:val="24"/>
        </w:rPr>
      </w:pPr>
    </w:p>
    <w:p>
      <w:pPr>
        <w:spacing w:line="360" w:lineRule="auto"/>
        <w:rPr>
          <w:sz w:val="24"/>
        </w:rPr>
      </w:pPr>
      <w:r>
        <w:rPr>
          <w:rFonts w:hint="eastAsia" w:ascii="宋体"/>
          <w:sz w:val="24"/>
        </w:rPr>
        <w:t>法定代表人签字或盖章：</w:t>
      </w:r>
    </w:p>
    <w:p>
      <w:pPr>
        <w:spacing w:line="360" w:lineRule="auto"/>
        <w:rPr>
          <w:sz w:val="24"/>
        </w:rPr>
      </w:pPr>
    </w:p>
    <w:p>
      <w:pPr>
        <w:spacing w:line="360" w:lineRule="auto"/>
        <w:rPr>
          <w:sz w:val="24"/>
        </w:rPr>
      </w:pPr>
      <w:r>
        <w:rPr>
          <w:rFonts w:hint="eastAsia" w:ascii="宋体"/>
          <w:sz w:val="24"/>
        </w:rPr>
        <w:t>投标人全称（公章）：                              日期：</w:t>
      </w:r>
    </w:p>
    <w:p>
      <w:pPr>
        <w:spacing w:line="360" w:lineRule="auto"/>
        <w:rPr>
          <w:rFonts w:ascii="宋体"/>
          <w:b/>
          <w:sz w:val="24"/>
        </w:rPr>
      </w:pPr>
    </w:p>
    <w:p>
      <w:pPr>
        <w:spacing w:line="360" w:lineRule="auto"/>
        <w:rPr>
          <w:rFonts w:ascii="宋体"/>
          <w:b/>
          <w:sz w:val="24"/>
        </w:rPr>
      </w:pPr>
    </w:p>
    <w:p>
      <w:pPr>
        <w:spacing w:line="360" w:lineRule="auto"/>
        <w:rPr>
          <w:b/>
          <w:sz w:val="24"/>
        </w:rPr>
      </w:pPr>
      <w:r>
        <w:rPr>
          <w:rFonts w:hint="eastAsia" w:ascii="宋体"/>
          <w:b/>
          <w:sz w:val="24"/>
        </w:rPr>
        <w:t>附：</w:t>
      </w:r>
    </w:p>
    <w:tbl>
      <w:tblPr>
        <w:tblStyle w:val="4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b/>
                <w:sz w:val="24"/>
              </w:rPr>
            </w:pPr>
          </w:p>
          <w:p>
            <w:pPr>
              <w:spacing w:line="360" w:lineRule="auto"/>
              <w:ind w:firstLine="361" w:firstLineChars="150"/>
              <w:rPr>
                <w:rFonts w:ascii="宋体"/>
                <w:b/>
                <w:sz w:val="24"/>
              </w:rPr>
            </w:pPr>
            <w:r>
              <w:rPr>
                <w:rFonts w:hint="eastAsia" w:ascii="宋体"/>
                <w:b/>
                <w:sz w:val="24"/>
              </w:rPr>
              <w:t>法定代表身份证粘帖处</w:t>
            </w:r>
          </w:p>
        </w:tc>
      </w:tr>
    </w:tbl>
    <w:p>
      <w:pPr>
        <w:spacing w:line="360" w:lineRule="auto"/>
        <w:rPr>
          <w:sz w:val="24"/>
        </w:rPr>
      </w:pPr>
      <w:r>
        <w:rPr>
          <w:rFonts w:hint="eastAsia" w:ascii="宋体"/>
          <w:sz w:val="24"/>
        </w:rPr>
        <w:t xml:space="preserve">法定代表人姓名：                                 </w:t>
      </w:r>
    </w:p>
    <w:p>
      <w:pPr>
        <w:spacing w:line="360" w:lineRule="auto"/>
        <w:rPr>
          <w:rFonts w:ascii="宋体"/>
          <w:sz w:val="24"/>
        </w:rPr>
      </w:pPr>
      <w:r>
        <w:rPr>
          <w:rFonts w:hint="eastAsia" w:ascii="宋体"/>
          <w:sz w:val="24"/>
        </w:rPr>
        <w:t>电话：</w:t>
      </w:r>
    </w:p>
    <w:p>
      <w:pPr>
        <w:spacing w:line="360" w:lineRule="auto"/>
        <w:rPr>
          <w:sz w:val="24"/>
        </w:rPr>
      </w:pPr>
      <w:r>
        <w:rPr>
          <w:rFonts w:hint="eastAsia" w:ascii="宋体"/>
          <w:sz w:val="24"/>
        </w:rPr>
        <w:t>详细通讯地址：</w:t>
      </w:r>
    </w:p>
    <w:p>
      <w:pPr>
        <w:spacing w:line="360" w:lineRule="auto"/>
        <w:rPr>
          <w:rFonts w:ascii="宋体"/>
          <w:sz w:val="24"/>
        </w:rPr>
      </w:pPr>
      <w:r>
        <w:rPr>
          <w:rFonts w:hint="eastAsia" w:ascii="宋体"/>
          <w:sz w:val="24"/>
        </w:rPr>
        <w:t>邮政编码：</w:t>
      </w:r>
    </w:p>
    <w:p>
      <w:pPr>
        <w:spacing w:line="360" w:lineRule="auto"/>
        <w:rPr>
          <w:b/>
          <w:sz w:val="24"/>
        </w:rPr>
      </w:pPr>
    </w:p>
    <w:tbl>
      <w:tblPr>
        <w:tblStyle w:val="4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trPr>
        <w:tc>
          <w:tcPr>
            <w:tcW w:w="4080" w:type="dxa"/>
          </w:tcPr>
          <w:p>
            <w:pPr>
              <w:spacing w:line="360" w:lineRule="auto"/>
              <w:rPr>
                <w:rFonts w:ascii="宋体"/>
                <w:b/>
                <w:sz w:val="24"/>
              </w:rPr>
            </w:pPr>
          </w:p>
          <w:p>
            <w:pPr>
              <w:spacing w:line="360" w:lineRule="auto"/>
              <w:ind w:firstLine="361" w:firstLineChars="150"/>
              <w:rPr>
                <w:rFonts w:ascii="宋体"/>
                <w:b/>
                <w:sz w:val="24"/>
              </w:rPr>
            </w:pPr>
            <w:r>
              <w:rPr>
                <w:rFonts w:hint="eastAsia" w:ascii="宋体"/>
                <w:b/>
                <w:sz w:val="24"/>
              </w:rPr>
              <w:t>全权代表身份证粘帖处</w:t>
            </w:r>
          </w:p>
        </w:tc>
      </w:tr>
    </w:tbl>
    <w:p>
      <w:pPr>
        <w:spacing w:line="360" w:lineRule="auto"/>
        <w:rPr>
          <w:rFonts w:ascii="宋体"/>
          <w:sz w:val="24"/>
        </w:rPr>
      </w:pPr>
      <w:r>
        <w:rPr>
          <w:rFonts w:hint="eastAsia" w:ascii="宋体"/>
          <w:sz w:val="24"/>
        </w:rPr>
        <w:t xml:space="preserve">全权代表姓名：       </w:t>
      </w:r>
    </w:p>
    <w:p>
      <w:pPr>
        <w:spacing w:line="360" w:lineRule="auto"/>
        <w:rPr>
          <w:rFonts w:ascii="宋体"/>
          <w:sz w:val="24"/>
        </w:rPr>
      </w:pPr>
      <w:r>
        <w:rPr>
          <w:rFonts w:hint="eastAsia" w:ascii="宋体"/>
          <w:sz w:val="24"/>
        </w:rPr>
        <w:t>电话：</w:t>
      </w:r>
    </w:p>
    <w:p>
      <w:pPr>
        <w:spacing w:line="360" w:lineRule="auto"/>
        <w:rPr>
          <w:sz w:val="24"/>
        </w:rPr>
      </w:pPr>
      <w:r>
        <w:rPr>
          <w:rFonts w:hint="eastAsia" w:ascii="宋体"/>
          <w:sz w:val="24"/>
        </w:rPr>
        <w:t>详细通讯地址：</w:t>
      </w:r>
    </w:p>
    <w:p>
      <w:pPr>
        <w:spacing w:line="360" w:lineRule="auto"/>
        <w:rPr>
          <w:rFonts w:ascii="宋体"/>
          <w:sz w:val="24"/>
        </w:rPr>
      </w:pPr>
      <w:r>
        <w:rPr>
          <w:rFonts w:hint="eastAsia" w:ascii="宋体"/>
          <w:sz w:val="24"/>
        </w:rPr>
        <w:t>邮政编码：</w:t>
      </w:r>
    </w:p>
    <w:p>
      <w:pPr>
        <w:spacing w:line="360" w:lineRule="atLeast"/>
        <w:ind w:left="480"/>
        <w:rPr>
          <w:rFonts w:ascii="宋体" w:hAnsi="宋体"/>
          <w:b/>
        </w:rPr>
        <w:sectPr>
          <w:pgSz w:w="11906" w:h="16838"/>
          <w:pgMar w:top="1440" w:right="1797" w:bottom="1440" w:left="1797" w:header="851" w:footer="992" w:gutter="0"/>
          <w:cols w:space="720" w:num="1"/>
          <w:docGrid w:linePitch="312" w:charSpace="0"/>
        </w:sectPr>
      </w:pPr>
    </w:p>
    <w:p>
      <w:pPr>
        <w:spacing w:line="360" w:lineRule="atLeast"/>
        <w:ind w:left="480"/>
        <w:rPr>
          <w:rFonts w:ascii="宋体" w:hAnsi="宋体"/>
          <w:b/>
        </w:rPr>
      </w:pPr>
      <w:r>
        <w:rPr>
          <w:rFonts w:ascii="宋体" w:hAnsi="宋体"/>
          <w:b/>
        </w:rPr>
        <w:t>附件</w:t>
      </w:r>
      <w:r>
        <w:rPr>
          <w:rFonts w:hint="eastAsia" w:ascii="宋体" w:hAnsi="宋体"/>
          <w:b/>
        </w:rPr>
        <w:t>2</w:t>
      </w:r>
    </w:p>
    <w:p>
      <w:pPr>
        <w:tabs>
          <w:tab w:val="left" w:pos="570"/>
        </w:tabs>
        <w:spacing w:line="360" w:lineRule="auto"/>
        <w:jc w:val="center"/>
        <w:rPr>
          <w:rFonts w:ascii="宋体" w:hAnsi="宋体" w:cs="宋体"/>
        </w:rPr>
      </w:pPr>
      <w:r>
        <w:rPr>
          <w:rFonts w:hint="eastAsia" w:ascii="宋体" w:hAnsi="宋体" w:cs="宋体"/>
          <w:b/>
        </w:rPr>
        <w:t>诚信投标承诺书</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针对本次招标项目，我公司郑重承诺：本单位自愿参加</w:t>
      </w:r>
      <w:r>
        <w:rPr>
          <w:rFonts w:hint="eastAsia" w:ascii="宋体" w:hAnsi="宋体" w:cs="宋体"/>
          <w:sz w:val="24"/>
          <w:u w:val="single"/>
        </w:rPr>
        <w:t>台州公交巴士5.9米级新能源公交车采购项目</w:t>
      </w:r>
      <w:r>
        <w:rPr>
          <w:rFonts w:hint="eastAsia" w:ascii="宋体" w:hAnsi="宋体" w:cs="宋体"/>
          <w:sz w:val="24"/>
        </w:rPr>
        <w:t xml:space="preserve"> 的招标项目。</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1、本公司所填列的技术要求、服务、数量等相关内容都是真实、准确的；</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2、本公司保证在本次招标项目中所提供的资料全部真实和合法；</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3、本公司保证绝不采取不正当手段诋毁排挤其他供应商；</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4、本公司保证绝不向采购人、采购单位有关工作人员提供不正当利益，以影响采购结果的公正性。</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5、同意此次招标文件中的各项内容。</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6、同意提供按照贵方可能要求的与招标有关的一切数据或资料等。</w:t>
      </w:r>
    </w:p>
    <w:p>
      <w:pPr>
        <w:tabs>
          <w:tab w:val="left" w:pos="570"/>
        </w:tabs>
        <w:spacing w:line="360" w:lineRule="auto"/>
        <w:ind w:firstLine="480" w:firstLineChars="200"/>
        <w:jc w:val="left"/>
        <w:rPr>
          <w:rFonts w:ascii="宋体" w:hAnsi="宋体" w:cs="宋体"/>
          <w:sz w:val="24"/>
        </w:rPr>
      </w:pPr>
      <w:r>
        <w:rPr>
          <w:rFonts w:hint="eastAsia" w:ascii="宋体" w:hAnsi="宋体" w:cs="宋体"/>
          <w:sz w:val="24"/>
        </w:rPr>
        <w:t>7、本单位如中标，保证按照投标文件的承诺与贵方签订合同，保证履行合同条款</w:t>
      </w:r>
    </w:p>
    <w:p>
      <w:pPr>
        <w:tabs>
          <w:tab w:val="left" w:pos="570"/>
        </w:tabs>
        <w:spacing w:line="360" w:lineRule="auto"/>
        <w:ind w:firstLine="480" w:firstLineChars="200"/>
        <w:jc w:val="left"/>
        <w:rPr>
          <w:rFonts w:ascii="宋体" w:hAnsi="宋体" w:cs="宋体"/>
          <w:sz w:val="24"/>
          <w:u w:val="single"/>
        </w:rPr>
      </w:pPr>
      <w:r>
        <w:rPr>
          <w:rFonts w:hint="eastAsia" w:ascii="宋体" w:hAnsi="宋体" w:cs="宋体"/>
          <w:sz w:val="24"/>
        </w:rPr>
        <w:t>本公司若有违反本承诺内容的行为，愿意承担法律责任，并愿意接受投标保证金不予退还的处理及监管部门的任何处理。如已中标的，自动放弃中标资格；给采购人造成损失的，依法承担赔偿责任。</w:t>
      </w:r>
    </w:p>
    <w:p>
      <w:pPr>
        <w:adjustRightInd w:val="0"/>
        <w:snapToGrid w:val="0"/>
        <w:spacing w:line="586" w:lineRule="exact"/>
        <w:rPr>
          <w:rFonts w:ascii="宋体" w:hAnsi="宋体"/>
          <w:sz w:val="24"/>
          <w:szCs w:val="28"/>
        </w:rPr>
      </w:pPr>
    </w:p>
    <w:p>
      <w:pPr>
        <w:spacing w:line="360" w:lineRule="auto"/>
        <w:ind w:firstLine="440" w:firstLineChars="200"/>
        <w:rPr>
          <w:rFonts w:ascii="宋体" w:hAnsi="宋体"/>
          <w:sz w:val="22"/>
        </w:rPr>
      </w:pPr>
    </w:p>
    <w:p>
      <w:pPr>
        <w:spacing w:line="360" w:lineRule="auto"/>
        <w:ind w:firstLine="480" w:firstLineChars="200"/>
        <w:rPr>
          <w:rFonts w:ascii="宋体"/>
          <w:sz w:val="24"/>
          <w:szCs w:val="28"/>
        </w:rPr>
      </w:pPr>
      <w:r>
        <w:rPr>
          <w:rFonts w:hint="eastAsia" w:ascii="宋体" w:hAnsi="宋体"/>
          <w:sz w:val="24"/>
          <w:szCs w:val="28"/>
        </w:rPr>
        <w:t>供应商（加盖公章）：</w:t>
      </w:r>
      <w:r>
        <w:rPr>
          <w:rFonts w:ascii="宋体" w:hAnsi="宋体"/>
          <w:sz w:val="24"/>
          <w:szCs w:val="28"/>
        </w:rPr>
        <w:t xml:space="preserve">        </w:t>
      </w:r>
    </w:p>
    <w:p>
      <w:pPr>
        <w:spacing w:line="360" w:lineRule="auto"/>
        <w:ind w:firstLine="480" w:firstLineChars="200"/>
        <w:rPr>
          <w:rFonts w:ascii="宋体"/>
          <w:sz w:val="24"/>
          <w:szCs w:val="28"/>
        </w:rPr>
      </w:pPr>
    </w:p>
    <w:p>
      <w:pPr>
        <w:spacing w:line="360" w:lineRule="auto"/>
        <w:ind w:firstLine="480" w:firstLineChars="200"/>
        <w:rPr>
          <w:rFonts w:ascii="宋体" w:hAnsi="宋体"/>
          <w:sz w:val="24"/>
          <w:szCs w:val="28"/>
        </w:rPr>
      </w:pPr>
      <w:r>
        <w:rPr>
          <w:rFonts w:hint="eastAsia" w:ascii="宋体" w:hAnsi="宋体" w:cs="宋体"/>
          <w:sz w:val="24"/>
          <w:szCs w:val="28"/>
          <w:lang w:val="zh-CN"/>
        </w:rPr>
        <w:t>法定代表人或授权委托人</w:t>
      </w:r>
      <w:r>
        <w:rPr>
          <w:rFonts w:hint="eastAsia" w:ascii="宋体" w:hAnsi="宋体"/>
          <w:sz w:val="24"/>
          <w:szCs w:val="28"/>
        </w:rPr>
        <w:t>（签字或盖章）：</w:t>
      </w:r>
    </w:p>
    <w:p>
      <w:pPr>
        <w:pStyle w:val="59"/>
        <w:ind w:firstLine="480"/>
      </w:pPr>
    </w:p>
    <w:p>
      <w:pPr>
        <w:pStyle w:val="59"/>
        <w:ind w:firstLine="480"/>
        <w:sectPr>
          <w:pgSz w:w="11906" w:h="16838"/>
          <w:pgMar w:top="1440" w:right="1800" w:bottom="1440" w:left="1800" w:header="851" w:footer="992" w:gutter="0"/>
          <w:cols w:space="720" w:num="1"/>
          <w:docGrid w:type="lines" w:linePitch="312" w:charSpace="0"/>
        </w:sectPr>
      </w:pPr>
      <w:r>
        <w:rPr>
          <w:rFonts w:hint="eastAsia"/>
        </w:rPr>
        <w:t>日期：</w:t>
      </w:r>
    </w:p>
    <w:p>
      <w:pPr>
        <w:pStyle w:val="59"/>
        <w:ind w:firstLine="480"/>
      </w:pPr>
    </w:p>
    <w:p>
      <w:pPr>
        <w:adjustRightInd w:val="0"/>
        <w:snapToGrid w:val="0"/>
        <w:spacing w:line="360" w:lineRule="auto"/>
        <w:ind w:right="480"/>
        <w:rPr>
          <w:rFonts w:ascii="宋体" w:hAnsi="宋体"/>
          <w:b/>
        </w:rPr>
      </w:pPr>
      <w:r>
        <w:rPr>
          <w:rFonts w:hint="eastAsia" w:ascii="宋体" w:hAnsi="宋体"/>
          <w:b/>
        </w:rPr>
        <w:t>附件3</w:t>
      </w:r>
    </w:p>
    <w:p>
      <w:pPr>
        <w:ind w:left="-31" w:leftChars="-150" w:right="-395" w:rightChars="-141" w:hanging="389" w:hangingChars="121"/>
        <w:jc w:val="center"/>
        <w:rPr>
          <w:rFonts w:ascii="宋体" w:hAnsi="宋体"/>
          <w:b/>
          <w:bCs/>
          <w:sz w:val="32"/>
          <w:szCs w:val="32"/>
        </w:rPr>
      </w:pPr>
      <w:r>
        <w:rPr>
          <w:rFonts w:hint="eastAsia" w:ascii="宋体" w:hAnsi="宋体"/>
          <w:b/>
          <w:bCs/>
          <w:sz w:val="32"/>
          <w:szCs w:val="32"/>
        </w:rPr>
        <w:t>具有良好的商业信誉和健全的财务会计制度的承诺函</w:t>
      </w:r>
    </w:p>
    <w:p>
      <w:pPr>
        <w:spacing w:line="600" w:lineRule="exact"/>
        <w:jc w:val="left"/>
        <w:rPr>
          <w:rFonts w:ascii="宋体" w:hAnsi="宋体" w:cs="宋体"/>
          <w:sz w:val="24"/>
        </w:rPr>
      </w:pPr>
      <w:r>
        <w:rPr>
          <w:rFonts w:hint="eastAsia" w:ascii="宋体" w:hAnsi="宋体" w:cs="宋体"/>
          <w:sz w:val="24"/>
        </w:rPr>
        <w:t>致：</w:t>
      </w:r>
      <w:r>
        <w:rPr>
          <w:rFonts w:hint="eastAsia" w:ascii="宋体" w:hAnsi="宋体"/>
          <w:sz w:val="24"/>
          <w:u w:val="single"/>
        </w:rPr>
        <w:t>台州市公交巴士有限公司</w:t>
      </w:r>
    </w:p>
    <w:p>
      <w:pPr>
        <w:spacing w:line="600" w:lineRule="exact"/>
        <w:ind w:firstLine="480" w:firstLineChars="200"/>
        <w:jc w:val="left"/>
        <w:rPr>
          <w:rFonts w:ascii="宋体" w:hAnsi="宋体" w:cs="宋体"/>
          <w:sz w:val="24"/>
        </w:rPr>
      </w:pPr>
      <w:r>
        <w:rPr>
          <w:rFonts w:hint="eastAsia" w:ascii="宋体" w:hAnsi="宋体" w:cs="宋体"/>
          <w:sz w:val="24"/>
        </w:rPr>
        <w:t>我公司参加</w:t>
      </w:r>
      <w:r>
        <w:rPr>
          <w:rFonts w:hint="eastAsia" w:ascii="宋体" w:hAnsi="宋体" w:cs="宋体"/>
          <w:sz w:val="24"/>
          <w:u w:val="single"/>
        </w:rPr>
        <w:t>台州公交巴士5.9米级新能源公交车采购项目</w:t>
      </w:r>
      <w:r>
        <w:rPr>
          <w:rFonts w:hint="eastAsia" w:ascii="宋体" w:hAnsi="宋体" w:cs="宋体"/>
          <w:sz w:val="24"/>
        </w:rPr>
        <w:t>的投标活动，作如下承诺：</w:t>
      </w:r>
    </w:p>
    <w:p>
      <w:pPr>
        <w:spacing w:line="600" w:lineRule="exact"/>
        <w:ind w:firstLine="480" w:firstLineChars="200"/>
        <w:jc w:val="left"/>
        <w:rPr>
          <w:rFonts w:ascii="宋体" w:hAnsi="宋体" w:cs="宋体"/>
          <w:sz w:val="24"/>
        </w:rPr>
      </w:pPr>
      <w:r>
        <w:rPr>
          <w:rFonts w:hint="eastAsia" w:ascii="宋体" w:hAnsi="宋体" w:cs="宋体"/>
          <w:sz w:val="24"/>
        </w:rPr>
        <w:t>我公司在参加本项目采购活动前，没有处于被责令停产、财产被接管、冻结或破产状态，具有足够的流动资金，有能力履行合同；我公司具有良好的商业信誉和健全的财务会计制度。</w:t>
      </w:r>
    </w:p>
    <w:p>
      <w:pPr>
        <w:spacing w:line="600" w:lineRule="exact"/>
        <w:ind w:firstLine="480" w:firstLineChars="200"/>
        <w:jc w:val="left"/>
        <w:rPr>
          <w:rFonts w:ascii="宋体" w:hAnsi="宋体" w:cs="宋体"/>
          <w:sz w:val="24"/>
        </w:rPr>
      </w:pPr>
      <w:r>
        <w:rPr>
          <w:rFonts w:hint="eastAsia" w:ascii="宋体" w:hAnsi="宋体" w:cs="宋体"/>
          <w:sz w:val="24"/>
        </w:rPr>
        <w:t>如违反以上承诺，本公司愿承担一切法律责任。</w:t>
      </w:r>
    </w:p>
    <w:p>
      <w:pPr>
        <w:spacing w:line="600" w:lineRule="exact"/>
        <w:ind w:firstLine="480" w:firstLineChars="200"/>
        <w:jc w:val="left"/>
        <w:rPr>
          <w:rFonts w:ascii="宋体" w:hAnsi="宋体" w:cs="宋体"/>
          <w:sz w:val="24"/>
          <w:lang w:val="zh-CN"/>
        </w:rPr>
      </w:pPr>
    </w:p>
    <w:p>
      <w:pPr>
        <w:spacing w:line="600" w:lineRule="exact"/>
        <w:ind w:firstLine="424" w:firstLineChars="177"/>
        <w:rPr>
          <w:rFonts w:ascii="宋体" w:hAnsi="宋体"/>
          <w:sz w:val="24"/>
          <w:u w:val="single"/>
        </w:rPr>
      </w:pPr>
      <w:r>
        <w:rPr>
          <w:rFonts w:hint="eastAsia" w:ascii="宋体" w:hAnsi="宋体"/>
          <w:sz w:val="24"/>
        </w:rPr>
        <w:t>投标人名称（公章）：</w:t>
      </w:r>
    </w:p>
    <w:p>
      <w:pPr>
        <w:spacing w:line="600" w:lineRule="exact"/>
        <w:ind w:firstLine="424" w:firstLineChars="177"/>
        <w:rPr>
          <w:rFonts w:ascii="宋体" w:hAnsi="宋体"/>
          <w:sz w:val="24"/>
        </w:rPr>
      </w:pPr>
      <w:r>
        <w:rPr>
          <w:rFonts w:hint="eastAsia" w:ascii="宋体" w:hAnsi="宋体"/>
          <w:sz w:val="24"/>
        </w:rPr>
        <w:t>投标人代表签字或盖章：</w:t>
      </w:r>
    </w:p>
    <w:p>
      <w:pPr>
        <w:spacing w:line="600" w:lineRule="exact"/>
        <w:ind w:firstLine="560" w:firstLineChars="200"/>
        <w:rPr>
          <w:rFonts w:ascii="宋体" w:hAnsi="宋体"/>
          <w:sz w:val="24"/>
          <w:u w:val="single"/>
        </w:rPr>
      </w:pPr>
      <w:r>
        <w:rPr>
          <w:rFonts w:hint="eastAsia"/>
        </w:rPr>
        <w:t>日        期：</w:t>
      </w:r>
    </w:p>
    <w:p>
      <w:pPr>
        <w:adjustRightInd w:val="0"/>
        <w:snapToGrid w:val="0"/>
        <w:spacing w:line="600" w:lineRule="exact"/>
        <w:ind w:firstLine="4680" w:firstLineChars="1950"/>
        <w:rPr>
          <w:rFonts w:ascii="宋体" w:hAnsi="宋体" w:cs="仿宋_GB2312"/>
          <w:kern w:val="0"/>
          <w:sz w:val="24"/>
          <w:lang w:val="zh-CN"/>
        </w:rPr>
      </w:pPr>
    </w:p>
    <w:p>
      <w:pPr>
        <w:adjustRightInd w:val="0"/>
        <w:ind w:firstLine="420"/>
        <w:textAlignment w:val="baseline"/>
        <w:rPr>
          <w:rFonts w:ascii="宋体" w:hAnsi="宋体"/>
          <w:b/>
          <w:sz w:val="24"/>
        </w:rPr>
      </w:pPr>
    </w:p>
    <w:p>
      <w:pPr>
        <w:spacing w:line="360" w:lineRule="exact"/>
        <w:rPr>
          <w:rFonts w:hAnsi="宋体"/>
          <w:b/>
          <w:sz w:val="24"/>
        </w:rPr>
      </w:pPr>
      <w:r>
        <w:rPr>
          <w:rFonts w:hAnsi="宋体"/>
          <w:b/>
          <w:sz w:val="24"/>
        </w:rPr>
        <w:br w:type="page"/>
      </w:r>
    </w:p>
    <w:p>
      <w:pPr>
        <w:adjustRightInd w:val="0"/>
        <w:snapToGrid w:val="0"/>
        <w:spacing w:line="360" w:lineRule="auto"/>
        <w:ind w:right="480"/>
        <w:rPr>
          <w:rFonts w:ascii="宋体" w:hAnsi="宋体"/>
          <w:b/>
        </w:rPr>
      </w:pPr>
      <w:r>
        <w:rPr>
          <w:rFonts w:hint="eastAsia" w:ascii="宋体" w:hAnsi="宋体"/>
          <w:b/>
        </w:rPr>
        <w:t>附件</w:t>
      </w:r>
      <w:r>
        <w:rPr>
          <w:rFonts w:ascii="宋体" w:hAnsi="宋体"/>
          <w:b/>
        </w:rPr>
        <w:t>4</w:t>
      </w:r>
    </w:p>
    <w:p>
      <w:pPr>
        <w:spacing w:line="360" w:lineRule="auto"/>
        <w:ind w:right="532"/>
        <w:jc w:val="center"/>
        <w:rPr>
          <w:rFonts w:ascii="宋体" w:hAnsi="宋体"/>
          <w:b/>
          <w:bCs/>
          <w:sz w:val="32"/>
          <w:szCs w:val="32"/>
        </w:rPr>
      </w:pPr>
      <w:r>
        <w:rPr>
          <w:rFonts w:hint="eastAsia" w:ascii="宋体" w:hAnsi="宋体"/>
          <w:b/>
          <w:bCs/>
          <w:sz w:val="32"/>
          <w:szCs w:val="32"/>
        </w:rPr>
        <w:t>具有依法缴纳税收和社会保障资金证明的承诺函</w:t>
      </w:r>
    </w:p>
    <w:p>
      <w:pPr>
        <w:ind w:left="-31" w:leftChars="-150" w:right="-395" w:rightChars="-141" w:hanging="389" w:hangingChars="121"/>
        <w:jc w:val="center"/>
        <w:rPr>
          <w:rFonts w:ascii="宋体" w:hAnsi="宋体"/>
          <w:b/>
          <w:bCs/>
          <w:sz w:val="32"/>
          <w:szCs w:val="32"/>
        </w:rPr>
      </w:pPr>
    </w:p>
    <w:p>
      <w:pPr>
        <w:spacing w:line="600" w:lineRule="exact"/>
        <w:jc w:val="left"/>
        <w:rPr>
          <w:rFonts w:ascii="宋体" w:hAnsi="宋体" w:cs="宋体"/>
          <w:sz w:val="24"/>
        </w:rPr>
      </w:pPr>
      <w:r>
        <w:rPr>
          <w:rFonts w:hint="eastAsia" w:ascii="宋体" w:hAnsi="宋体" w:cs="宋体"/>
          <w:sz w:val="24"/>
        </w:rPr>
        <w:t>致：</w:t>
      </w:r>
      <w:r>
        <w:rPr>
          <w:rFonts w:hint="eastAsia" w:ascii="宋体" w:hAnsi="宋体"/>
          <w:sz w:val="24"/>
          <w:u w:val="single"/>
        </w:rPr>
        <w:t>台州市公交巴士有限公司</w:t>
      </w:r>
    </w:p>
    <w:p>
      <w:pPr>
        <w:spacing w:line="600" w:lineRule="exact"/>
        <w:ind w:firstLine="480" w:firstLineChars="200"/>
        <w:jc w:val="left"/>
        <w:rPr>
          <w:rFonts w:ascii="宋体" w:hAnsi="宋体" w:cs="宋体"/>
          <w:sz w:val="24"/>
        </w:rPr>
      </w:pPr>
      <w:r>
        <w:rPr>
          <w:rFonts w:hint="eastAsia" w:ascii="宋体" w:hAnsi="宋体" w:cs="宋体"/>
          <w:sz w:val="24"/>
        </w:rPr>
        <w:t>我公司参加</w:t>
      </w:r>
      <w:r>
        <w:rPr>
          <w:rFonts w:hint="eastAsia" w:ascii="宋体" w:hAnsi="宋体" w:cs="宋体"/>
          <w:sz w:val="24"/>
          <w:u w:val="single"/>
        </w:rPr>
        <w:t>台州公交巴士5.9米级新能源公交车采购项目</w:t>
      </w:r>
      <w:r>
        <w:rPr>
          <w:rFonts w:hint="eastAsia" w:ascii="宋体" w:hAnsi="宋体" w:cs="宋体"/>
          <w:sz w:val="24"/>
        </w:rPr>
        <w:t>的投标活动，作如下承诺：</w:t>
      </w:r>
    </w:p>
    <w:p>
      <w:pPr>
        <w:spacing w:after="156" w:line="600" w:lineRule="exact"/>
        <w:ind w:firstLine="480" w:firstLineChars="200"/>
        <w:rPr>
          <w:rFonts w:ascii="宋体" w:hAnsi="宋体" w:cs="宋体"/>
          <w:sz w:val="24"/>
        </w:rPr>
      </w:pPr>
      <w:r>
        <w:rPr>
          <w:rFonts w:hint="eastAsia" w:ascii="宋体" w:hAnsi="宋体" w:cs="宋体"/>
          <w:sz w:val="24"/>
        </w:rPr>
        <w:t>我公司在参加本项目采购活动前，符合参与采购活动的资格条件，有依法缴纳税收（享受免税政策的则无欠税）和社会保障资金的良好记录，不存在税收缴纳、社会保障等方面的失信记录。</w:t>
      </w:r>
    </w:p>
    <w:p>
      <w:pPr>
        <w:spacing w:line="600" w:lineRule="exact"/>
        <w:ind w:firstLine="480" w:firstLineChars="200"/>
        <w:jc w:val="left"/>
        <w:rPr>
          <w:rFonts w:ascii="宋体" w:hAnsi="宋体" w:cs="宋体"/>
          <w:sz w:val="24"/>
        </w:rPr>
      </w:pPr>
      <w:r>
        <w:rPr>
          <w:rFonts w:hint="eastAsia" w:ascii="宋体" w:hAnsi="宋体" w:cs="宋体"/>
          <w:sz w:val="24"/>
        </w:rPr>
        <w:t>如违反以上承诺，本公司愿承担一切法律责任。</w:t>
      </w:r>
    </w:p>
    <w:p>
      <w:pPr>
        <w:spacing w:line="600" w:lineRule="exact"/>
        <w:ind w:firstLine="480" w:firstLineChars="200"/>
        <w:jc w:val="left"/>
        <w:rPr>
          <w:rFonts w:ascii="宋体" w:hAnsi="宋体" w:cs="宋体"/>
          <w:sz w:val="24"/>
          <w:lang w:val="zh-CN"/>
        </w:rPr>
      </w:pPr>
    </w:p>
    <w:p>
      <w:pPr>
        <w:spacing w:line="600" w:lineRule="exact"/>
        <w:ind w:firstLine="424" w:firstLineChars="177"/>
        <w:rPr>
          <w:rFonts w:ascii="宋体" w:hAnsi="宋体"/>
          <w:sz w:val="24"/>
          <w:u w:val="single"/>
        </w:rPr>
      </w:pPr>
      <w:r>
        <w:rPr>
          <w:rFonts w:hint="eastAsia" w:ascii="宋体" w:hAnsi="宋体"/>
          <w:sz w:val="24"/>
        </w:rPr>
        <w:t>投标人名称（公章）：</w:t>
      </w:r>
    </w:p>
    <w:p>
      <w:pPr>
        <w:spacing w:line="600" w:lineRule="exact"/>
        <w:ind w:firstLine="424" w:firstLineChars="177"/>
        <w:rPr>
          <w:rFonts w:ascii="宋体" w:hAnsi="宋体"/>
          <w:sz w:val="24"/>
        </w:rPr>
      </w:pPr>
      <w:r>
        <w:rPr>
          <w:rFonts w:hint="eastAsia" w:ascii="宋体" w:hAnsi="宋体"/>
          <w:sz w:val="24"/>
        </w:rPr>
        <w:t>投标人代表签字或盖章：</w:t>
      </w:r>
    </w:p>
    <w:p>
      <w:pPr>
        <w:adjustRightInd w:val="0"/>
        <w:spacing w:line="600" w:lineRule="exact"/>
        <w:ind w:firstLine="420"/>
        <w:textAlignment w:val="baseline"/>
        <w:rPr>
          <w:rFonts w:ascii="宋体" w:hAnsi="宋体"/>
          <w:b/>
          <w:sz w:val="24"/>
        </w:rPr>
      </w:pPr>
      <w:r>
        <w:rPr>
          <w:rFonts w:hint="eastAsia"/>
        </w:rPr>
        <w:t>日        期：</w:t>
      </w:r>
    </w:p>
    <w:p>
      <w:pPr>
        <w:adjustRightInd w:val="0"/>
        <w:ind w:firstLine="420"/>
        <w:textAlignment w:val="baseline"/>
        <w:rPr>
          <w:rFonts w:ascii="宋体" w:hAnsi="宋体"/>
          <w:b/>
          <w:sz w:val="24"/>
        </w:rPr>
      </w:pPr>
    </w:p>
    <w:p>
      <w:pPr>
        <w:spacing w:line="360" w:lineRule="exact"/>
        <w:rPr>
          <w:rFonts w:hAnsi="宋体"/>
          <w:b/>
          <w:sz w:val="24"/>
        </w:rPr>
      </w:pPr>
      <w:r>
        <w:rPr>
          <w:rFonts w:hAnsi="宋体"/>
          <w:b/>
          <w:sz w:val="24"/>
        </w:rPr>
        <w:br w:type="page"/>
      </w:r>
    </w:p>
    <w:p>
      <w:pPr>
        <w:adjustRightInd w:val="0"/>
        <w:snapToGrid w:val="0"/>
        <w:spacing w:line="360" w:lineRule="auto"/>
        <w:ind w:right="480"/>
        <w:rPr>
          <w:rFonts w:ascii="宋体" w:hAnsi="宋体"/>
          <w:b/>
        </w:rPr>
      </w:pPr>
      <w:r>
        <w:rPr>
          <w:rFonts w:hint="eastAsia" w:ascii="宋体" w:hAnsi="宋体"/>
          <w:b/>
        </w:rPr>
        <w:t>附件</w:t>
      </w:r>
      <w:r>
        <w:rPr>
          <w:rFonts w:ascii="宋体" w:hAnsi="宋体"/>
          <w:b/>
        </w:rPr>
        <w:t>5</w:t>
      </w:r>
    </w:p>
    <w:p>
      <w:pPr>
        <w:spacing w:line="360" w:lineRule="auto"/>
        <w:ind w:right="532"/>
        <w:jc w:val="center"/>
        <w:rPr>
          <w:rFonts w:ascii="宋体" w:hAnsi="宋体"/>
          <w:sz w:val="36"/>
          <w:szCs w:val="36"/>
        </w:rPr>
      </w:pPr>
      <w:r>
        <w:rPr>
          <w:rFonts w:hint="eastAsia" w:ascii="宋体" w:hAnsi="宋体"/>
          <w:b/>
          <w:bCs/>
          <w:sz w:val="32"/>
          <w:szCs w:val="32"/>
        </w:rPr>
        <w:t>投标人没有失信记录承诺函</w:t>
      </w:r>
    </w:p>
    <w:p>
      <w:pPr>
        <w:ind w:left="-31" w:leftChars="-150" w:right="-395" w:rightChars="-141" w:hanging="389" w:hangingChars="121"/>
        <w:jc w:val="center"/>
        <w:rPr>
          <w:rFonts w:ascii="宋体" w:hAnsi="宋体"/>
          <w:b/>
          <w:bCs/>
          <w:sz w:val="32"/>
          <w:szCs w:val="32"/>
        </w:rPr>
      </w:pPr>
    </w:p>
    <w:p>
      <w:pPr>
        <w:spacing w:line="600" w:lineRule="exact"/>
        <w:jc w:val="left"/>
        <w:rPr>
          <w:rFonts w:ascii="宋体" w:hAnsi="宋体" w:cs="宋体"/>
          <w:sz w:val="24"/>
        </w:rPr>
      </w:pPr>
      <w:r>
        <w:rPr>
          <w:rFonts w:hint="eastAsia" w:ascii="宋体" w:hAnsi="宋体" w:cs="宋体"/>
          <w:sz w:val="24"/>
        </w:rPr>
        <w:t>致：</w:t>
      </w:r>
      <w:r>
        <w:rPr>
          <w:rFonts w:hint="eastAsia" w:ascii="宋体" w:hAnsi="宋体"/>
          <w:sz w:val="24"/>
          <w:u w:val="single"/>
        </w:rPr>
        <w:t>台州市公交巴士有限公司</w:t>
      </w:r>
    </w:p>
    <w:p>
      <w:pPr>
        <w:spacing w:line="600" w:lineRule="exact"/>
        <w:ind w:firstLine="480" w:firstLineChars="200"/>
        <w:jc w:val="left"/>
        <w:rPr>
          <w:rFonts w:ascii="宋体" w:hAnsi="宋体" w:cs="宋体"/>
          <w:sz w:val="24"/>
        </w:rPr>
      </w:pPr>
      <w:r>
        <w:rPr>
          <w:rFonts w:hint="eastAsia" w:ascii="宋体" w:hAnsi="宋体" w:cs="宋体"/>
          <w:sz w:val="24"/>
        </w:rPr>
        <w:t>我公司参加</w:t>
      </w:r>
      <w:r>
        <w:rPr>
          <w:rFonts w:hint="eastAsia" w:ascii="宋体" w:hAnsi="宋体" w:cs="宋体"/>
          <w:sz w:val="24"/>
          <w:u w:val="single"/>
        </w:rPr>
        <w:t>台州公交巴士5.9米级新能源公交车采购项目</w:t>
      </w:r>
      <w:r>
        <w:rPr>
          <w:rFonts w:hint="eastAsia" w:ascii="宋体" w:hAnsi="宋体" w:cs="宋体"/>
          <w:sz w:val="24"/>
        </w:rPr>
        <w:t>的投标活动，作如下承诺：</w:t>
      </w:r>
    </w:p>
    <w:p>
      <w:pPr>
        <w:spacing w:line="360" w:lineRule="auto"/>
        <w:ind w:firstLine="456" w:firstLineChars="200"/>
        <w:rPr>
          <w:rFonts w:ascii="宋体" w:hAnsi="宋体" w:cs="宋体"/>
          <w:spacing w:val="-6"/>
          <w:sz w:val="24"/>
        </w:rPr>
      </w:pPr>
      <w:r>
        <w:rPr>
          <w:rFonts w:hint="eastAsia" w:ascii="宋体" w:hAnsi="宋体" w:cs="宋体"/>
          <w:spacing w:val="-6"/>
          <w:sz w:val="24"/>
        </w:rPr>
        <w:t>我公司郑重承诺在参加本项目采购活动前三年内，在经营活动中没有重大违法（失信）记录，重大违法（失信）记录是指供应商因违法经营受到刑事处罚或者责令停产停业、吊销许可证或者执照、较大数额罚款等行政处罚。</w:t>
      </w:r>
    </w:p>
    <w:p>
      <w:pPr>
        <w:spacing w:line="360" w:lineRule="auto"/>
        <w:ind w:firstLine="456" w:firstLineChars="200"/>
        <w:rPr>
          <w:rFonts w:ascii="宋体" w:hAnsi="宋体" w:cs="宋体"/>
          <w:spacing w:val="-6"/>
          <w:sz w:val="24"/>
        </w:rPr>
      </w:pPr>
      <w:r>
        <w:rPr>
          <w:rFonts w:hint="eastAsia" w:ascii="宋体" w:hAnsi="宋体" w:cs="宋体"/>
          <w:spacing w:val="-6"/>
          <w:sz w:val="24"/>
        </w:rPr>
        <w:t>以上事项如有虚假或隐瞒，我方愿意承担一切后果和责任。</w:t>
      </w:r>
    </w:p>
    <w:p>
      <w:pPr>
        <w:spacing w:line="600" w:lineRule="exact"/>
        <w:ind w:firstLine="456" w:firstLineChars="200"/>
        <w:jc w:val="left"/>
        <w:rPr>
          <w:rFonts w:ascii="宋体" w:hAnsi="宋体" w:cs="宋体"/>
          <w:sz w:val="24"/>
        </w:rPr>
      </w:pPr>
      <w:r>
        <w:rPr>
          <w:rFonts w:hint="eastAsia" w:ascii="宋体" w:hAnsi="宋体" w:cs="宋体"/>
          <w:spacing w:val="-6"/>
          <w:sz w:val="24"/>
        </w:rPr>
        <w:t>特此声明。</w:t>
      </w:r>
    </w:p>
    <w:p>
      <w:pPr>
        <w:spacing w:line="600" w:lineRule="exact"/>
        <w:ind w:firstLine="480" w:firstLineChars="200"/>
        <w:jc w:val="left"/>
        <w:rPr>
          <w:rFonts w:ascii="宋体" w:hAnsi="宋体" w:cs="宋体"/>
          <w:sz w:val="24"/>
          <w:lang w:val="zh-CN"/>
        </w:rPr>
      </w:pPr>
    </w:p>
    <w:p>
      <w:pPr>
        <w:spacing w:line="600" w:lineRule="exact"/>
        <w:ind w:firstLine="424" w:firstLineChars="177"/>
        <w:rPr>
          <w:rFonts w:ascii="宋体" w:hAnsi="宋体"/>
          <w:sz w:val="24"/>
        </w:rPr>
      </w:pPr>
      <w:r>
        <w:rPr>
          <w:rFonts w:hint="eastAsia" w:ascii="宋体" w:hAnsi="宋体"/>
          <w:sz w:val="24"/>
        </w:rPr>
        <w:t>投标人名称（公章）：</w:t>
      </w:r>
    </w:p>
    <w:p>
      <w:pPr>
        <w:spacing w:line="600" w:lineRule="exact"/>
        <w:ind w:firstLine="424" w:firstLineChars="177"/>
        <w:rPr>
          <w:rFonts w:ascii="宋体" w:hAnsi="宋体"/>
          <w:sz w:val="24"/>
        </w:rPr>
      </w:pPr>
      <w:r>
        <w:rPr>
          <w:rFonts w:hint="eastAsia" w:ascii="宋体" w:hAnsi="宋体"/>
          <w:sz w:val="24"/>
        </w:rPr>
        <w:t>投标人代表签字或盖章：</w:t>
      </w:r>
    </w:p>
    <w:p>
      <w:pPr>
        <w:spacing w:line="360" w:lineRule="auto"/>
        <w:ind w:firstLine="480" w:firstLineChars="200"/>
        <w:rPr>
          <w:rFonts w:ascii="宋体" w:hAnsi="宋体"/>
          <w:sz w:val="24"/>
        </w:rPr>
      </w:pPr>
      <w:r>
        <w:rPr>
          <w:rFonts w:hint="eastAsia" w:ascii="宋体" w:hAnsi="宋体"/>
          <w:sz w:val="24"/>
        </w:rPr>
        <w:t>日        期：</w:t>
      </w:r>
    </w:p>
    <w:p>
      <w:pPr>
        <w:snapToGrid w:val="0"/>
        <w:spacing w:before="156" w:beforeLines="50" w:after="50" w:line="360" w:lineRule="auto"/>
        <w:rPr>
          <w:rFonts w:ascii="宋体" w:hAnsi="宋体"/>
          <w:b/>
        </w:rPr>
        <w:sectPr>
          <w:pgSz w:w="11906" w:h="16838"/>
          <w:pgMar w:top="1440" w:right="1800" w:bottom="1440" w:left="1800" w:header="851" w:footer="992" w:gutter="0"/>
          <w:cols w:space="720" w:num="1"/>
          <w:docGrid w:type="lines" w:linePitch="312" w:charSpace="0"/>
        </w:sectPr>
      </w:pPr>
    </w:p>
    <w:p>
      <w:pPr>
        <w:pStyle w:val="3"/>
        <w:spacing w:line="360" w:lineRule="auto"/>
        <w:ind w:firstLine="480" w:firstLineChars="200"/>
        <w:rPr>
          <w:rFonts w:ascii="宋体" w:hAnsi="宋体" w:cs="宋体"/>
          <w:sz w:val="24"/>
        </w:rPr>
      </w:pPr>
    </w:p>
    <w:p>
      <w:pPr>
        <w:pStyle w:val="3"/>
        <w:spacing w:line="360" w:lineRule="auto"/>
        <w:ind w:firstLine="480" w:firstLineChars="200"/>
        <w:rPr>
          <w:rFonts w:ascii="宋体" w:hAnsi="宋体" w:cs="宋体"/>
          <w:sz w:val="24"/>
        </w:rPr>
      </w:pPr>
    </w:p>
    <w:p>
      <w:pPr>
        <w:pStyle w:val="3"/>
        <w:spacing w:line="360" w:lineRule="auto"/>
        <w:ind w:firstLine="723" w:firstLineChars="200"/>
        <w:jc w:val="center"/>
        <w:rPr>
          <w:rFonts w:ascii="宋体" w:hAnsi="宋体" w:cs="宋体"/>
          <w:sz w:val="24"/>
        </w:rPr>
      </w:pPr>
      <w:r>
        <w:rPr>
          <w:rFonts w:hint="eastAsia" w:ascii="宋体" w:hAnsi="宋体"/>
          <w:b/>
          <w:bCs/>
          <w:sz w:val="36"/>
          <w:szCs w:val="36"/>
        </w:rPr>
        <w:t>技术资信标目录</w:t>
      </w:r>
    </w:p>
    <w:p>
      <w:pPr>
        <w:pStyle w:val="3"/>
        <w:spacing w:line="360" w:lineRule="auto"/>
        <w:ind w:firstLine="480" w:firstLineChars="200"/>
        <w:rPr>
          <w:rFonts w:ascii="宋体" w:hAnsi="宋体" w:cs="宋体"/>
          <w:sz w:val="24"/>
        </w:rPr>
      </w:pPr>
      <w:r>
        <w:rPr>
          <w:rFonts w:hint="eastAsia" w:ascii="宋体" w:hAnsi="宋体" w:cs="宋体"/>
          <w:sz w:val="24"/>
        </w:rPr>
        <w:t>（1）供货清单（不涉及价格）；</w:t>
      </w:r>
      <w:r>
        <w:rPr>
          <w:rFonts w:ascii="宋体" w:hAnsi="宋体" w:cs="宋体"/>
          <w:sz w:val="24"/>
        </w:rPr>
        <w:t xml:space="preserve"> </w:t>
      </w:r>
      <w:r>
        <w:rPr>
          <w:rFonts w:hint="eastAsia" w:ascii="宋体" w:hAnsi="宋体" w:cs="宋体"/>
          <w:sz w:val="24"/>
        </w:rPr>
        <w:t>（附件6）</w:t>
      </w:r>
    </w:p>
    <w:p>
      <w:pPr>
        <w:pStyle w:val="3"/>
        <w:spacing w:line="360" w:lineRule="auto"/>
        <w:ind w:firstLine="480" w:firstLineChars="200"/>
        <w:rPr>
          <w:rFonts w:ascii="宋体" w:hAnsi="宋体" w:cs="宋体"/>
          <w:sz w:val="24"/>
        </w:rPr>
      </w:pPr>
      <w:r>
        <w:rPr>
          <w:rFonts w:hint="eastAsia" w:ascii="宋体" w:hAnsi="宋体" w:cs="宋体"/>
          <w:sz w:val="24"/>
        </w:rPr>
        <w:t>（2）商务及技术响应表；（附件7）</w:t>
      </w:r>
      <w:r>
        <w:rPr>
          <w:rFonts w:ascii="宋体" w:hAnsi="宋体" w:cs="宋体"/>
          <w:sz w:val="24"/>
        </w:rPr>
        <w:t xml:space="preserve"> </w:t>
      </w:r>
    </w:p>
    <w:p>
      <w:pPr>
        <w:pStyle w:val="3"/>
        <w:spacing w:line="360" w:lineRule="auto"/>
        <w:ind w:firstLine="480" w:firstLineChars="200"/>
        <w:rPr>
          <w:rFonts w:ascii="宋体" w:hAnsi="宋体" w:cs="宋体"/>
          <w:sz w:val="24"/>
        </w:rPr>
      </w:pPr>
      <w:r>
        <w:rPr>
          <w:rFonts w:hint="eastAsia" w:ascii="宋体" w:hAnsi="宋体" w:cs="宋体"/>
          <w:sz w:val="24"/>
        </w:rPr>
        <w:t>（3）质保期满后的服务价格和易损零配件价格表；（附件</w:t>
      </w:r>
      <w:r>
        <w:rPr>
          <w:rFonts w:ascii="宋体" w:hAnsi="宋体" w:cs="宋体"/>
          <w:sz w:val="24"/>
        </w:rPr>
        <w:t>8</w:t>
      </w:r>
      <w:r>
        <w:rPr>
          <w:rFonts w:hint="eastAsia" w:ascii="宋体" w:hAnsi="宋体" w:cs="宋体"/>
          <w:sz w:val="24"/>
        </w:rPr>
        <w:t>）</w:t>
      </w:r>
    </w:p>
    <w:p>
      <w:pPr>
        <w:pStyle w:val="3"/>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）其余内容根据评标办法和采购需求自拟、提供证明材料等。</w:t>
      </w:r>
    </w:p>
    <w:p>
      <w:pPr>
        <w:pStyle w:val="2"/>
        <w:spacing w:line="360" w:lineRule="auto"/>
        <w:ind w:firstLine="482" w:firstLineChars="200"/>
        <w:rPr>
          <w:rFonts w:ascii="宋体" w:hAnsi="宋体" w:cs="宋体"/>
          <w:b/>
          <w:sz w:val="24"/>
          <w:szCs w:val="24"/>
        </w:rPr>
        <w:sectPr>
          <w:pgSz w:w="11906" w:h="16838"/>
          <w:pgMar w:top="1440" w:right="1797" w:bottom="1440" w:left="1797" w:header="851" w:footer="992" w:gutter="0"/>
          <w:cols w:space="720" w:num="1"/>
          <w:docGrid w:linePitch="312" w:charSpace="0"/>
        </w:sectPr>
      </w:pPr>
      <w:r>
        <w:rPr>
          <w:rFonts w:hint="eastAsia" w:ascii="宋体" w:hAnsi="宋体" w:cs="宋体"/>
          <w:b/>
          <w:sz w:val="24"/>
          <w:szCs w:val="24"/>
        </w:rPr>
        <w:t>根据招标需求和评标办法在技术资信标中上传相关证明材料并加盖公章或电子章。</w:t>
      </w:r>
    </w:p>
    <w:p>
      <w:pPr>
        <w:spacing w:line="360" w:lineRule="auto"/>
        <w:ind w:firstLine="435"/>
        <w:rPr>
          <w:rFonts w:ascii="宋体" w:hAnsi="宋体"/>
          <w:b/>
        </w:rPr>
      </w:pPr>
      <w:r>
        <w:rPr>
          <w:rFonts w:hint="eastAsia" w:ascii="宋体" w:hAnsi="宋体"/>
          <w:b/>
        </w:rPr>
        <w:t>附件</w:t>
      </w:r>
      <w:r>
        <w:rPr>
          <w:rFonts w:ascii="宋体" w:hAnsi="宋体"/>
          <w:b/>
        </w:rPr>
        <w:t>6</w:t>
      </w:r>
    </w:p>
    <w:p>
      <w:pPr>
        <w:spacing w:line="360" w:lineRule="auto"/>
        <w:ind w:firstLine="435"/>
        <w:rPr>
          <w:rFonts w:ascii="宋体" w:hAnsi="宋体"/>
          <w:sz w:val="24"/>
        </w:rPr>
      </w:pPr>
    </w:p>
    <w:p>
      <w:pPr>
        <w:spacing w:line="360" w:lineRule="auto"/>
        <w:ind w:left="480"/>
        <w:jc w:val="center"/>
        <w:rPr>
          <w:rFonts w:ascii="宋体" w:hAnsi="宋体"/>
          <w:b/>
          <w:sz w:val="32"/>
          <w:szCs w:val="32"/>
        </w:rPr>
      </w:pPr>
      <w:r>
        <w:rPr>
          <w:rFonts w:hint="eastAsia" w:ascii="宋体" w:hAnsi="宋体"/>
          <w:b/>
          <w:sz w:val="32"/>
          <w:szCs w:val="32"/>
        </w:rPr>
        <w:t>供货</w:t>
      </w:r>
      <w:r>
        <w:rPr>
          <w:rFonts w:ascii="宋体" w:hAnsi="宋体"/>
          <w:b/>
          <w:sz w:val="32"/>
          <w:szCs w:val="32"/>
        </w:rPr>
        <w:t>清单</w:t>
      </w:r>
      <w:r>
        <w:rPr>
          <w:rFonts w:hint="eastAsia" w:ascii="宋体" w:hAnsi="宋体"/>
          <w:b/>
          <w:sz w:val="32"/>
          <w:szCs w:val="32"/>
        </w:rPr>
        <w:t xml:space="preserve"> （标段</w:t>
      </w:r>
      <w:r>
        <w:rPr>
          <w:rFonts w:ascii="宋体" w:hAnsi="宋体"/>
          <w:b/>
          <w:sz w:val="32"/>
          <w:szCs w:val="32"/>
          <w:u w:val="single"/>
        </w:rPr>
        <w:t xml:space="preserve">    </w:t>
      </w:r>
      <w:r>
        <w:rPr>
          <w:rFonts w:hint="eastAsia" w:ascii="宋体" w:hAnsi="宋体"/>
          <w:b/>
          <w:sz w:val="32"/>
          <w:szCs w:val="32"/>
        </w:rPr>
        <w:t>）</w:t>
      </w:r>
    </w:p>
    <w:tbl>
      <w:tblPr>
        <w:tblStyle w:val="4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169"/>
        <w:gridCol w:w="1134"/>
        <w:gridCol w:w="1842"/>
        <w:gridCol w:w="99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25" w:type="dxa"/>
            <w:vAlign w:val="center"/>
          </w:tcPr>
          <w:p>
            <w:pPr>
              <w:spacing w:line="360" w:lineRule="auto"/>
              <w:rPr>
                <w:rFonts w:ascii="宋体" w:hAnsi="宋体"/>
                <w:b/>
                <w:sz w:val="24"/>
              </w:rPr>
            </w:pPr>
            <w:r>
              <w:rPr>
                <w:rFonts w:hint="eastAsia" w:ascii="宋体" w:hAnsi="宋体"/>
                <w:b/>
                <w:sz w:val="24"/>
              </w:rPr>
              <w:t>序号</w:t>
            </w:r>
          </w:p>
        </w:tc>
        <w:tc>
          <w:tcPr>
            <w:tcW w:w="2169" w:type="dxa"/>
            <w:vAlign w:val="center"/>
          </w:tcPr>
          <w:p>
            <w:pPr>
              <w:tabs>
                <w:tab w:val="left" w:pos="8280"/>
              </w:tabs>
              <w:autoSpaceDE w:val="0"/>
              <w:autoSpaceDN w:val="0"/>
              <w:adjustRightInd w:val="0"/>
              <w:spacing w:line="360" w:lineRule="auto"/>
              <w:ind w:right="25" w:firstLine="361" w:firstLineChars="150"/>
              <w:jc w:val="center"/>
              <w:rPr>
                <w:rFonts w:ascii="宋体" w:hAnsi="宋体"/>
                <w:b/>
                <w:sz w:val="24"/>
              </w:rPr>
            </w:pPr>
            <w:r>
              <w:rPr>
                <w:rFonts w:hint="eastAsia" w:ascii="宋体" w:hAnsi="宋体"/>
                <w:b/>
                <w:sz w:val="24"/>
              </w:rPr>
              <w:t>名称</w:t>
            </w:r>
          </w:p>
        </w:tc>
        <w:tc>
          <w:tcPr>
            <w:tcW w:w="1134" w:type="dxa"/>
            <w:vAlign w:val="center"/>
          </w:tcPr>
          <w:p>
            <w:pPr>
              <w:tabs>
                <w:tab w:val="left" w:pos="8280"/>
              </w:tabs>
              <w:autoSpaceDE w:val="0"/>
              <w:autoSpaceDN w:val="0"/>
              <w:adjustRightInd w:val="0"/>
              <w:spacing w:line="360" w:lineRule="auto"/>
              <w:ind w:right="25"/>
              <w:jc w:val="center"/>
              <w:rPr>
                <w:rFonts w:ascii="宋体" w:hAnsi="宋体"/>
                <w:b/>
                <w:sz w:val="24"/>
              </w:rPr>
            </w:pPr>
            <w:r>
              <w:rPr>
                <w:rFonts w:hint="eastAsia" w:ascii="宋体" w:hAnsi="宋体"/>
                <w:b/>
                <w:sz w:val="24"/>
              </w:rPr>
              <w:t>品牌</w:t>
            </w:r>
          </w:p>
        </w:tc>
        <w:tc>
          <w:tcPr>
            <w:tcW w:w="1842" w:type="dxa"/>
            <w:vAlign w:val="center"/>
          </w:tcPr>
          <w:p>
            <w:pPr>
              <w:tabs>
                <w:tab w:val="left" w:pos="8280"/>
              </w:tabs>
              <w:autoSpaceDE w:val="0"/>
              <w:autoSpaceDN w:val="0"/>
              <w:adjustRightInd w:val="0"/>
              <w:spacing w:line="360" w:lineRule="auto"/>
              <w:ind w:right="25"/>
              <w:jc w:val="center"/>
              <w:rPr>
                <w:rFonts w:ascii="宋体" w:hAnsi="宋体"/>
                <w:b/>
                <w:sz w:val="24"/>
              </w:rPr>
            </w:pPr>
            <w:r>
              <w:rPr>
                <w:rFonts w:hint="eastAsia" w:ascii="宋体" w:hAnsi="宋体"/>
                <w:b/>
                <w:sz w:val="24"/>
              </w:rPr>
              <w:t>规格型号</w:t>
            </w:r>
          </w:p>
        </w:tc>
        <w:tc>
          <w:tcPr>
            <w:tcW w:w="993" w:type="dxa"/>
            <w:vAlign w:val="center"/>
          </w:tcPr>
          <w:p>
            <w:pPr>
              <w:spacing w:line="360" w:lineRule="auto"/>
              <w:ind w:left="52"/>
              <w:jc w:val="center"/>
              <w:rPr>
                <w:rFonts w:ascii="宋体" w:hAnsi="宋体"/>
                <w:b/>
                <w:sz w:val="24"/>
              </w:rPr>
            </w:pPr>
            <w:r>
              <w:rPr>
                <w:rFonts w:hint="eastAsia" w:ascii="宋体" w:hAnsi="宋体"/>
                <w:b/>
                <w:sz w:val="24"/>
              </w:rPr>
              <w:t>产地</w:t>
            </w:r>
          </w:p>
        </w:tc>
        <w:tc>
          <w:tcPr>
            <w:tcW w:w="1559" w:type="dxa"/>
            <w:vAlign w:val="center"/>
          </w:tcPr>
          <w:p>
            <w:pPr>
              <w:spacing w:line="360" w:lineRule="auto"/>
              <w:ind w:left="152"/>
              <w:jc w:val="center"/>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25" w:type="dxa"/>
            <w:vAlign w:val="center"/>
          </w:tcPr>
          <w:p>
            <w:pPr>
              <w:spacing w:line="360" w:lineRule="auto"/>
              <w:rPr>
                <w:rFonts w:ascii="宋体" w:hAnsi="宋体"/>
                <w:sz w:val="24"/>
              </w:rPr>
            </w:pPr>
          </w:p>
        </w:tc>
        <w:tc>
          <w:tcPr>
            <w:tcW w:w="216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842" w:type="dxa"/>
            <w:vAlign w:val="center"/>
          </w:tcPr>
          <w:p>
            <w:pPr>
              <w:spacing w:line="360" w:lineRule="auto"/>
              <w:rPr>
                <w:rFonts w:ascii="宋体" w:hAnsi="宋体"/>
                <w:sz w:val="24"/>
              </w:rPr>
            </w:pPr>
          </w:p>
        </w:tc>
        <w:tc>
          <w:tcPr>
            <w:tcW w:w="993"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r>
    </w:tbl>
    <w:p>
      <w:pPr>
        <w:spacing w:line="360" w:lineRule="auto"/>
        <w:ind w:left="420"/>
        <w:rPr>
          <w:rFonts w:ascii="宋体" w:hAnsi="宋体"/>
          <w:sz w:val="24"/>
        </w:rPr>
      </w:pPr>
    </w:p>
    <w:p>
      <w:pPr>
        <w:spacing w:line="360" w:lineRule="auto"/>
        <w:ind w:left="420"/>
        <w:rPr>
          <w:rFonts w:ascii="宋体" w:hAnsi="宋体"/>
          <w:sz w:val="24"/>
        </w:rPr>
      </w:pPr>
    </w:p>
    <w:p>
      <w:pPr>
        <w:spacing w:line="360" w:lineRule="auto"/>
        <w:ind w:left="420" w:firstLine="571" w:firstLineChars="238"/>
        <w:rPr>
          <w:rFonts w:ascii="宋体" w:hAnsi="宋体"/>
          <w:sz w:val="24"/>
          <w:u w:val="single"/>
        </w:rPr>
      </w:pPr>
      <w:r>
        <w:rPr>
          <w:rFonts w:hint="eastAsia" w:ascii="宋体" w:hAnsi="宋体"/>
          <w:sz w:val="24"/>
        </w:rPr>
        <w:t>投标人名称（公章）：</w:t>
      </w:r>
    </w:p>
    <w:p>
      <w:pPr>
        <w:spacing w:line="360" w:lineRule="auto"/>
        <w:ind w:left="420"/>
        <w:rPr>
          <w:rFonts w:ascii="宋体" w:hAnsi="宋体"/>
          <w:sz w:val="24"/>
        </w:rPr>
      </w:pPr>
    </w:p>
    <w:p>
      <w:pPr>
        <w:spacing w:line="360" w:lineRule="auto"/>
        <w:ind w:firstLine="993"/>
        <w:rPr>
          <w:rFonts w:ascii="宋体" w:hAnsi="宋体"/>
          <w:sz w:val="24"/>
        </w:rPr>
      </w:pPr>
      <w:r>
        <w:rPr>
          <w:rFonts w:hint="eastAsia" w:ascii="宋体" w:hAnsi="宋体"/>
          <w:sz w:val="24"/>
        </w:rPr>
        <w:t>投标人代表签字或盖章：</w:t>
      </w:r>
    </w:p>
    <w:p>
      <w:pPr>
        <w:spacing w:line="360" w:lineRule="auto"/>
        <w:ind w:firstLine="435"/>
        <w:rPr>
          <w:rFonts w:ascii="宋体" w:hAnsi="宋体"/>
          <w:sz w:val="24"/>
        </w:rPr>
      </w:pPr>
    </w:p>
    <w:p>
      <w:pPr>
        <w:pStyle w:val="2"/>
        <w:spacing w:line="360" w:lineRule="auto"/>
        <w:ind w:firstLine="960" w:firstLineChars="400"/>
        <w:rPr>
          <w:rFonts w:ascii="宋体" w:hAnsi="宋体"/>
          <w:sz w:val="24"/>
        </w:rPr>
        <w:sectPr>
          <w:pgSz w:w="11906" w:h="16838"/>
          <w:pgMar w:top="1440" w:right="1797" w:bottom="1440" w:left="1797" w:header="851" w:footer="992" w:gutter="0"/>
          <w:cols w:space="720" w:num="1"/>
          <w:docGrid w:linePitch="312" w:charSpace="0"/>
        </w:sectPr>
      </w:pPr>
      <w:r>
        <w:rPr>
          <w:rFonts w:hint="eastAsia" w:ascii="宋体" w:hAnsi="宋体"/>
          <w:sz w:val="24"/>
        </w:rPr>
        <w:t>日        期：</w:t>
      </w:r>
    </w:p>
    <w:p>
      <w:pPr>
        <w:spacing w:line="360" w:lineRule="auto"/>
        <w:ind w:firstLine="435"/>
        <w:rPr>
          <w:rFonts w:ascii="宋体" w:hAnsi="宋体"/>
        </w:rPr>
      </w:pPr>
      <w:r>
        <w:rPr>
          <w:rFonts w:hint="eastAsia" w:ascii="宋体" w:hAnsi="宋体"/>
          <w:b/>
        </w:rPr>
        <w:t>附件</w:t>
      </w:r>
      <w:r>
        <w:rPr>
          <w:rFonts w:ascii="宋体" w:hAnsi="宋体"/>
          <w:b/>
        </w:rPr>
        <w:t>7</w:t>
      </w:r>
    </w:p>
    <w:p>
      <w:pPr>
        <w:spacing w:line="360" w:lineRule="auto"/>
        <w:ind w:left="480"/>
        <w:jc w:val="center"/>
        <w:rPr>
          <w:rFonts w:ascii="宋体" w:hAnsi="宋体"/>
          <w:b/>
          <w:sz w:val="32"/>
          <w:szCs w:val="32"/>
        </w:rPr>
      </w:pPr>
      <w:r>
        <w:rPr>
          <w:rFonts w:hint="eastAsia" w:ascii="宋体" w:hAnsi="宋体"/>
          <w:kern w:val="0"/>
          <w:sz w:val="32"/>
          <w:szCs w:val="32"/>
        </w:rPr>
        <w:t>商务</w:t>
      </w:r>
      <w:r>
        <w:rPr>
          <w:rFonts w:ascii="宋体" w:hAnsi="宋体"/>
          <w:kern w:val="0"/>
          <w:sz w:val="32"/>
          <w:szCs w:val="32"/>
        </w:rPr>
        <w:t>与</w:t>
      </w:r>
      <w:r>
        <w:rPr>
          <w:rFonts w:hint="eastAsia" w:ascii="宋体" w:hAnsi="宋体"/>
          <w:kern w:val="0"/>
          <w:sz w:val="32"/>
          <w:szCs w:val="32"/>
        </w:rPr>
        <w:t>技术需求</w:t>
      </w:r>
      <w:r>
        <w:rPr>
          <w:rFonts w:ascii="宋体" w:hAnsi="宋体"/>
          <w:kern w:val="0"/>
          <w:sz w:val="32"/>
          <w:szCs w:val="32"/>
        </w:rPr>
        <w:t>响应表</w:t>
      </w:r>
      <w:r>
        <w:rPr>
          <w:rFonts w:hint="eastAsia" w:ascii="宋体" w:hAnsi="宋体"/>
          <w:b/>
          <w:sz w:val="32"/>
          <w:szCs w:val="32"/>
        </w:rPr>
        <w:t>（标段</w:t>
      </w:r>
      <w:r>
        <w:rPr>
          <w:rFonts w:ascii="宋体" w:hAnsi="宋体"/>
          <w:b/>
          <w:sz w:val="32"/>
          <w:szCs w:val="32"/>
          <w:u w:val="single"/>
        </w:rPr>
        <w:t xml:space="preserve">    </w:t>
      </w:r>
      <w:r>
        <w:rPr>
          <w:rFonts w:hint="eastAsia" w:ascii="宋体" w:hAnsi="宋体"/>
          <w:b/>
          <w:sz w:val="32"/>
          <w:szCs w:val="32"/>
        </w:rPr>
        <w:t>）</w:t>
      </w:r>
    </w:p>
    <w:tbl>
      <w:tblPr>
        <w:tblStyle w:val="42"/>
        <w:tblW w:w="8739" w:type="dxa"/>
        <w:tblInd w:w="0" w:type="dxa"/>
        <w:tblLayout w:type="fixed"/>
        <w:tblCellMar>
          <w:top w:w="0" w:type="dxa"/>
          <w:left w:w="108" w:type="dxa"/>
          <w:bottom w:w="0" w:type="dxa"/>
          <w:right w:w="108" w:type="dxa"/>
        </w:tblCellMar>
      </w:tblPr>
      <w:tblGrid>
        <w:gridCol w:w="1195"/>
        <w:gridCol w:w="1820"/>
        <w:gridCol w:w="2147"/>
        <w:gridCol w:w="2176"/>
        <w:gridCol w:w="1401"/>
      </w:tblGrid>
      <w:tr>
        <w:tblPrEx>
          <w:tblCellMar>
            <w:top w:w="0" w:type="dxa"/>
            <w:left w:w="108" w:type="dxa"/>
            <w:bottom w:w="0" w:type="dxa"/>
            <w:right w:w="108" w:type="dxa"/>
          </w:tblCellMar>
        </w:tblPrEx>
        <w:trPr>
          <w:trHeight w:val="809" w:hRule="atLeast"/>
        </w:trPr>
        <w:tc>
          <w:tcPr>
            <w:tcW w:w="1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楷体_GB2312"/>
                <w:bCs/>
                <w:spacing w:val="10"/>
                <w:kern w:val="0"/>
                <w:sz w:val="24"/>
                <w:szCs w:val="22"/>
              </w:rPr>
            </w:pPr>
            <w:r>
              <w:rPr>
                <w:rFonts w:hint="eastAsia" w:ascii="宋体" w:hAnsi="宋体" w:cs="楷体_GB2312"/>
                <w:bCs/>
                <w:spacing w:val="10"/>
                <w:kern w:val="0"/>
                <w:sz w:val="24"/>
                <w:szCs w:val="22"/>
              </w:rPr>
              <w:t>类别</w:t>
            </w:r>
          </w:p>
        </w:tc>
        <w:tc>
          <w:tcPr>
            <w:tcW w:w="1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楷体_GB2312"/>
                <w:bCs/>
                <w:spacing w:val="10"/>
                <w:kern w:val="0"/>
                <w:sz w:val="24"/>
                <w:szCs w:val="22"/>
              </w:rPr>
            </w:pPr>
            <w:r>
              <w:rPr>
                <w:rFonts w:hint="eastAsia" w:ascii="宋体" w:hAnsi="宋体" w:cs="楷体_GB2312"/>
                <w:bCs/>
                <w:spacing w:val="10"/>
                <w:kern w:val="0"/>
                <w:sz w:val="24"/>
                <w:szCs w:val="22"/>
              </w:rPr>
              <w:t>内容</w:t>
            </w:r>
          </w:p>
        </w:tc>
        <w:tc>
          <w:tcPr>
            <w:tcW w:w="21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楷体_GB2312"/>
                <w:bCs/>
                <w:spacing w:val="10"/>
                <w:kern w:val="0"/>
                <w:sz w:val="24"/>
                <w:szCs w:val="22"/>
              </w:rPr>
            </w:pPr>
            <w:r>
              <w:rPr>
                <w:rFonts w:hint="eastAsia" w:ascii="宋体" w:hAnsi="宋体" w:cs="楷体_GB2312"/>
                <w:bCs/>
                <w:spacing w:val="10"/>
                <w:kern w:val="0"/>
                <w:sz w:val="24"/>
                <w:szCs w:val="22"/>
              </w:rPr>
              <w:t>招标文件技术（或</w:t>
            </w:r>
            <w:r>
              <w:rPr>
                <w:rFonts w:ascii="宋体" w:hAnsi="宋体" w:cs="楷体_GB2312"/>
                <w:bCs/>
                <w:spacing w:val="10"/>
                <w:kern w:val="0"/>
                <w:sz w:val="24"/>
                <w:szCs w:val="22"/>
              </w:rPr>
              <w:t>商务</w:t>
            </w:r>
            <w:r>
              <w:rPr>
                <w:rFonts w:hint="eastAsia" w:ascii="宋体" w:hAnsi="宋体" w:cs="楷体_GB2312"/>
                <w:bCs/>
                <w:spacing w:val="10"/>
                <w:kern w:val="0"/>
                <w:sz w:val="24"/>
                <w:szCs w:val="22"/>
              </w:rPr>
              <w:t>）要求</w:t>
            </w: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楷体_GB2312"/>
                <w:bCs/>
                <w:spacing w:val="10"/>
                <w:kern w:val="0"/>
                <w:sz w:val="24"/>
                <w:szCs w:val="22"/>
              </w:rPr>
            </w:pPr>
            <w:r>
              <w:rPr>
                <w:rFonts w:hint="eastAsia" w:ascii="宋体" w:hAnsi="宋体" w:cs="楷体_GB2312"/>
                <w:bCs/>
                <w:spacing w:val="10"/>
                <w:kern w:val="0"/>
                <w:sz w:val="24"/>
                <w:szCs w:val="22"/>
              </w:rPr>
              <w:t>投标文件技术（或</w:t>
            </w:r>
            <w:r>
              <w:rPr>
                <w:rFonts w:ascii="宋体" w:hAnsi="宋体" w:cs="楷体_GB2312"/>
                <w:bCs/>
                <w:spacing w:val="10"/>
                <w:kern w:val="0"/>
                <w:sz w:val="24"/>
                <w:szCs w:val="22"/>
              </w:rPr>
              <w:t>商务</w:t>
            </w:r>
            <w:r>
              <w:rPr>
                <w:rFonts w:hint="eastAsia" w:ascii="宋体" w:hAnsi="宋体" w:cs="楷体_GB2312"/>
                <w:bCs/>
                <w:spacing w:val="10"/>
                <w:kern w:val="0"/>
                <w:sz w:val="24"/>
                <w:szCs w:val="22"/>
              </w:rPr>
              <w:t>）响应</w:t>
            </w: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楷体_GB2312"/>
                <w:bCs/>
                <w:spacing w:val="10"/>
                <w:kern w:val="0"/>
                <w:sz w:val="24"/>
                <w:szCs w:val="22"/>
              </w:rPr>
            </w:pPr>
            <w:r>
              <w:rPr>
                <w:rFonts w:hint="eastAsia" w:ascii="宋体" w:hAnsi="宋体" w:cs="楷体_GB2312"/>
                <w:bCs/>
                <w:spacing w:val="10"/>
                <w:kern w:val="0"/>
                <w:sz w:val="24"/>
                <w:szCs w:val="22"/>
              </w:rPr>
              <w:t>偏离情况</w:t>
            </w:r>
          </w:p>
        </w:tc>
      </w:tr>
      <w:tr>
        <w:tblPrEx>
          <w:tblCellMar>
            <w:top w:w="0" w:type="dxa"/>
            <w:left w:w="108" w:type="dxa"/>
            <w:bottom w:w="0" w:type="dxa"/>
            <w:right w:w="108" w:type="dxa"/>
          </w:tblCellMar>
        </w:tblPrEx>
        <w:trPr>
          <w:trHeight w:val="608" w:hRule="atLeast"/>
        </w:trPr>
        <w:tc>
          <w:tcPr>
            <w:tcW w:w="119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楷体_GB2312"/>
                <w:kern w:val="0"/>
                <w:sz w:val="22"/>
                <w:szCs w:val="22"/>
              </w:rPr>
            </w:pPr>
            <w:r>
              <w:rPr>
                <w:rFonts w:hint="eastAsia" w:ascii="宋体" w:hAnsi="宋体" w:cs="楷体_GB2312"/>
                <w:kern w:val="0"/>
                <w:sz w:val="22"/>
                <w:szCs w:val="22"/>
              </w:rPr>
              <w:t>响应情况</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r>
              <w:rPr>
                <w:rFonts w:ascii="宋体" w:hAnsi="宋体"/>
                <w:sz w:val="24"/>
              </w:rPr>
              <w:t>技术需求</w:t>
            </w:r>
            <w:r>
              <w:rPr>
                <w:rFonts w:hint="eastAsia" w:ascii="宋体" w:hAnsi="宋体"/>
                <w:sz w:val="24"/>
              </w:rPr>
              <w:t>）</w:t>
            </w:r>
          </w:p>
        </w:tc>
        <w:tc>
          <w:tcPr>
            <w:tcW w:w="21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pacing w:val="20"/>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r>
      <w:tr>
        <w:tblPrEx>
          <w:tblCellMar>
            <w:top w:w="0" w:type="dxa"/>
            <w:left w:w="108" w:type="dxa"/>
            <w:bottom w:w="0" w:type="dxa"/>
            <w:right w:w="108" w:type="dxa"/>
          </w:tblCellMar>
        </w:tblPrEx>
        <w:trPr>
          <w:trHeight w:val="608" w:hRule="atLeast"/>
        </w:trPr>
        <w:tc>
          <w:tcPr>
            <w:tcW w:w="1195" w:type="dxa"/>
            <w:vMerge w:val="continue"/>
            <w:tcBorders>
              <w:left w:val="single" w:color="auto" w:sz="4" w:space="0"/>
              <w:right w:val="single" w:color="auto" w:sz="4" w:space="0"/>
            </w:tcBorders>
            <w:vAlign w:val="center"/>
          </w:tcPr>
          <w:p>
            <w:pPr>
              <w:widowControl/>
              <w:jc w:val="center"/>
              <w:rPr>
                <w:rFonts w:ascii="宋体" w:hAnsi="宋体" w:cs="楷体_GB2312"/>
                <w:kern w:val="0"/>
                <w:sz w:val="22"/>
                <w:szCs w:val="22"/>
              </w:rPr>
            </w:pP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sz w:val="24"/>
              </w:rPr>
              <w:t>……</w:t>
            </w:r>
          </w:p>
        </w:tc>
        <w:tc>
          <w:tcPr>
            <w:tcW w:w="21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pacing w:val="20"/>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r>
      <w:tr>
        <w:tblPrEx>
          <w:tblCellMar>
            <w:top w:w="0" w:type="dxa"/>
            <w:left w:w="108" w:type="dxa"/>
            <w:bottom w:w="0" w:type="dxa"/>
            <w:right w:w="108" w:type="dxa"/>
          </w:tblCellMar>
        </w:tblPrEx>
        <w:trPr>
          <w:trHeight w:val="608" w:hRule="atLeast"/>
        </w:trPr>
        <w:tc>
          <w:tcPr>
            <w:tcW w:w="1195" w:type="dxa"/>
            <w:vMerge w:val="continue"/>
            <w:tcBorders>
              <w:left w:val="single" w:color="auto" w:sz="4" w:space="0"/>
              <w:right w:val="single" w:color="auto" w:sz="4" w:space="0"/>
            </w:tcBorders>
            <w:vAlign w:val="center"/>
          </w:tcPr>
          <w:p>
            <w:pPr>
              <w:widowControl/>
              <w:jc w:val="center"/>
              <w:rPr>
                <w:rFonts w:ascii="宋体" w:hAnsi="宋体" w:cs="楷体_GB2312"/>
                <w:kern w:val="0"/>
                <w:sz w:val="22"/>
                <w:szCs w:val="22"/>
              </w:rPr>
            </w:pP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（商务</w:t>
            </w:r>
            <w:r>
              <w:rPr>
                <w:rFonts w:ascii="宋体" w:hAnsi="宋体"/>
                <w:sz w:val="24"/>
              </w:rPr>
              <w:t>需求</w:t>
            </w:r>
            <w:r>
              <w:rPr>
                <w:rFonts w:hint="eastAsia" w:ascii="宋体" w:hAnsi="宋体"/>
                <w:sz w:val="24"/>
              </w:rPr>
              <w:t>）</w:t>
            </w:r>
          </w:p>
        </w:tc>
        <w:tc>
          <w:tcPr>
            <w:tcW w:w="21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pacing w:val="20"/>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r>
      <w:tr>
        <w:tblPrEx>
          <w:tblCellMar>
            <w:top w:w="0" w:type="dxa"/>
            <w:left w:w="108" w:type="dxa"/>
            <w:bottom w:w="0" w:type="dxa"/>
            <w:right w:w="108" w:type="dxa"/>
          </w:tblCellMar>
        </w:tblPrEx>
        <w:trPr>
          <w:trHeight w:val="608" w:hRule="atLeast"/>
        </w:trPr>
        <w:tc>
          <w:tcPr>
            <w:tcW w:w="119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楷体_GB2312"/>
                <w:kern w:val="0"/>
                <w:sz w:val="22"/>
                <w:szCs w:val="22"/>
              </w:rPr>
            </w:pP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21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pacing w:val="20"/>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r>
      <w:tr>
        <w:tblPrEx>
          <w:tblCellMar>
            <w:top w:w="0" w:type="dxa"/>
            <w:left w:w="108" w:type="dxa"/>
            <w:bottom w:w="0" w:type="dxa"/>
            <w:right w:w="108" w:type="dxa"/>
          </w:tblCellMar>
        </w:tblPrEx>
        <w:trPr>
          <w:trHeight w:val="608" w:hRule="atLeast"/>
        </w:trPr>
        <w:tc>
          <w:tcPr>
            <w:tcW w:w="11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2"/>
                <w:szCs w:val="22"/>
              </w:rPr>
            </w:pPr>
          </w:p>
        </w:tc>
        <w:tc>
          <w:tcPr>
            <w:tcW w:w="1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r>
              <w:rPr>
                <w:rFonts w:hint="eastAsia" w:ascii="宋体" w:hAnsi="宋体"/>
                <w:sz w:val="24"/>
              </w:rPr>
              <w:t>……</w:t>
            </w:r>
          </w:p>
        </w:tc>
        <w:tc>
          <w:tcPr>
            <w:tcW w:w="21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spacing w:val="20"/>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pacing w:val="20"/>
                <w:sz w:val="24"/>
              </w:rPr>
            </w:pPr>
          </w:p>
        </w:tc>
      </w:tr>
    </w:tbl>
    <w:p>
      <w:pPr>
        <w:spacing w:line="360" w:lineRule="auto"/>
        <w:rPr>
          <w:rFonts w:ascii="宋体" w:hAnsi="宋体"/>
          <w:sz w:val="24"/>
        </w:rPr>
      </w:pPr>
    </w:p>
    <w:p>
      <w:pPr>
        <w:pStyle w:val="89"/>
        <w:tabs>
          <w:tab w:val="left" w:pos="360"/>
        </w:tabs>
        <w:spacing w:line="360" w:lineRule="auto"/>
        <w:ind w:right="112" w:rightChars="40"/>
        <w:rPr>
          <w:rFonts w:ascii="宋体"/>
          <w:b/>
          <w:szCs w:val="21"/>
        </w:rPr>
      </w:pPr>
      <w:r>
        <w:rPr>
          <w:rFonts w:hint="eastAsia" w:ascii="宋体"/>
          <w:b/>
          <w:szCs w:val="21"/>
        </w:rPr>
        <w:t>要求：</w:t>
      </w:r>
    </w:p>
    <w:p>
      <w:pPr>
        <w:pStyle w:val="89"/>
        <w:tabs>
          <w:tab w:val="left" w:pos="360"/>
        </w:tabs>
        <w:spacing w:line="360" w:lineRule="auto"/>
        <w:ind w:right="112" w:rightChars="40" w:firstLine="420" w:firstLineChars="200"/>
        <w:rPr>
          <w:rFonts w:ascii="宋体"/>
          <w:szCs w:val="21"/>
        </w:rPr>
      </w:pPr>
      <w:r>
        <w:rPr>
          <w:rFonts w:hint="eastAsia" w:ascii="宋体"/>
          <w:szCs w:val="21"/>
        </w:rPr>
        <w:t>1. 本表参照本招标文件第二部分“招标需求”填制，投标人应根据招标需求</w:t>
      </w:r>
      <w:r>
        <w:rPr>
          <w:rFonts w:ascii="宋体"/>
          <w:szCs w:val="21"/>
        </w:rPr>
        <w:t>的</w:t>
      </w:r>
      <w:r>
        <w:rPr>
          <w:rFonts w:hint="eastAsia" w:ascii="宋体"/>
          <w:szCs w:val="21"/>
        </w:rPr>
        <w:t>服务指标，对照招标文件要求在“偏离情况”栏注明“正偏离”或“无偏离”。</w:t>
      </w:r>
    </w:p>
    <w:p>
      <w:pPr>
        <w:spacing w:line="360" w:lineRule="auto"/>
        <w:rPr>
          <w:rFonts w:ascii="宋体" w:hAnsi="宋体"/>
          <w:sz w:val="24"/>
        </w:rPr>
      </w:pPr>
    </w:p>
    <w:p>
      <w:pPr>
        <w:spacing w:line="360" w:lineRule="auto"/>
        <w:ind w:left="420"/>
        <w:rPr>
          <w:rFonts w:ascii="宋体" w:hAnsi="宋体"/>
          <w:sz w:val="24"/>
          <w:u w:val="single"/>
        </w:rPr>
      </w:pPr>
      <w:r>
        <w:rPr>
          <w:rFonts w:hint="eastAsia" w:ascii="宋体" w:hAnsi="宋体"/>
          <w:sz w:val="24"/>
        </w:rPr>
        <w:t>投标人名称（盖章）：</w:t>
      </w:r>
    </w:p>
    <w:p>
      <w:pPr>
        <w:spacing w:line="360" w:lineRule="auto"/>
        <w:ind w:left="420"/>
        <w:rPr>
          <w:rFonts w:ascii="宋体" w:hAnsi="宋体"/>
          <w:sz w:val="24"/>
        </w:rPr>
      </w:pPr>
    </w:p>
    <w:p>
      <w:pPr>
        <w:spacing w:line="360" w:lineRule="auto"/>
        <w:ind w:firstLine="435"/>
        <w:rPr>
          <w:rFonts w:ascii="宋体" w:hAnsi="宋体"/>
          <w:sz w:val="24"/>
        </w:rPr>
      </w:pPr>
      <w:r>
        <w:rPr>
          <w:rFonts w:hint="eastAsia" w:ascii="宋体" w:hAnsi="宋体"/>
          <w:sz w:val="24"/>
        </w:rPr>
        <w:t>投标人代表签字或盖章：</w:t>
      </w:r>
    </w:p>
    <w:p>
      <w:pPr>
        <w:spacing w:line="360" w:lineRule="auto"/>
        <w:rPr>
          <w:rFonts w:ascii="宋体" w:hAnsi="宋体"/>
          <w:sz w:val="24"/>
        </w:rPr>
      </w:pPr>
    </w:p>
    <w:p>
      <w:pPr>
        <w:spacing w:line="360" w:lineRule="auto"/>
        <w:ind w:firstLine="435"/>
        <w:rPr>
          <w:rFonts w:ascii="宋体" w:hAnsi="宋体"/>
          <w:sz w:val="24"/>
        </w:rPr>
        <w:sectPr>
          <w:pgSz w:w="11906" w:h="16838"/>
          <w:pgMar w:top="1440" w:right="1800" w:bottom="1440" w:left="1800" w:header="851" w:footer="992" w:gutter="0"/>
          <w:cols w:space="720" w:num="1"/>
          <w:docGrid w:type="lines" w:linePitch="312" w:charSpace="0"/>
        </w:sectPr>
      </w:pPr>
      <w:r>
        <w:rPr>
          <w:rFonts w:hint="eastAsia" w:ascii="宋体" w:hAnsi="宋体"/>
          <w:sz w:val="24"/>
        </w:rPr>
        <w:t>日        期：</w:t>
      </w:r>
    </w:p>
    <w:p>
      <w:pPr>
        <w:spacing w:line="360" w:lineRule="auto"/>
        <w:ind w:firstLine="435"/>
        <w:rPr>
          <w:rFonts w:ascii="宋体" w:hAnsi="宋体"/>
          <w:b/>
        </w:rPr>
      </w:pPr>
      <w:r>
        <w:rPr>
          <w:rFonts w:hint="eastAsia" w:ascii="宋体" w:hAnsi="宋体"/>
          <w:b/>
        </w:rPr>
        <w:t>附件</w:t>
      </w:r>
      <w:r>
        <w:rPr>
          <w:rFonts w:ascii="宋体" w:hAnsi="宋体"/>
          <w:b/>
        </w:rPr>
        <w:t>8</w:t>
      </w:r>
    </w:p>
    <w:p>
      <w:pPr>
        <w:spacing w:line="360" w:lineRule="auto"/>
        <w:jc w:val="center"/>
        <w:rPr>
          <w:rFonts w:ascii="宋体" w:hAnsi="宋体" w:cs="仿宋"/>
          <w:sz w:val="32"/>
          <w:szCs w:val="32"/>
        </w:rPr>
      </w:pPr>
      <w:r>
        <w:rPr>
          <w:rFonts w:hint="eastAsia" w:ascii="宋体" w:hAnsi="宋体" w:cs="仿宋"/>
          <w:sz w:val="32"/>
          <w:szCs w:val="32"/>
        </w:rPr>
        <w:t>质保期满后的服务价格和易损零配件价格表</w:t>
      </w:r>
      <w:r>
        <w:rPr>
          <w:rFonts w:hint="eastAsia" w:ascii="宋体" w:hAnsi="宋体"/>
          <w:b/>
          <w:sz w:val="32"/>
          <w:szCs w:val="32"/>
        </w:rPr>
        <w:t>（标段</w:t>
      </w:r>
      <w:r>
        <w:rPr>
          <w:rFonts w:ascii="宋体" w:hAnsi="宋体"/>
          <w:b/>
          <w:sz w:val="32"/>
          <w:szCs w:val="32"/>
          <w:u w:val="single"/>
        </w:rPr>
        <w:t xml:space="preserve">    </w:t>
      </w:r>
      <w:r>
        <w:rPr>
          <w:rFonts w:hint="eastAsia" w:ascii="宋体" w:hAnsi="宋体"/>
          <w:b/>
          <w:sz w:val="32"/>
          <w:szCs w:val="32"/>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66"/>
        <w:gridCol w:w="2410"/>
        <w:gridCol w:w="1148"/>
        <w:gridCol w:w="149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03" w:type="dxa"/>
            <w:vAlign w:val="center"/>
          </w:tcPr>
          <w:p>
            <w:pPr>
              <w:spacing w:line="360" w:lineRule="auto"/>
              <w:jc w:val="center"/>
              <w:rPr>
                <w:rFonts w:ascii="宋体" w:hAnsi="宋体" w:cs="仿宋"/>
                <w:b/>
                <w:sz w:val="24"/>
              </w:rPr>
            </w:pPr>
            <w:r>
              <w:rPr>
                <w:rFonts w:hint="eastAsia" w:ascii="宋体" w:hAnsi="宋体" w:cs="仿宋"/>
                <w:b/>
                <w:sz w:val="24"/>
              </w:rPr>
              <w:t>序号</w:t>
            </w:r>
          </w:p>
        </w:tc>
        <w:tc>
          <w:tcPr>
            <w:tcW w:w="2066" w:type="dxa"/>
            <w:vAlign w:val="center"/>
          </w:tcPr>
          <w:p>
            <w:pPr>
              <w:spacing w:line="360" w:lineRule="auto"/>
              <w:ind w:left="13"/>
              <w:jc w:val="center"/>
              <w:rPr>
                <w:rFonts w:ascii="宋体" w:hAnsi="宋体" w:cs="仿宋"/>
                <w:b/>
                <w:sz w:val="24"/>
              </w:rPr>
            </w:pPr>
            <w:r>
              <w:rPr>
                <w:rFonts w:hint="eastAsia" w:ascii="宋体" w:hAnsi="宋体" w:cs="仿宋"/>
                <w:b/>
                <w:sz w:val="24"/>
              </w:rPr>
              <w:t>项目</w:t>
            </w:r>
          </w:p>
        </w:tc>
        <w:tc>
          <w:tcPr>
            <w:tcW w:w="2410" w:type="dxa"/>
            <w:vAlign w:val="center"/>
          </w:tcPr>
          <w:p>
            <w:pPr>
              <w:spacing w:line="360" w:lineRule="auto"/>
              <w:jc w:val="center"/>
              <w:rPr>
                <w:rFonts w:ascii="宋体" w:hAnsi="宋体" w:cs="仿宋"/>
                <w:b/>
                <w:sz w:val="24"/>
              </w:rPr>
            </w:pPr>
            <w:r>
              <w:rPr>
                <w:rFonts w:hint="eastAsia" w:ascii="宋体" w:hAnsi="宋体" w:cs="仿宋"/>
                <w:b/>
                <w:sz w:val="24"/>
              </w:rPr>
              <w:t>品牌及</w:t>
            </w:r>
          </w:p>
          <w:p>
            <w:pPr>
              <w:spacing w:line="360" w:lineRule="auto"/>
              <w:jc w:val="center"/>
              <w:rPr>
                <w:rFonts w:ascii="宋体" w:hAnsi="宋体" w:cs="仿宋"/>
                <w:b/>
                <w:sz w:val="24"/>
              </w:rPr>
            </w:pPr>
            <w:r>
              <w:rPr>
                <w:rFonts w:hint="eastAsia" w:ascii="宋体" w:hAnsi="宋体" w:cs="仿宋"/>
                <w:b/>
                <w:sz w:val="24"/>
              </w:rPr>
              <w:t>规格型号</w:t>
            </w:r>
          </w:p>
        </w:tc>
        <w:tc>
          <w:tcPr>
            <w:tcW w:w="1148" w:type="dxa"/>
            <w:vAlign w:val="center"/>
          </w:tcPr>
          <w:p>
            <w:pPr>
              <w:spacing w:line="360" w:lineRule="auto"/>
              <w:jc w:val="center"/>
              <w:rPr>
                <w:rFonts w:ascii="宋体" w:hAnsi="宋体" w:cs="仿宋"/>
                <w:b/>
                <w:sz w:val="24"/>
              </w:rPr>
            </w:pPr>
            <w:r>
              <w:rPr>
                <w:rFonts w:hint="eastAsia" w:ascii="宋体" w:hAnsi="宋体" w:cs="仿宋"/>
                <w:b/>
                <w:sz w:val="24"/>
              </w:rPr>
              <w:t>产地</w:t>
            </w:r>
          </w:p>
        </w:tc>
        <w:tc>
          <w:tcPr>
            <w:tcW w:w="1492" w:type="dxa"/>
            <w:vAlign w:val="center"/>
          </w:tcPr>
          <w:p>
            <w:pPr>
              <w:spacing w:line="360" w:lineRule="auto"/>
              <w:jc w:val="center"/>
              <w:rPr>
                <w:rFonts w:ascii="宋体" w:hAnsi="宋体" w:cs="仿宋"/>
                <w:b/>
                <w:sz w:val="24"/>
              </w:rPr>
            </w:pPr>
            <w:r>
              <w:rPr>
                <w:rFonts w:hint="eastAsia" w:ascii="宋体" w:hAnsi="宋体" w:cs="仿宋"/>
                <w:b/>
                <w:sz w:val="24"/>
              </w:rPr>
              <w:t>单价（元）</w:t>
            </w:r>
          </w:p>
        </w:tc>
        <w:tc>
          <w:tcPr>
            <w:tcW w:w="918" w:type="dxa"/>
            <w:vAlign w:val="center"/>
          </w:tcPr>
          <w:p>
            <w:pPr>
              <w:spacing w:line="360" w:lineRule="auto"/>
              <w:jc w:val="center"/>
              <w:rPr>
                <w:rFonts w:ascii="宋体" w:hAns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03" w:type="dxa"/>
            <w:vAlign w:val="center"/>
          </w:tcPr>
          <w:p>
            <w:pPr>
              <w:spacing w:line="360" w:lineRule="auto"/>
              <w:rPr>
                <w:rFonts w:ascii="宋体" w:hAnsi="宋体" w:cs="仿宋"/>
                <w:sz w:val="24"/>
              </w:rPr>
            </w:pPr>
          </w:p>
        </w:tc>
        <w:tc>
          <w:tcPr>
            <w:tcW w:w="2066" w:type="dxa"/>
            <w:vAlign w:val="center"/>
          </w:tcPr>
          <w:p>
            <w:pPr>
              <w:spacing w:line="360" w:lineRule="auto"/>
              <w:rPr>
                <w:rFonts w:ascii="宋体" w:hAnsi="宋体" w:cs="仿宋"/>
                <w:sz w:val="24"/>
              </w:rPr>
            </w:pPr>
          </w:p>
        </w:tc>
        <w:tc>
          <w:tcPr>
            <w:tcW w:w="2410" w:type="dxa"/>
            <w:vAlign w:val="center"/>
          </w:tcPr>
          <w:p>
            <w:pPr>
              <w:spacing w:line="360" w:lineRule="auto"/>
              <w:rPr>
                <w:rFonts w:ascii="宋体" w:hAnsi="宋体" w:cs="仿宋"/>
                <w:sz w:val="24"/>
              </w:rPr>
            </w:pPr>
          </w:p>
        </w:tc>
        <w:tc>
          <w:tcPr>
            <w:tcW w:w="1148" w:type="dxa"/>
            <w:vAlign w:val="center"/>
          </w:tcPr>
          <w:p>
            <w:pPr>
              <w:spacing w:line="360" w:lineRule="auto"/>
              <w:rPr>
                <w:rFonts w:ascii="宋体" w:hAnsi="宋体" w:cs="仿宋"/>
                <w:sz w:val="24"/>
              </w:rPr>
            </w:pPr>
          </w:p>
        </w:tc>
        <w:tc>
          <w:tcPr>
            <w:tcW w:w="1492" w:type="dxa"/>
            <w:vAlign w:val="center"/>
          </w:tcPr>
          <w:p>
            <w:pPr>
              <w:spacing w:line="360" w:lineRule="auto"/>
              <w:rPr>
                <w:rFonts w:ascii="宋体" w:hAnsi="宋体" w:cs="仿宋"/>
                <w:sz w:val="24"/>
              </w:rPr>
            </w:pPr>
          </w:p>
        </w:tc>
        <w:tc>
          <w:tcPr>
            <w:tcW w:w="918" w:type="dxa"/>
            <w:vAlign w:val="center"/>
          </w:tcPr>
          <w:p>
            <w:pPr>
              <w:spacing w:line="360" w:lineRule="auto"/>
              <w:rPr>
                <w:rFonts w:ascii="宋体" w:hAnsi="宋体" w:cs="仿宋"/>
                <w:sz w:val="24"/>
              </w:rPr>
            </w:pPr>
          </w:p>
        </w:tc>
      </w:tr>
    </w:tbl>
    <w:p>
      <w:pPr>
        <w:spacing w:line="320" w:lineRule="exact"/>
        <w:ind w:left="420"/>
        <w:rPr>
          <w:rFonts w:ascii="宋体" w:hAnsi="宋体" w:cs="仿宋"/>
          <w:sz w:val="24"/>
        </w:rPr>
      </w:pPr>
    </w:p>
    <w:p>
      <w:pPr>
        <w:spacing w:line="320" w:lineRule="exact"/>
        <w:ind w:left="420"/>
        <w:rPr>
          <w:rFonts w:ascii="宋体" w:hAnsi="宋体" w:cs="仿宋"/>
          <w:sz w:val="24"/>
        </w:rPr>
      </w:pPr>
    </w:p>
    <w:p>
      <w:pPr>
        <w:spacing w:line="320" w:lineRule="exact"/>
        <w:ind w:left="420"/>
        <w:rPr>
          <w:rFonts w:ascii="宋体" w:hAnsi="宋体" w:cs="仿宋"/>
          <w:sz w:val="24"/>
        </w:rPr>
      </w:pPr>
      <w:r>
        <w:rPr>
          <w:rFonts w:hint="eastAsia" w:ascii="宋体" w:hAnsi="宋体" w:cs="仿宋"/>
          <w:sz w:val="24"/>
        </w:rPr>
        <w:t xml:space="preserve">投标人全称（盖章）：                      </w:t>
      </w:r>
    </w:p>
    <w:p>
      <w:pPr>
        <w:spacing w:line="320" w:lineRule="exact"/>
        <w:ind w:left="420"/>
        <w:rPr>
          <w:rFonts w:ascii="宋体" w:hAnsi="宋体" w:cs="仿宋"/>
          <w:sz w:val="24"/>
        </w:rPr>
      </w:pPr>
      <w:r>
        <w:rPr>
          <w:rFonts w:hint="eastAsia" w:ascii="宋体" w:hAnsi="宋体" w:cs="仿宋"/>
          <w:sz w:val="24"/>
        </w:rPr>
        <w:t xml:space="preserve"> </w:t>
      </w:r>
    </w:p>
    <w:p>
      <w:pPr>
        <w:spacing w:line="320" w:lineRule="exact"/>
        <w:ind w:left="420"/>
        <w:rPr>
          <w:rFonts w:ascii="宋体" w:hAnsi="宋体" w:cs="仿宋"/>
          <w:sz w:val="24"/>
        </w:rPr>
      </w:pPr>
      <w:r>
        <w:rPr>
          <w:rFonts w:hint="eastAsia" w:ascii="宋体" w:hAnsi="宋体" w:cs="仿宋"/>
          <w:sz w:val="24"/>
        </w:rPr>
        <w:t xml:space="preserve">法定代表人或授权代表（签章）：                          </w:t>
      </w:r>
    </w:p>
    <w:p>
      <w:pPr>
        <w:spacing w:line="320" w:lineRule="exact"/>
        <w:ind w:left="420"/>
        <w:rPr>
          <w:rFonts w:ascii="宋体" w:hAnsi="宋体" w:cs="仿宋"/>
          <w:sz w:val="24"/>
        </w:rPr>
      </w:pPr>
    </w:p>
    <w:p>
      <w:pPr>
        <w:spacing w:line="320" w:lineRule="exact"/>
        <w:ind w:left="420"/>
        <w:rPr>
          <w:rFonts w:ascii="宋体" w:hAnsi="宋体" w:cs="仿宋"/>
          <w:sz w:val="24"/>
        </w:rPr>
        <w:sectPr>
          <w:pgSz w:w="11906" w:h="16838"/>
          <w:pgMar w:top="1440" w:right="1797" w:bottom="1440" w:left="1797" w:header="851" w:footer="992" w:gutter="0"/>
          <w:cols w:space="720" w:num="1"/>
          <w:docGrid w:linePitch="312" w:charSpace="0"/>
        </w:sectPr>
      </w:pPr>
      <w:r>
        <w:rPr>
          <w:rFonts w:hint="eastAsia" w:ascii="宋体" w:hAnsi="宋体" w:cs="仿宋"/>
          <w:sz w:val="24"/>
        </w:rPr>
        <w:t>日        期：</w:t>
      </w:r>
    </w:p>
    <w:p>
      <w:pPr>
        <w:spacing w:line="360" w:lineRule="auto"/>
        <w:ind w:firstLine="435"/>
        <w:rPr>
          <w:rFonts w:ascii="宋体" w:hAnsi="宋体"/>
          <w:b/>
        </w:rPr>
      </w:pPr>
      <w:r>
        <w:rPr>
          <w:rFonts w:hint="eastAsia" w:ascii="宋体" w:hAnsi="宋体"/>
          <w:b/>
        </w:rPr>
        <w:t>附件9</w:t>
      </w:r>
    </w:p>
    <w:p>
      <w:pPr>
        <w:snapToGrid w:val="0"/>
        <w:spacing w:before="120" w:beforeLines="50" w:after="50" w:line="360" w:lineRule="auto"/>
        <w:jc w:val="center"/>
        <w:rPr>
          <w:rFonts w:ascii="宋体" w:hAnsi="宋体"/>
          <w:b/>
          <w:sz w:val="32"/>
          <w:szCs w:val="32"/>
        </w:rPr>
      </w:pPr>
      <w:r>
        <w:rPr>
          <w:rFonts w:hint="eastAsia" w:ascii="宋体" w:hAnsi="宋体"/>
          <w:b/>
          <w:sz w:val="32"/>
          <w:szCs w:val="32"/>
        </w:rPr>
        <w:t>项目实施人员一览表（标段</w:t>
      </w:r>
      <w:r>
        <w:rPr>
          <w:rFonts w:ascii="宋体" w:hAnsi="宋体"/>
          <w:b/>
          <w:sz w:val="32"/>
          <w:szCs w:val="32"/>
          <w:u w:val="single"/>
        </w:rPr>
        <w:t xml:space="preserve">    </w:t>
      </w:r>
      <w:r>
        <w:rPr>
          <w:rFonts w:hint="eastAsia" w:ascii="宋体" w:hAnsi="宋体"/>
          <w:b/>
          <w:sz w:val="32"/>
          <w:szCs w:val="32"/>
        </w:rPr>
        <w:t>）</w:t>
      </w:r>
    </w:p>
    <w:p>
      <w:pPr>
        <w:snapToGrid w:val="0"/>
        <w:spacing w:before="120" w:beforeLines="50" w:after="50" w:line="360" w:lineRule="auto"/>
        <w:ind w:firstLine="2400" w:firstLineChars="1000"/>
        <w:rPr>
          <w:rFonts w:ascii="宋体" w:hAnsi="宋体"/>
          <w:sz w:val="24"/>
        </w:rPr>
      </w:pPr>
      <w:r>
        <w:rPr>
          <w:rFonts w:hint="eastAsia" w:ascii="宋体" w:hAnsi="宋体"/>
          <w:sz w:val="24"/>
        </w:rPr>
        <w:t>（主要从业人员及其技术资格）</w:t>
      </w:r>
    </w:p>
    <w:tbl>
      <w:tblPr>
        <w:tblStyle w:val="42"/>
        <w:tblW w:w="8898"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543"/>
        <w:gridCol w:w="1004"/>
        <w:gridCol w:w="795"/>
        <w:gridCol w:w="1276"/>
        <w:gridCol w:w="1275"/>
        <w:gridCol w:w="1418"/>
        <w:gridCol w:w="2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szCs w:val="20"/>
              </w:rPr>
              <w:t>序号</w:t>
            </w:r>
          </w:p>
        </w:tc>
        <w:tc>
          <w:tcPr>
            <w:tcW w:w="54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szCs w:val="20"/>
              </w:rPr>
              <w:t>职责</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sz w:val="24"/>
                <w:szCs w:val="20"/>
              </w:rPr>
            </w:pPr>
            <w:r>
              <w:rPr>
                <w:rFonts w:hint="eastAsia" w:ascii="宋体" w:hAnsi="宋体"/>
                <w:b/>
                <w:sz w:val="24"/>
              </w:rPr>
              <w:t>证书编号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bCs/>
                <w:sz w:val="24"/>
                <w:szCs w:val="20"/>
              </w:rPr>
            </w:pPr>
            <w:r>
              <w:rPr>
                <w:rFonts w:hint="eastAsia" w:ascii="宋体" w:hAnsi="宋体"/>
                <w:b/>
                <w:bCs/>
                <w:sz w:val="24"/>
              </w:rPr>
              <w:t>参加本单位工作时间</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宋体" w:hAnsi="宋体"/>
                <w:b/>
                <w:bCs/>
                <w:sz w:val="24"/>
                <w:szCs w:val="20"/>
              </w:rPr>
            </w:pPr>
            <w:r>
              <w:rPr>
                <w:rFonts w:hint="eastAsia" w:ascii="宋体" w:hAnsi="宋体"/>
                <w:b/>
                <w:sz w:val="24"/>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54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212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54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212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54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pStyle w:val="27"/>
              <w:snapToGrid w:val="0"/>
              <w:spacing w:before="120" w:beforeLines="50" w:after="50" w:line="360" w:lineRule="auto"/>
              <w:ind w:left="7000"/>
              <w:rPr>
                <w:rFonts w:ascii="宋体" w:hAnsi="宋体" w:eastAsia="宋体"/>
                <w:b/>
                <w:kern w:val="44"/>
                <w:sz w:val="24"/>
                <w:szCs w:val="24"/>
              </w:rPr>
            </w:pPr>
          </w:p>
        </w:tc>
        <w:tc>
          <w:tcPr>
            <w:tcW w:w="1276" w:type="dxa"/>
            <w:tcBorders>
              <w:top w:val="single" w:color="auto" w:sz="4" w:space="0"/>
              <w:left w:val="single" w:color="auto" w:sz="4" w:space="0"/>
              <w:bottom w:val="single" w:color="auto" w:sz="4" w:space="0"/>
              <w:right w:val="single" w:color="auto" w:sz="4" w:space="0"/>
            </w:tcBorders>
          </w:tcPr>
          <w:p>
            <w:pPr>
              <w:pStyle w:val="27"/>
              <w:snapToGrid w:val="0"/>
              <w:spacing w:before="120" w:beforeLines="50" w:after="50" w:line="360" w:lineRule="auto"/>
              <w:ind w:left="7000"/>
              <w:rPr>
                <w:rFonts w:ascii="宋体" w:hAnsi="宋体" w:eastAsia="宋体"/>
                <w:b/>
                <w:kern w:val="44"/>
                <w:sz w:val="24"/>
                <w:szCs w:val="24"/>
              </w:rPr>
            </w:pPr>
          </w:p>
        </w:tc>
        <w:tc>
          <w:tcPr>
            <w:tcW w:w="1275" w:type="dxa"/>
            <w:tcBorders>
              <w:top w:val="single" w:color="auto" w:sz="4" w:space="0"/>
              <w:left w:val="single" w:color="auto" w:sz="4" w:space="0"/>
              <w:bottom w:val="single" w:color="auto" w:sz="4" w:space="0"/>
              <w:right w:val="single" w:color="auto" w:sz="4" w:space="0"/>
            </w:tcBorders>
          </w:tcPr>
          <w:p>
            <w:pPr>
              <w:pStyle w:val="27"/>
              <w:spacing w:line="360" w:lineRule="auto"/>
              <w:ind w:left="7000"/>
              <w:rPr>
                <w:rFonts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212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54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212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sz w:val="24"/>
                <w:szCs w:val="20"/>
              </w:rPr>
            </w:pPr>
          </w:p>
        </w:tc>
        <w:tc>
          <w:tcPr>
            <w:tcW w:w="54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79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275"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c>
          <w:tcPr>
            <w:tcW w:w="2126"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宋体" w:hAnsi="宋体"/>
                <w:b/>
                <w:kern w:val="44"/>
                <w:sz w:val="24"/>
                <w:szCs w:val="20"/>
              </w:rPr>
            </w:pPr>
          </w:p>
        </w:tc>
      </w:tr>
    </w:tbl>
    <w:p>
      <w:pPr>
        <w:spacing w:line="360" w:lineRule="auto"/>
        <w:rPr>
          <w:rFonts w:ascii="宋体" w:hAnsi="宋体"/>
          <w:b/>
          <w:szCs w:val="21"/>
        </w:rPr>
      </w:pPr>
      <w:r>
        <w:rPr>
          <w:rFonts w:hint="eastAsia" w:ascii="宋体" w:hAnsi="宋体"/>
          <w:b/>
          <w:szCs w:val="21"/>
        </w:rPr>
        <w:t>要求：</w:t>
      </w:r>
    </w:p>
    <w:p>
      <w:pPr>
        <w:spacing w:line="360" w:lineRule="auto"/>
        <w:ind w:left="437"/>
        <w:rPr>
          <w:rFonts w:ascii="宋体" w:hAnsi="宋体"/>
          <w:szCs w:val="21"/>
        </w:rPr>
      </w:pPr>
      <w:r>
        <w:rPr>
          <w:rFonts w:hint="eastAsia" w:ascii="宋体" w:hAnsi="宋体"/>
          <w:b/>
          <w:szCs w:val="21"/>
        </w:rPr>
        <w:t>1.</w:t>
      </w:r>
      <w:r>
        <w:rPr>
          <w:rFonts w:hint="eastAsia" w:ascii="宋体" w:hAnsi="宋体"/>
          <w:szCs w:val="21"/>
        </w:rPr>
        <w:t>在填写时，如本表格不适合投标单位的实际情况，可根据本表格式自行划表填写。</w:t>
      </w:r>
    </w:p>
    <w:p>
      <w:pPr>
        <w:snapToGrid w:val="0"/>
        <w:spacing w:before="50" w:after="120" w:afterLines="50" w:line="360" w:lineRule="auto"/>
        <w:jc w:val="left"/>
        <w:rPr>
          <w:rFonts w:ascii="宋体" w:hAnsi="宋体"/>
          <w:sz w:val="24"/>
          <w:szCs w:val="20"/>
        </w:rPr>
      </w:pPr>
    </w:p>
    <w:p>
      <w:pPr>
        <w:snapToGrid w:val="0"/>
        <w:spacing w:before="50" w:after="120" w:afterLines="50" w:line="360" w:lineRule="auto"/>
        <w:jc w:val="left"/>
        <w:rPr>
          <w:rFonts w:ascii="宋体" w:hAnsi="宋体"/>
          <w:sz w:val="24"/>
          <w:szCs w:val="20"/>
        </w:rPr>
      </w:pPr>
    </w:p>
    <w:p>
      <w:pPr>
        <w:spacing w:line="360" w:lineRule="auto"/>
        <w:ind w:left="420"/>
        <w:rPr>
          <w:rFonts w:ascii="宋体" w:hAnsi="宋体"/>
          <w:sz w:val="24"/>
          <w:u w:val="single"/>
        </w:rPr>
      </w:pPr>
      <w:r>
        <w:rPr>
          <w:rFonts w:hint="eastAsia" w:ascii="宋体" w:hAnsi="宋体"/>
          <w:sz w:val="24"/>
        </w:rPr>
        <w:t>投标人名称（盖章）：</w:t>
      </w:r>
    </w:p>
    <w:p>
      <w:pPr>
        <w:spacing w:line="360" w:lineRule="auto"/>
        <w:ind w:left="420"/>
        <w:rPr>
          <w:rFonts w:ascii="宋体" w:hAnsi="宋体"/>
          <w:sz w:val="24"/>
        </w:rPr>
      </w:pPr>
    </w:p>
    <w:p>
      <w:pPr>
        <w:spacing w:line="360" w:lineRule="auto"/>
        <w:ind w:firstLine="435"/>
        <w:rPr>
          <w:rFonts w:ascii="宋体" w:hAnsi="宋体"/>
          <w:sz w:val="24"/>
        </w:rPr>
      </w:pPr>
      <w:r>
        <w:rPr>
          <w:rFonts w:hint="eastAsia" w:ascii="宋体" w:hAnsi="宋体"/>
          <w:sz w:val="24"/>
        </w:rPr>
        <w:t>投标人代表签字或盖章：</w:t>
      </w:r>
    </w:p>
    <w:p>
      <w:pPr>
        <w:spacing w:line="360" w:lineRule="auto"/>
        <w:rPr>
          <w:rFonts w:ascii="宋体" w:hAnsi="宋体"/>
          <w:sz w:val="24"/>
        </w:rPr>
      </w:pPr>
    </w:p>
    <w:p>
      <w:pPr>
        <w:pStyle w:val="2"/>
        <w:spacing w:line="360" w:lineRule="auto"/>
        <w:ind w:firstLineChars="175"/>
        <w:rPr>
          <w:rFonts w:ascii="宋体" w:hAnsi="宋体"/>
          <w:sz w:val="24"/>
        </w:rPr>
        <w:sectPr>
          <w:pgSz w:w="11906" w:h="16838"/>
          <w:pgMar w:top="1440" w:right="1797" w:bottom="1440" w:left="1797" w:header="851" w:footer="992" w:gutter="0"/>
          <w:cols w:space="720" w:num="1"/>
          <w:docGrid w:linePitch="312" w:charSpace="0"/>
        </w:sectPr>
      </w:pPr>
      <w:r>
        <w:rPr>
          <w:rFonts w:hint="eastAsia" w:ascii="宋体" w:hAnsi="宋体"/>
          <w:sz w:val="24"/>
        </w:rPr>
        <w:t>日        期：</w:t>
      </w:r>
    </w:p>
    <w:p>
      <w:pPr>
        <w:spacing w:line="360" w:lineRule="auto"/>
        <w:rPr>
          <w:rFonts w:ascii="宋体" w:hAnsi="宋体"/>
          <w:b/>
        </w:rPr>
      </w:pPr>
      <w:r>
        <w:rPr>
          <w:rFonts w:hint="eastAsia" w:ascii="宋体" w:hAnsi="宋体"/>
          <w:b/>
        </w:rPr>
        <w:t>附件</w:t>
      </w:r>
      <w:r>
        <w:rPr>
          <w:rFonts w:ascii="宋体" w:hAnsi="宋体"/>
          <w:b/>
        </w:rPr>
        <w:t>10</w:t>
      </w:r>
    </w:p>
    <w:p>
      <w:pPr>
        <w:pStyle w:val="90"/>
        <w:spacing w:line="360" w:lineRule="auto"/>
        <w:jc w:val="center"/>
        <w:rPr>
          <w:rFonts w:ascii="宋体" w:hAnsi="宋体"/>
          <w:b/>
          <w:sz w:val="32"/>
          <w:szCs w:val="32"/>
        </w:rPr>
      </w:pPr>
      <w:r>
        <w:rPr>
          <w:rFonts w:hint="eastAsia" w:ascii="宋体" w:hAnsi="宋体"/>
          <w:b/>
          <w:sz w:val="32"/>
          <w:szCs w:val="32"/>
        </w:rPr>
        <w:t>投标人类似项目履约情况一览表（标段</w:t>
      </w:r>
      <w:r>
        <w:rPr>
          <w:rFonts w:ascii="宋体" w:hAnsi="宋体"/>
          <w:b/>
          <w:sz w:val="32"/>
          <w:szCs w:val="32"/>
          <w:u w:val="single"/>
        </w:rPr>
        <w:t xml:space="preserve">    </w:t>
      </w:r>
      <w:r>
        <w:rPr>
          <w:rFonts w:hint="eastAsia" w:ascii="宋体" w:hAnsi="宋体"/>
          <w:b/>
          <w:sz w:val="32"/>
          <w:szCs w:val="32"/>
        </w:rPr>
        <w:t>）</w:t>
      </w:r>
    </w:p>
    <w:p>
      <w:pPr>
        <w:pStyle w:val="90"/>
        <w:spacing w:line="360" w:lineRule="auto"/>
        <w:jc w:val="center"/>
        <w:rPr>
          <w:rFonts w:ascii="仿宋_GB2312" w:eastAsia="仿宋_GB2312"/>
          <w:b/>
          <w:sz w:val="28"/>
          <w:szCs w:val="28"/>
        </w:rPr>
      </w:pPr>
    </w:p>
    <w:tbl>
      <w:tblPr>
        <w:tblStyle w:val="42"/>
        <w:tblW w:w="92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1778"/>
        <w:gridCol w:w="2166"/>
        <w:gridCol w:w="1733"/>
        <w:gridCol w:w="28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742" w:type="dxa"/>
            <w:tcBorders>
              <w:top w:val="single" w:color="auto" w:sz="6" w:space="0"/>
              <w:left w:val="single" w:color="auto" w:sz="6" w:space="0"/>
              <w:bottom w:val="single" w:color="auto" w:sz="6" w:space="0"/>
              <w:right w:val="single" w:color="auto" w:sz="6" w:space="0"/>
            </w:tcBorders>
            <w:vAlign w:val="center"/>
          </w:tcPr>
          <w:p>
            <w:pPr>
              <w:pStyle w:val="90"/>
              <w:spacing w:line="360" w:lineRule="auto"/>
              <w:jc w:val="center"/>
              <w:rPr>
                <w:rFonts w:ascii="宋体" w:hAnsi="宋体" w:cs="Arial"/>
                <w:b/>
                <w:bCs/>
                <w:sz w:val="24"/>
              </w:rPr>
            </w:pPr>
            <w:r>
              <w:rPr>
                <w:rFonts w:hint="eastAsia" w:ascii="宋体" w:hAnsi="宋体" w:cs="Arial"/>
                <w:b/>
                <w:bCs/>
                <w:sz w:val="24"/>
              </w:rPr>
              <w:t>序号</w:t>
            </w:r>
          </w:p>
        </w:tc>
        <w:tc>
          <w:tcPr>
            <w:tcW w:w="1778" w:type="dxa"/>
            <w:tcBorders>
              <w:top w:val="single" w:color="auto" w:sz="6" w:space="0"/>
              <w:left w:val="single" w:color="auto" w:sz="6" w:space="0"/>
              <w:bottom w:val="single" w:color="auto" w:sz="6" w:space="0"/>
              <w:right w:val="single" w:color="auto" w:sz="6" w:space="0"/>
            </w:tcBorders>
            <w:vAlign w:val="center"/>
          </w:tcPr>
          <w:p>
            <w:pPr>
              <w:pStyle w:val="90"/>
              <w:spacing w:line="360" w:lineRule="auto"/>
              <w:jc w:val="center"/>
              <w:rPr>
                <w:rFonts w:ascii="宋体" w:hAnsi="宋体" w:cs="Arial"/>
                <w:b/>
                <w:bCs/>
                <w:sz w:val="24"/>
              </w:rPr>
            </w:pPr>
            <w:r>
              <w:rPr>
                <w:rFonts w:hint="eastAsia" w:ascii="宋体" w:hAnsi="宋体" w:cs="Arial"/>
                <w:b/>
                <w:bCs/>
                <w:sz w:val="24"/>
              </w:rPr>
              <w:t>项目名称</w:t>
            </w:r>
          </w:p>
        </w:tc>
        <w:tc>
          <w:tcPr>
            <w:tcW w:w="2166" w:type="dxa"/>
            <w:tcBorders>
              <w:top w:val="single" w:color="auto" w:sz="6" w:space="0"/>
              <w:left w:val="single" w:color="auto" w:sz="6" w:space="0"/>
              <w:bottom w:val="single" w:color="auto" w:sz="6" w:space="0"/>
              <w:right w:val="single" w:color="auto" w:sz="6" w:space="0"/>
            </w:tcBorders>
            <w:vAlign w:val="center"/>
          </w:tcPr>
          <w:p>
            <w:pPr>
              <w:pStyle w:val="90"/>
              <w:spacing w:line="360" w:lineRule="auto"/>
              <w:jc w:val="center"/>
              <w:rPr>
                <w:rFonts w:ascii="宋体" w:hAnsi="宋体" w:cs="Arial"/>
                <w:b/>
                <w:bCs/>
                <w:sz w:val="24"/>
              </w:rPr>
            </w:pPr>
            <w:r>
              <w:rPr>
                <w:rFonts w:hint="eastAsia" w:ascii="宋体" w:hAnsi="宋体" w:cs="Arial"/>
                <w:b/>
                <w:bCs/>
                <w:sz w:val="24"/>
              </w:rPr>
              <w:t>实施时间</w:t>
            </w:r>
          </w:p>
        </w:tc>
        <w:tc>
          <w:tcPr>
            <w:tcW w:w="1733" w:type="dxa"/>
            <w:tcBorders>
              <w:top w:val="single" w:color="auto" w:sz="6" w:space="0"/>
              <w:left w:val="single" w:color="auto" w:sz="6" w:space="0"/>
              <w:bottom w:val="single" w:color="auto" w:sz="6" w:space="0"/>
              <w:right w:val="single" w:color="auto" w:sz="6" w:space="0"/>
            </w:tcBorders>
            <w:vAlign w:val="center"/>
          </w:tcPr>
          <w:p>
            <w:pPr>
              <w:pStyle w:val="90"/>
              <w:spacing w:line="360" w:lineRule="auto"/>
              <w:jc w:val="center"/>
              <w:rPr>
                <w:rFonts w:ascii="宋体" w:hAnsi="宋体" w:cs="Arial"/>
                <w:b/>
                <w:bCs/>
                <w:sz w:val="24"/>
              </w:rPr>
            </w:pPr>
            <w:r>
              <w:rPr>
                <w:rFonts w:hint="eastAsia" w:ascii="宋体" w:hAnsi="宋体" w:cs="Arial"/>
                <w:b/>
                <w:bCs/>
                <w:sz w:val="24"/>
              </w:rPr>
              <w:t>履约评价情况</w:t>
            </w:r>
          </w:p>
        </w:tc>
        <w:tc>
          <w:tcPr>
            <w:tcW w:w="2802" w:type="dxa"/>
            <w:tcBorders>
              <w:top w:val="single" w:color="auto" w:sz="6" w:space="0"/>
              <w:left w:val="single" w:color="auto" w:sz="6" w:space="0"/>
              <w:bottom w:val="single" w:color="auto" w:sz="6" w:space="0"/>
              <w:right w:val="single" w:color="auto" w:sz="6" w:space="0"/>
            </w:tcBorders>
            <w:vAlign w:val="center"/>
          </w:tcPr>
          <w:p>
            <w:pPr>
              <w:pStyle w:val="90"/>
              <w:spacing w:line="360" w:lineRule="auto"/>
              <w:jc w:val="center"/>
              <w:rPr>
                <w:rFonts w:ascii="宋体" w:hAnsi="宋体" w:cs="Arial"/>
                <w:b/>
                <w:bCs/>
                <w:sz w:val="24"/>
              </w:rPr>
            </w:pPr>
            <w:r>
              <w:rPr>
                <w:rFonts w:hint="eastAsia" w:ascii="宋体" w:hAnsi="宋体" w:cs="Arial"/>
                <w:b/>
                <w:bCs/>
                <w:sz w:val="24"/>
              </w:rPr>
              <w:t>项目单位名称及其联系人电话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jc w:val="center"/>
              <w:rPr>
                <w:rFonts w:ascii="宋体" w:hAnsi="宋体" w:cs="Arial"/>
                <w:sz w:val="24"/>
              </w:rPr>
            </w:pPr>
            <w:r>
              <w:rPr>
                <w:rFonts w:hint="eastAsia" w:ascii="宋体" w:hAnsi="宋体" w:cs="Arial"/>
                <w:sz w:val="24"/>
              </w:rPr>
              <w:t>1</w:t>
            </w: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jc w:val="center"/>
              <w:rPr>
                <w:rFonts w:ascii="宋体" w:hAnsi="宋体" w:cs="Arial"/>
                <w:sz w:val="24"/>
              </w:rPr>
            </w:pPr>
            <w:r>
              <w:rPr>
                <w:rFonts w:hint="eastAsia" w:ascii="宋体" w:hAnsi="宋体" w:cs="Arial"/>
                <w:sz w:val="24"/>
              </w:rPr>
              <w:t>2</w:t>
            </w: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jc w:val="center"/>
              <w:rPr>
                <w:rFonts w:ascii="宋体" w:hAnsi="宋体" w:cs="Arial"/>
                <w:sz w:val="24"/>
              </w:rPr>
            </w:pPr>
            <w:r>
              <w:rPr>
                <w:rFonts w:hint="eastAsia" w:ascii="宋体" w:hAnsi="宋体" w:cs="Arial"/>
                <w:sz w:val="24"/>
              </w:rPr>
              <w:t>3</w:t>
            </w: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r>
              <w:rPr>
                <w:rFonts w:hint="eastAsia" w:ascii="宋体" w:hAnsi="宋体" w:cs="Arial"/>
                <w:sz w:val="24"/>
              </w:rPr>
              <w:t>…</w:t>
            </w: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4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78"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166"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1733"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c>
          <w:tcPr>
            <w:tcW w:w="2802" w:type="dxa"/>
            <w:tcBorders>
              <w:top w:val="single" w:color="auto" w:sz="6" w:space="0"/>
              <w:left w:val="single" w:color="auto" w:sz="6" w:space="0"/>
              <w:bottom w:val="single" w:color="auto" w:sz="6" w:space="0"/>
              <w:right w:val="single" w:color="auto" w:sz="6" w:space="0"/>
            </w:tcBorders>
          </w:tcPr>
          <w:p>
            <w:pPr>
              <w:pStyle w:val="90"/>
              <w:spacing w:line="360" w:lineRule="auto"/>
              <w:rPr>
                <w:rFonts w:ascii="宋体" w:hAnsi="宋体" w:cs="Arial"/>
                <w:sz w:val="24"/>
              </w:rPr>
            </w:pPr>
          </w:p>
        </w:tc>
      </w:tr>
    </w:tbl>
    <w:p>
      <w:pPr>
        <w:autoSpaceDE w:val="0"/>
        <w:autoSpaceDN w:val="0"/>
        <w:adjustRightInd w:val="0"/>
        <w:spacing w:before="120" w:beforeLines="50" w:line="360" w:lineRule="auto"/>
        <w:rPr>
          <w:rFonts w:ascii="宋体" w:hAnsi="宋体" w:cs="Arial"/>
          <w:b/>
          <w:szCs w:val="21"/>
        </w:rPr>
      </w:pPr>
      <w:r>
        <w:rPr>
          <w:rFonts w:hint="eastAsia" w:ascii="宋体" w:hAnsi="宋体" w:cs="Arial"/>
          <w:b/>
          <w:szCs w:val="21"/>
        </w:rPr>
        <w:t>要求</w:t>
      </w:r>
      <w:r>
        <w:rPr>
          <w:rFonts w:ascii="宋体" w:hAnsi="宋体" w:cs="Arial"/>
          <w:b/>
          <w:szCs w:val="21"/>
        </w:rPr>
        <w:t>：</w:t>
      </w:r>
    </w:p>
    <w:p>
      <w:pPr>
        <w:autoSpaceDE w:val="0"/>
        <w:autoSpaceDN w:val="0"/>
        <w:adjustRightInd w:val="0"/>
        <w:spacing w:before="120" w:beforeLines="50" w:line="360" w:lineRule="auto"/>
        <w:ind w:firstLine="565" w:firstLineChars="202"/>
        <w:rPr>
          <w:rFonts w:ascii="宋体" w:hAnsi="宋体" w:cs="Arial"/>
          <w:b/>
          <w:szCs w:val="21"/>
        </w:rPr>
      </w:pPr>
      <w:r>
        <w:rPr>
          <w:rFonts w:ascii="宋体" w:hAnsi="宋体" w:cs="Arial"/>
          <w:szCs w:val="21"/>
        </w:rPr>
        <w:t>1</w:t>
      </w:r>
      <w:r>
        <w:rPr>
          <w:rFonts w:hint="eastAsia" w:ascii="宋体" w:hAnsi="宋体" w:cs="Arial"/>
          <w:szCs w:val="21"/>
        </w:rPr>
        <w:t>.投标供应商应如实填写相关信息并根据评标办法附相关证明材料，以备评标委员会按需就履约情况进行核实。</w:t>
      </w:r>
    </w:p>
    <w:p>
      <w:pPr>
        <w:spacing w:line="360" w:lineRule="auto"/>
        <w:rPr>
          <w:rFonts w:ascii="宋体" w:hAnsi="宋体"/>
          <w:sz w:val="22"/>
          <w:szCs w:val="22"/>
        </w:rPr>
      </w:pPr>
    </w:p>
    <w:p>
      <w:pPr>
        <w:spacing w:line="360" w:lineRule="auto"/>
        <w:ind w:left="420"/>
        <w:rPr>
          <w:rFonts w:ascii="宋体" w:hAnsi="宋体"/>
          <w:sz w:val="24"/>
          <w:u w:val="single"/>
        </w:rPr>
      </w:pPr>
      <w:r>
        <w:rPr>
          <w:rFonts w:hint="eastAsia" w:ascii="宋体" w:hAnsi="宋体"/>
          <w:sz w:val="24"/>
        </w:rPr>
        <w:t>投标人名称（盖章）：</w:t>
      </w:r>
    </w:p>
    <w:p>
      <w:pPr>
        <w:spacing w:line="360" w:lineRule="auto"/>
        <w:ind w:left="420"/>
        <w:rPr>
          <w:rFonts w:ascii="宋体" w:hAnsi="宋体"/>
          <w:sz w:val="24"/>
        </w:rPr>
      </w:pPr>
    </w:p>
    <w:p>
      <w:pPr>
        <w:spacing w:line="360" w:lineRule="auto"/>
        <w:ind w:firstLine="435"/>
        <w:rPr>
          <w:rFonts w:ascii="宋体" w:hAnsi="宋体"/>
          <w:sz w:val="24"/>
        </w:rPr>
      </w:pPr>
      <w:r>
        <w:rPr>
          <w:rFonts w:hint="eastAsia" w:ascii="宋体" w:hAnsi="宋体"/>
          <w:sz w:val="24"/>
        </w:rPr>
        <w:t>投标人代表签字或盖章：</w:t>
      </w:r>
    </w:p>
    <w:p>
      <w:pPr>
        <w:spacing w:line="360" w:lineRule="auto"/>
        <w:rPr>
          <w:rFonts w:ascii="宋体" w:hAnsi="宋体"/>
          <w:sz w:val="24"/>
        </w:rPr>
      </w:pPr>
    </w:p>
    <w:p>
      <w:pPr>
        <w:pStyle w:val="2"/>
        <w:spacing w:line="360" w:lineRule="auto"/>
        <w:ind w:firstLineChars="175"/>
        <w:rPr>
          <w:rFonts w:ascii="宋体" w:hAnsi="宋体" w:cs="宋体"/>
          <w:b/>
          <w:sz w:val="24"/>
          <w:szCs w:val="24"/>
        </w:rPr>
      </w:pPr>
      <w:r>
        <w:rPr>
          <w:rFonts w:hint="eastAsia" w:ascii="宋体" w:hAnsi="宋体"/>
          <w:sz w:val="24"/>
        </w:rPr>
        <w:t>日        期：</w:t>
      </w:r>
    </w:p>
    <w:p>
      <w:pPr>
        <w:pStyle w:val="2"/>
        <w:ind w:firstLine="210"/>
        <w:jc w:val="center"/>
        <w:rPr>
          <w:rFonts w:ascii="宋体" w:hAnsi="宋体"/>
          <w:b/>
          <w:bCs/>
          <w:sz w:val="36"/>
          <w:szCs w:val="36"/>
        </w:rPr>
      </w:pPr>
      <w:r>
        <w:rPr>
          <w:rFonts w:hint="eastAsia"/>
        </w:rPr>
        <w:br w:type="page"/>
      </w:r>
      <w:r>
        <w:rPr>
          <w:rFonts w:hint="eastAsia" w:ascii="宋体" w:hAnsi="宋体"/>
          <w:b/>
          <w:bCs/>
          <w:sz w:val="36"/>
          <w:szCs w:val="36"/>
        </w:rPr>
        <w:t>商务标目录</w:t>
      </w:r>
    </w:p>
    <w:p>
      <w:pPr>
        <w:spacing w:line="360" w:lineRule="auto"/>
        <w:ind w:left="420"/>
        <w:rPr>
          <w:rFonts w:ascii="宋体" w:hAnsi="宋体"/>
          <w:sz w:val="24"/>
        </w:rPr>
      </w:pPr>
      <w:r>
        <w:rPr>
          <w:rFonts w:hint="eastAsia" w:ascii="宋体" w:hAnsi="宋体"/>
          <w:sz w:val="24"/>
        </w:rPr>
        <w:t>（1）开标一览表（标段一，附件</w:t>
      </w:r>
      <w:r>
        <w:rPr>
          <w:rFonts w:ascii="宋体" w:hAnsi="宋体"/>
          <w:sz w:val="24"/>
        </w:rPr>
        <w:t>11</w:t>
      </w:r>
      <w:r>
        <w:rPr>
          <w:rFonts w:hint="eastAsia" w:ascii="宋体" w:hAnsi="宋体"/>
          <w:sz w:val="24"/>
        </w:rPr>
        <w:t>）；</w:t>
      </w:r>
    </w:p>
    <w:p>
      <w:pPr>
        <w:spacing w:line="360" w:lineRule="auto"/>
        <w:ind w:left="420"/>
        <w:rPr>
          <w:rFonts w:ascii="宋体" w:hAnsi="宋体"/>
          <w:sz w:val="24"/>
        </w:rPr>
      </w:pPr>
      <w:r>
        <w:rPr>
          <w:rFonts w:hint="eastAsia" w:ascii="宋体" w:hAnsi="宋体"/>
          <w:sz w:val="24"/>
        </w:rPr>
        <w:t>（2）开标一览表（标段二，附件</w:t>
      </w:r>
      <w:r>
        <w:rPr>
          <w:rFonts w:ascii="宋体" w:hAnsi="宋体"/>
          <w:sz w:val="24"/>
        </w:rPr>
        <w:t>12</w:t>
      </w:r>
      <w:r>
        <w:rPr>
          <w:rFonts w:hint="eastAsia" w:ascii="宋体" w:hAnsi="宋体"/>
          <w:sz w:val="24"/>
        </w:rPr>
        <w:t>）；</w:t>
      </w:r>
    </w:p>
    <w:p>
      <w:pPr>
        <w:spacing w:line="360" w:lineRule="auto"/>
        <w:ind w:left="420"/>
        <w:rPr>
          <w:rFonts w:ascii="宋体" w:hAnsi="宋体"/>
          <w:sz w:val="24"/>
        </w:rPr>
      </w:pPr>
      <w:r>
        <w:rPr>
          <w:rFonts w:hint="eastAsia" w:ascii="宋体" w:hAnsi="宋体"/>
          <w:sz w:val="24"/>
        </w:rPr>
        <w:t>（3）开标一览表（标段三，附件</w:t>
      </w:r>
      <w:r>
        <w:rPr>
          <w:rFonts w:ascii="宋体" w:hAnsi="宋体"/>
          <w:sz w:val="24"/>
        </w:rPr>
        <w:t>13</w:t>
      </w:r>
      <w:r>
        <w:rPr>
          <w:rFonts w:hint="eastAsia" w:ascii="宋体" w:hAnsi="宋体"/>
          <w:sz w:val="24"/>
        </w:rPr>
        <w:t>）。</w:t>
      </w:r>
    </w:p>
    <w:p>
      <w:pPr>
        <w:spacing w:line="360" w:lineRule="auto"/>
        <w:ind w:left="420"/>
        <w:rPr>
          <w:rFonts w:ascii="宋体" w:hAnsi="宋体"/>
          <w:b/>
          <w:sz w:val="24"/>
        </w:rPr>
        <w:sectPr>
          <w:pgSz w:w="11906" w:h="16838"/>
          <w:pgMar w:top="1440" w:right="1797" w:bottom="1440" w:left="1797" w:header="851" w:footer="992" w:gutter="0"/>
          <w:cols w:space="720" w:num="1"/>
          <w:docGrid w:linePitch="312" w:charSpace="0"/>
        </w:sectPr>
      </w:pPr>
      <w:r>
        <w:rPr>
          <w:rFonts w:hint="eastAsia" w:ascii="宋体" w:hAnsi="宋体"/>
          <w:b/>
          <w:sz w:val="24"/>
        </w:rPr>
        <w:t>各投标供应商按所投的标段选择相应标段的格式。</w:t>
      </w:r>
    </w:p>
    <w:p>
      <w:pPr>
        <w:spacing w:line="360" w:lineRule="auto"/>
        <w:rPr>
          <w:rFonts w:ascii="宋体" w:hAnsi="宋体"/>
          <w:b/>
        </w:rPr>
      </w:pPr>
      <w:r>
        <w:rPr>
          <w:rFonts w:hint="eastAsia" w:ascii="宋体" w:hAnsi="宋体"/>
          <w:b/>
        </w:rPr>
        <w:t>附件</w:t>
      </w:r>
      <w:r>
        <w:rPr>
          <w:rFonts w:ascii="宋体" w:hAnsi="宋体"/>
          <w:b/>
        </w:rPr>
        <w:t>11</w:t>
      </w:r>
    </w:p>
    <w:p>
      <w:pPr>
        <w:spacing w:line="360" w:lineRule="auto"/>
        <w:ind w:left="-2" w:hanging="2"/>
        <w:jc w:val="center"/>
        <w:rPr>
          <w:rFonts w:ascii="宋体" w:hAnsi="宋体"/>
          <w:b/>
          <w:sz w:val="32"/>
          <w:szCs w:val="32"/>
        </w:rPr>
      </w:pPr>
      <w:r>
        <w:rPr>
          <w:rFonts w:hint="eastAsia" w:ascii="宋体" w:hAnsi="宋体"/>
          <w:b/>
          <w:sz w:val="32"/>
          <w:szCs w:val="32"/>
        </w:rPr>
        <w:t>开标一览表（标段</w:t>
      </w:r>
      <w:r>
        <w:rPr>
          <w:rFonts w:ascii="宋体" w:hAnsi="宋体"/>
          <w:b/>
          <w:sz w:val="32"/>
          <w:szCs w:val="32"/>
          <w:u w:val="single"/>
        </w:rPr>
        <w:t xml:space="preserve"> 1 </w:t>
      </w:r>
      <w:r>
        <w:rPr>
          <w:rFonts w:hint="eastAsia" w:ascii="宋体" w:hAnsi="宋体"/>
          <w:b/>
          <w:sz w:val="32"/>
          <w:szCs w:val="32"/>
        </w:rPr>
        <w:t>）</w:t>
      </w:r>
    </w:p>
    <w:p>
      <w:pPr>
        <w:spacing w:line="360" w:lineRule="auto"/>
        <w:ind w:left="-2" w:hanging="2"/>
        <w:jc w:val="center"/>
        <w:rPr>
          <w:rFonts w:ascii="宋体" w:hAnsi="宋体"/>
          <w:b/>
          <w:sz w:val="32"/>
          <w:szCs w:val="32"/>
        </w:rPr>
      </w:pPr>
    </w:p>
    <w:p>
      <w:pPr>
        <w:spacing w:line="360" w:lineRule="auto"/>
        <w:ind w:right="480"/>
        <w:jc w:val="right"/>
        <w:rPr>
          <w:rFonts w:hAnsi="宋体"/>
          <w:sz w:val="24"/>
        </w:rPr>
      </w:pPr>
      <w:r>
        <w:rPr>
          <w:rFonts w:hint="eastAsia" w:ascii="宋体" w:hAnsi="宋体"/>
          <w:sz w:val="24"/>
        </w:rPr>
        <w:t>[货币单位：</w:t>
      </w:r>
      <w:r>
        <w:rPr>
          <w:rFonts w:hint="eastAsia" w:ascii="宋体" w:hAnsi="宋体"/>
          <w:sz w:val="24"/>
          <w:u w:val="single"/>
        </w:rPr>
        <w:t xml:space="preserve"> 人民币元</w:t>
      </w:r>
      <w:r>
        <w:rPr>
          <w:rFonts w:ascii="宋体" w:hAnsi="宋体"/>
          <w:sz w:val="24"/>
          <w:u w:val="single"/>
        </w:rPr>
        <w:t xml:space="preserve"> </w:t>
      </w:r>
      <w:r>
        <w:rPr>
          <w:rFonts w:hint="eastAsia" w:ascii="宋体" w:hAnsi="宋体"/>
          <w:sz w:val="24"/>
        </w:rPr>
        <w:t>]</w:t>
      </w:r>
    </w:p>
    <w:tbl>
      <w:tblPr>
        <w:tblStyle w:val="42"/>
        <w:tblW w:w="9062" w:type="dxa"/>
        <w:tblInd w:w="0" w:type="dxa"/>
        <w:tblLayout w:type="fixed"/>
        <w:tblCellMar>
          <w:top w:w="0" w:type="dxa"/>
          <w:left w:w="108" w:type="dxa"/>
          <w:bottom w:w="0" w:type="dxa"/>
          <w:right w:w="108" w:type="dxa"/>
        </w:tblCellMar>
      </w:tblPr>
      <w:tblGrid>
        <w:gridCol w:w="698"/>
        <w:gridCol w:w="1678"/>
        <w:gridCol w:w="1276"/>
        <w:gridCol w:w="1985"/>
        <w:gridCol w:w="1701"/>
        <w:gridCol w:w="1724"/>
      </w:tblGrid>
      <w:tr>
        <w:tblPrEx>
          <w:tblCellMar>
            <w:top w:w="0" w:type="dxa"/>
            <w:left w:w="108" w:type="dxa"/>
            <w:bottom w:w="0" w:type="dxa"/>
            <w:right w:w="108" w:type="dxa"/>
          </w:tblCellMar>
        </w:tblPrEx>
        <w:trPr>
          <w:trHeight w:val="642" w:hRule="atLeast"/>
        </w:trPr>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序号</w:t>
            </w:r>
          </w:p>
        </w:tc>
        <w:tc>
          <w:tcPr>
            <w:tcW w:w="1678" w:type="dxa"/>
            <w:tcBorders>
              <w:top w:val="single" w:color="auto" w:sz="4" w:space="0"/>
              <w:left w:val="nil"/>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数量（</w:t>
            </w:r>
            <w:r>
              <w:rPr>
                <w:rFonts w:hint="eastAsia" w:ascii="宋体" w:hAnsi="宋体" w:cs="仿宋"/>
                <w:bCs/>
                <w:sz w:val="24"/>
              </w:rPr>
              <w:t>辆</w:t>
            </w:r>
            <w:r>
              <w:rPr>
                <w:rFonts w:hint="eastAsia" w:ascii="宋体" w:hAnsi="宋体" w:cs="仿宋"/>
                <w:kern w:val="0"/>
                <w:sz w:val="24"/>
              </w:rPr>
              <w:t>）</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全费用综合单价限价（元/辆）</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全费用综合单价（元/辆）</w:t>
            </w:r>
          </w:p>
        </w:tc>
        <w:tc>
          <w:tcPr>
            <w:tcW w:w="1724"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投标总报价（元）</w:t>
            </w:r>
          </w:p>
        </w:tc>
      </w:tr>
      <w:tr>
        <w:tblPrEx>
          <w:tblCellMar>
            <w:top w:w="0" w:type="dxa"/>
            <w:left w:w="108" w:type="dxa"/>
            <w:bottom w:w="0" w:type="dxa"/>
            <w:right w:w="108" w:type="dxa"/>
          </w:tblCellMar>
        </w:tblPrEx>
        <w:trPr>
          <w:trHeight w:val="1136" w:hRule="atLeast"/>
        </w:trPr>
        <w:tc>
          <w:tcPr>
            <w:tcW w:w="698" w:type="dxa"/>
            <w:tcBorders>
              <w:top w:val="single" w:color="auto" w:sz="4" w:space="0"/>
              <w:left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1</w:t>
            </w:r>
          </w:p>
        </w:tc>
        <w:tc>
          <w:tcPr>
            <w:tcW w:w="1678" w:type="dxa"/>
            <w:tcBorders>
              <w:top w:val="single" w:color="auto" w:sz="4" w:space="0"/>
              <w:left w:val="nil"/>
              <w:right w:val="single" w:color="auto" w:sz="4" w:space="0"/>
            </w:tcBorders>
            <w:vAlign w:val="center"/>
          </w:tcPr>
          <w:p>
            <w:pPr>
              <w:widowControl/>
              <w:jc w:val="center"/>
              <w:rPr>
                <w:rFonts w:ascii="宋体" w:hAnsi="宋体" w:cs="仿宋"/>
                <w:bCs/>
                <w:sz w:val="24"/>
              </w:rPr>
            </w:pPr>
            <w:r>
              <w:rPr>
                <w:rFonts w:hint="eastAsia" w:ascii="宋体" w:hAnsi="宋体" w:cs="仿宋"/>
                <w:bCs/>
                <w:sz w:val="24"/>
              </w:rPr>
              <w:t>5.9米城市无站立式公交客车（电机额定功率≥60KW）</w:t>
            </w:r>
          </w:p>
        </w:tc>
        <w:tc>
          <w:tcPr>
            <w:tcW w:w="1276"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1</w:t>
            </w:r>
            <w:r>
              <w:rPr>
                <w:rFonts w:ascii="宋体" w:hAnsi="宋体" w:cs="仿宋"/>
                <w:kern w:val="0"/>
                <w:sz w:val="24"/>
              </w:rPr>
              <w:t>18</w:t>
            </w:r>
          </w:p>
        </w:tc>
        <w:tc>
          <w:tcPr>
            <w:tcW w:w="1985"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6</w:t>
            </w:r>
            <w:r>
              <w:rPr>
                <w:rFonts w:ascii="宋体" w:hAnsi="宋体" w:cs="仿宋"/>
                <w:kern w:val="0"/>
                <w:sz w:val="24"/>
              </w:rPr>
              <w:t>00000</w:t>
            </w:r>
          </w:p>
        </w:tc>
        <w:tc>
          <w:tcPr>
            <w:tcW w:w="1701"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c>
          <w:tcPr>
            <w:tcW w:w="1724"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r>
      <w:tr>
        <w:tblPrEx>
          <w:tblCellMar>
            <w:top w:w="0" w:type="dxa"/>
            <w:left w:w="108" w:type="dxa"/>
            <w:bottom w:w="0" w:type="dxa"/>
            <w:right w:w="108" w:type="dxa"/>
          </w:tblCellMar>
        </w:tblPrEx>
        <w:trPr>
          <w:trHeight w:val="719" w:hRule="atLeast"/>
        </w:trPr>
        <w:tc>
          <w:tcPr>
            <w:tcW w:w="9062"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kern w:val="0"/>
                <w:sz w:val="24"/>
              </w:rPr>
            </w:pPr>
            <w:r>
              <w:rPr>
                <w:rFonts w:hint="eastAsia" w:ascii="宋体" w:hAnsi="宋体" w:cs="仿宋"/>
                <w:kern w:val="0"/>
                <w:sz w:val="24"/>
              </w:rPr>
              <w:t>合计人民币（大写）：</w:t>
            </w:r>
            <w:r>
              <w:rPr>
                <w:rFonts w:hint="eastAsia" w:ascii="宋体" w:hAnsi="宋体" w:cs="仿宋"/>
                <w:kern w:val="0"/>
                <w:sz w:val="24"/>
                <w:u w:val="single"/>
              </w:rPr>
              <w:t xml:space="preserve">                  </w:t>
            </w:r>
            <w:r>
              <w:rPr>
                <w:rFonts w:hint="eastAsia" w:ascii="宋体" w:hAnsi="宋体" w:cs="仿宋"/>
                <w:kern w:val="0"/>
                <w:sz w:val="24"/>
              </w:rPr>
              <w:t xml:space="preserve">元整  </w:t>
            </w:r>
          </w:p>
        </w:tc>
      </w:tr>
    </w:tbl>
    <w:p>
      <w:pPr>
        <w:spacing w:line="360" w:lineRule="auto"/>
        <w:rPr>
          <w:rFonts w:ascii="宋体" w:hAnsi="宋体" w:cs="宋体"/>
          <w:sz w:val="24"/>
        </w:rPr>
      </w:pPr>
      <w:r>
        <w:rPr>
          <w:rFonts w:hint="eastAsia" w:ascii="宋体" w:hAnsi="宋体" w:cs="宋体"/>
          <w:b/>
          <w:sz w:val="21"/>
          <w:szCs w:val="21"/>
        </w:rPr>
        <w:t>填报要求：</w:t>
      </w:r>
    </w:p>
    <w:p>
      <w:pPr>
        <w:spacing w:line="360" w:lineRule="auto"/>
        <w:ind w:firstLine="420" w:firstLineChars="200"/>
        <w:rPr>
          <w:rFonts w:ascii="宋体" w:hAnsi="宋体"/>
          <w:kern w:val="0"/>
          <w:sz w:val="21"/>
          <w:szCs w:val="21"/>
        </w:rPr>
      </w:pPr>
      <w:r>
        <w:rPr>
          <w:rFonts w:hint="eastAsia" w:ascii="宋体" w:hAnsi="宋体"/>
          <w:kern w:val="0"/>
          <w:sz w:val="21"/>
          <w:szCs w:val="21"/>
        </w:rPr>
        <w:t>1.</w:t>
      </w:r>
      <w:r>
        <w:rPr>
          <w:rFonts w:hint="eastAsia"/>
          <w:sz w:val="21"/>
          <w:szCs w:val="20"/>
        </w:rPr>
        <w:t xml:space="preserve"> </w:t>
      </w:r>
      <w:r>
        <w:rPr>
          <w:rFonts w:hint="eastAsia" w:ascii="宋体" w:hAnsi="宋体"/>
          <w:kern w:val="0"/>
          <w:sz w:val="21"/>
          <w:szCs w:val="21"/>
        </w:rPr>
        <w:t>单价不得超过单价限价，否则作无效标处理。</w:t>
      </w:r>
    </w:p>
    <w:p>
      <w:pPr>
        <w:spacing w:line="360" w:lineRule="auto"/>
        <w:ind w:firstLine="420" w:firstLineChars="200"/>
        <w:rPr>
          <w:rFonts w:ascii="宋体" w:hAnsi="宋体"/>
          <w:kern w:val="0"/>
          <w:sz w:val="21"/>
          <w:szCs w:val="21"/>
        </w:rPr>
      </w:pPr>
      <w:r>
        <w:rPr>
          <w:rFonts w:ascii="宋体" w:hAnsi="宋体"/>
          <w:kern w:val="0"/>
          <w:sz w:val="21"/>
          <w:szCs w:val="21"/>
        </w:rPr>
        <w:t>2.</w:t>
      </w:r>
      <w:r>
        <w:rPr>
          <w:rFonts w:hint="eastAsia"/>
          <w:sz w:val="21"/>
          <w:szCs w:val="20"/>
        </w:rPr>
        <w:t xml:space="preserve"> 投标报价应是招标文件所确定的招标范围内全部工作内容的价格表现。其应包括货款、标准附件、备品备件、专用工具、包装、运输、装卸、保险、税金、货到就位以及安装、调试、培训、保修、质保期服务、政策性文件规定及合同包含的所有风险、责任等所有费用。如有漏项，视同已包含在其总项目中。同时供应商需配合采购人做好车辆的验收、保险、上牌等及其相关的其他服务。</w:t>
      </w:r>
    </w:p>
    <w:p>
      <w:pPr>
        <w:spacing w:line="360" w:lineRule="auto"/>
        <w:ind w:firstLine="424" w:firstLineChars="202"/>
        <w:rPr>
          <w:rFonts w:ascii="宋体" w:hAnsi="宋体"/>
          <w:sz w:val="24"/>
        </w:rPr>
      </w:pPr>
      <w:r>
        <w:rPr>
          <w:rFonts w:ascii="宋体" w:hAnsi="宋体"/>
          <w:kern w:val="0"/>
          <w:sz w:val="21"/>
          <w:szCs w:val="21"/>
        </w:rPr>
        <w:t>3</w:t>
      </w:r>
      <w:r>
        <w:rPr>
          <w:rFonts w:hint="eastAsia" w:ascii="宋体" w:hAnsi="宋体"/>
          <w:kern w:val="0"/>
          <w:sz w:val="21"/>
          <w:szCs w:val="21"/>
        </w:rPr>
        <w:t>.报价一经涂改，应在涂改处加盖单位公章，或者由法定代表人或全权代表签字或盖章，否则其投标作无效标处理。</w:t>
      </w:r>
    </w:p>
    <w:p>
      <w:pPr>
        <w:spacing w:line="360" w:lineRule="auto"/>
        <w:ind w:left="420"/>
        <w:rPr>
          <w:rFonts w:ascii="宋体" w:hAnsi="宋体"/>
          <w:sz w:val="24"/>
        </w:rPr>
      </w:pP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投标人名称（盖章）：</w:t>
      </w: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投标人代表签字或盖章：</w:t>
      </w:r>
    </w:p>
    <w:p>
      <w:pPr>
        <w:spacing w:line="360" w:lineRule="auto"/>
        <w:ind w:left="420"/>
        <w:rPr>
          <w:rFonts w:ascii="宋体" w:hAnsi="宋体"/>
          <w:sz w:val="24"/>
        </w:rPr>
      </w:pPr>
    </w:p>
    <w:p>
      <w:pPr>
        <w:spacing w:line="360" w:lineRule="auto"/>
        <w:ind w:left="420"/>
        <w:rPr>
          <w:rFonts w:ascii="宋体" w:hAnsi="宋体"/>
          <w:sz w:val="24"/>
        </w:rPr>
        <w:sectPr>
          <w:pgSz w:w="11906" w:h="16838"/>
          <w:pgMar w:top="1440" w:right="1797" w:bottom="1440" w:left="1797" w:header="851" w:footer="992" w:gutter="0"/>
          <w:cols w:space="720" w:num="1"/>
          <w:docGrid w:linePitch="312" w:charSpace="0"/>
        </w:sectPr>
      </w:pPr>
      <w:r>
        <w:rPr>
          <w:rFonts w:hint="eastAsia" w:ascii="宋体" w:hAnsi="宋体"/>
          <w:sz w:val="24"/>
        </w:rPr>
        <w:t>日        期：</w:t>
      </w:r>
    </w:p>
    <w:p>
      <w:pPr>
        <w:spacing w:line="360" w:lineRule="auto"/>
        <w:rPr>
          <w:rFonts w:ascii="宋体" w:hAnsi="宋体"/>
          <w:b/>
        </w:rPr>
      </w:pPr>
      <w:r>
        <w:rPr>
          <w:rFonts w:hint="eastAsia" w:ascii="宋体" w:hAnsi="宋体"/>
          <w:b/>
        </w:rPr>
        <w:t>附件</w:t>
      </w:r>
      <w:r>
        <w:rPr>
          <w:rFonts w:ascii="宋体" w:hAnsi="宋体"/>
          <w:b/>
        </w:rPr>
        <w:t>12</w:t>
      </w:r>
    </w:p>
    <w:p>
      <w:pPr>
        <w:spacing w:line="360" w:lineRule="auto"/>
        <w:ind w:left="-2" w:hanging="2"/>
        <w:jc w:val="center"/>
        <w:rPr>
          <w:rFonts w:ascii="宋体" w:hAnsi="宋体"/>
          <w:b/>
          <w:sz w:val="32"/>
          <w:szCs w:val="32"/>
        </w:rPr>
      </w:pPr>
      <w:r>
        <w:rPr>
          <w:rFonts w:hint="eastAsia" w:ascii="宋体" w:hAnsi="宋体"/>
          <w:b/>
          <w:sz w:val="32"/>
          <w:szCs w:val="32"/>
        </w:rPr>
        <w:t>开标一览表（标段</w:t>
      </w:r>
      <w:r>
        <w:rPr>
          <w:rFonts w:ascii="宋体" w:hAnsi="宋体"/>
          <w:b/>
          <w:sz w:val="32"/>
          <w:szCs w:val="32"/>
          <w:u w:val="single"/>
        </w:rPr>
        <w:t xml:space="preserve"> 2 </w:t>
      </w:r>
      <w:r>
        <w:rPr>
          <w:rFonts w:hint="eastAsia" w:ascii="宋体" w:hAnsi="宋体"/>
          <w:b/>
          <w:sz w:val="32"/>
          <w:szCs w:val="32"/>
        </w:rPr>
        <w:t>）</w:t>
      </w:r>
    </w:p>
    <w:p>
      <w:pPr>
        <w:spacing w:line="360" w:lineRule="auto"/>
        <w:ind w:left="-2" w:hanging="2"/>
        <w:jc w:val="center"/>
        <w:rPr>
          <w:rFonts w:ascii="宋体" w:hAnsi="宋体"/>
          <w:b/>
          <w:sz w:val="32"/>
          <w:szCs w:val="32"/>
        </w:rPr>
      </w:pPr>
    </w:p>
    <w:p>
      <w:pPr>
        <w:spacing w:line="360" w:lineRule="auto"/>
        <w:ind w:right="480"/>
        <w:jc w:val="right"/>
        <w:rPr>
          <w:rFonts w:hAnsi="宋体"/>
          <w:sz w:val="24"/>
        </w:rPr>
      </w:pPr>
      <w:r>
        <w:rPr>
          <w:rFonts w:hint="eastAsia" w:ascii="宋体" w:hAnsi="宋体"/>
          <w:sz w:val="24"/>
        </w:rPr>
        <w:t>[货币单位：</w:t>
      </w:r>
      <w:r>
        <w:rPr>
          <w:rFonts w:hint="eastAsia" w:ascii="宋体" w:hAnsi="宋体"/>
          <w:sz w:val="24"/>
          <w:u w:val="single"/>
        </w:rPr>
        <w:t xml:space="preserve"> 人民币元</w:t>
      </w:r>
      <w:r>
        <w:rPr>
          <w:rFonts w:ascii="宋体" w:hAnsi="宋体"/>
          <w:sz w:val="24"/>
          <w:u w:val="single"/>
        </w:rPr>
        <w:t xml:space="preserve"> </w:t>
      </w:r>
      <w:r>
        <w:rPr>
          <w:rFonts w:hint="eastAsia" w:ascii="宋体" w:hAnsi="宋体"/>
          <w:sz w:val="24"/>
        </w:rPr>
        <w:t>]</w:t>
      </w:r>
    </w:p>
    <w:tbl>
      <w:tblPr>
        <w:tblStyle w:val="42"/>
        <w:tblW w:w="9062" w:type="dxa"/>
        <w:tblInd w:w="0" w:type="dxa"/>
        <w:tblLayout w:type="fixed"/>
        <w:tblCellMar>
          <w:top w:w="0" w:type="dxa"/>
          <w:left w:w="108" w:type="dxa"/>
          <w:bottom w:w="0" w:type="dxa"/>
          <w:right w:w="108" w:type="dxa"/>
        </w:tblCellMar>
      </w:tblPr>
      <w:tblGrid>
        <w:gridCol w:w="698"/>
        <w:gridCol w:w="1678"/>
        <w:gridCol w:w="1276"/>
        <w:gridCol w:w="1985"/>
        <w:gridCol w:w="1701"/>
        <w:gridCol w:w="1724"/>
      </w:tblGrid>
      <w:tr>
        <w:tblPrEx>
          <w:tblCellMar>
            <w:top w:w="0" w:type="dxa"/>
            <w:left w:w="108" w:type="dxa"/>
            <w:bottom w:w="0" w:type="dxa"/>
            <w:right w:w="108" w:type="dxa"/>
          </w:tblCellMar>
        </w:tblPrEx>
        <w:trPr>
          <w:trHeight w:val="642" w:hRule="atLeast"/>
        </w:trPr>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序号</w:t>
            </w:r>
          </w:p>
        </w:tc>
        <w:tc>
          <w:tcPr>
            <w:tcW w:w="1678" w:type="dxa"/>
            <w:tcBorders>
              <w:top w:val="single" w:color="auto" w:sz="4" w:space="0"/>
              <w:left w:val="nil"/>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数量（</w:t>
            </w:r>
            <w:r>
              <w:rPr>
                <w:rFonts w:hint="eastAsia" w:ascii="宋体" w:hAnsi="宋体" w:cs="仿宋"/>
                <w:bCs/>
                <w:sz w:val="24"/>
              </w:rPr>
              <w:t>辆</w:t>
            </w:r>
            <w:r>
              <w:rPr>
                <w:rFonts w:hint="eastAsia" w:ascii="宋体" w:hAnsi="宋体" w:cs="仿宋"/>
                <w:kern w:val="0"/>
                <w:sz w:val="24"/>
              </w:rPr>
              <w:t>）</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全费用综合单价限价（元/辆）</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全费用综合单价（元/辆）</w:t>
            </w:r>
          </w:p>
        </w:tc>
        <w:tc>
          <w:tcPr>
            <w:tcW w:w="1724"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投标总报价（元）</w:t>
            </w:r>
          </w:p>
        </w:tc>
      </w:tr>
      <w:tr>
        <w:tblPrEx>
          <w:tblCellMar>
            <w:top w:w="0" w:type="dxa"/>
            <w:left w:w="108" w:type="dxa"/>
            <w:bottom w:w="0" w:type="dxa"/>
            <w:right w:w="108" w:type="dxa"/>
          </w:tblCellMar>
        </w:tblPrEx>
        <w:trPr>
          <w:trHeight w:val="1136" w:hRule="atLeast"/>
        </w:trPr>
        <w:tc>
          <w:tcPr>
            <w:tcW w:w="698" w:type="dxa"/>
            <w:tcBorders>
              <w:top w:val="single" w:color="auto" w:sz="4" w:space="0"/>
              <w:left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1</w:t>
            </w:r>
          </w:p>
        </w:tc>
        <w:tc>
          <w:tcPr>
            <w:tcW w:w="1678" w:type="dxa"/>
            <w:tcBorders>
              <w:top w:val="single" w:color="auto" w:sz="4" w:space="0"/>
              <w:left w:val="nil"/>
              <w:right w:val="single" w:color="auto" w:sz="4" w:space="0"/>
            </w:tcBorders>
            <w:vAlign w:val="center"/>
          </w:tcPr>
          <w:p>
            <w:pPr>
              <w:widowControl/>
              <w:jc w:val="center"/>
              <w:rPr>
                <w:rFonts w:ascii="宋体" w:hAnsi="宋体" w:cs="仿宋"/>
                <w:bCs/>
                <w:sz w:val="24"/>
              </w:rPr>
            </w:pPr>
            <w:r>
              <w:rPr>
                <w:rFonts w:hint="eastAsia" w:ascii="宋体" w:hAnsi="宋体" w:cs="仿宋"/>
                <w:bCs/>
                <w:sz w:val="24"/>
              </w:rPr>
              <w:t>5.9米级城市无站立式公交客车（电机额定功率≥80KW）</w:t>
            </w:r>
          </w:p>
        </w:tc>
        <w:tc>
          <w:tcPr>
            <w:tcW w:w="1276"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ascii="宋体" w:hAnsi="宋体" w:cs="仿宋"/>
                <w:kern w:val="0"/>
                <w:sz w:val="24"/>
              </w:rPr>
              <w:t>47</w:t>
            </w:r>
          </w:p>
        </w:tc>
        <w:tc>
          <w:tcPr>
            <w:tcW w:w="1985"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6</w:t>
            </w:r>
            <w:r>
              <w:rPr>
                <w:rFonts w:ascii="宋体" w:hAnsi="宋体" w:cs="仿宋"/>
                <w:kern w:val="0"/>
                <w:sz w:val="24"/>
              </w:rPr>
              <w:t>00000</w:t>
            </w:r>
          </w:p>
        </w:tc>
        <w:tc>
          <w:tcPr>
            <w:tcW w:w="1701"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c>
          <w:tcPr>
            <w:tcW w:w="1724"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r>
      <w:tr>
        <w:tblPrEx>
          <w:tblCellMar>
            <w:top w:w="0" w:type="dxa"/>
            <w:left w:w="108" w:type="dxa"/>
            <w:bottom w:w="0" w:type="dxa"/>
            <w:right w:w="108" w:type="dxa"/>
          </w:tblCellMar>
        </w:tblPrEx>
        <w:trPr>
          <w:trHeight w:val="719" w:hRule="atLeast"/>
        </w:trPr>
        <w:tc>
          <w:tcPr>
            <w:tcW w:w="9062"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kern w:val="0"/>
                <w:sz w:val="24"/>
              </w:rPr>
            </w:pPr>
            <w:r>
              <w:rPr>
                <w:rFonts w:hint="eastAsia" w:ascii="宋体" w:hAnsi="宋体" w:cs="仿宋"/>
                <w:kern w:val="0"/>
                <w:sz w:val="24"/>
              </w:rPr>
              <w:t>合计人民币（大写）：</w:t>
            </w:r>
            <w:r>
              <w:rPr>
                <w:rFonts w:hint="eastAsia" w:ascii="宋体" w:hAnsi="宋体" w:cs="仿宋"/>
                <w:kern w:val="0"/>
                <w:sz w:val="24"/>
                <w:u w:val="single"/>
              </w:rPr>
              <w:t xml:space="preserve">                  </w:t>
            </w:r>
            <w:r>
              <w:rPr>
                <w:rFonts w:hint="eastAsia" w:ascii="宋体" w:hAnsi="宋体" w:cs="仿宋"/>
                <w:kern w:val="0"/>
                <w:sz w:val="24"/>
              </w:rPr>
              <w:t xml:space="preserve">元整  </w:t>
            </w:r>
          </w:p>
        </w:tc>
      </w:tr>
    </w:tbl>
    <w:p>
      <w:pPr>
        <w:spacing w:line="360" w:lineRule="auto"/>
        <w:rPr>
          <w:rFonts w:ascii="宋体" w:hAnsi="宋体" w:cs="宋体"/>
          <w:sz w:val="24"/>
        </w:rPr>
      </w:pPr>
      <w:r>
        <w:rPr>
          <w:rFonts w:hint="eastAsia" w:ascii="宋体" w:hAnsi="宋体" w:cs="宋体"/>
          <w:b/>
          <w:sz w:val="21"/>
          <w:szCs w:val="21"/>
        </w:rPr>
        <w:t>填报要求：</w:t>
      </w:r>
    </w:p>
    <w:p>
      <w:pPr>
        <w:spacing w:line="360" w:lineRule="auto"/>
        <w:ind w:firstLine="420" w:firstLineChars="200"/>
        <w:rPr>
          <w:rFonts w:ascii="宋体" w:hAnsi="宋体"/>
          <w:kern w:val="0"/>
          <w:sz w:val="21"/>
          <w:szCs w:val="21"/>
        </w:rPr>
      </w:pPr>
      <w:r>
        <w:rPr>
          <w:rFonts w:hint="eastAsia" w:ascii="宋体" w:hAnsi="宋体"/>
          <w:kern w:val="0"/>
          <w:sz w:val="21"/>
          <w:szCs w:val="21"/>
        </w:rPr>
        <w:t>1.</w:t>
      </w:r>
      <w:r>
        <w:rPr>
          <w:rFonts w:hint="eastAsia"/>
          <w:sz w:val="21"/>
          <w:szCs w:val="20"/>
        </w:rPr>
        <w:t xml:space="preserve"> </w:t>
      </w:r>
      <w:r>
        <w:rPr>
          <w:rFonts w:hint="eastAsia" w:ascii="宋体" w:hAnsi="宋体"/>
          <w:kern w:val="0"/>
          <w:sz w:val="21"/>
          <w:szCs w:val="21"/>
        </w:rPr>
        <w:t>单价不得超过单价限价，否则作无效标处理。</w:t>
      </w:r>
    </w:p>
    <w:p>
      <w:pPr>
        <w:spacing w:line="360" w:lineRule="auto"/>
        <w:ind w:firstLine="420" w:firstLineChars="200"/>
        <w:rPr>
          <w:rFonts w:ascii="宋体" w:hAnsi="宋体"/>
          <w:kern w:val="0"/>
          <w:sz w:val="21"/>
          <w:szCs w:val="21"/>
        </w:rPr>
      </w:pPr>
      <w:r>
        <w:rPr>
          <w:rFonts w:ascii="宋体" w:hAnsi="宋体"/>
          <w:kern w:val="0"/>
          <w:sz w:val="21"/>
          <w:szCs w:val="21"/>
        </w:rPr>
        <w:t>2.</w:t>
      </w:r>
      <w:r>
        <w:rPr>
          <w:rFonts w:hint="eastAsia"/>
          <w:sz w:val="21"/>
          <w:szCs w:val="20"/>
        </w:rPr>
        <w:t xml:space="preserve"> 投标报价应是招标文件所确定的招标范围内全部工作内容的价格表现。其应包括货款、标准附件、备品备件、专用工具、包装、运输、装卸、保险、税金、货到就位以及安装、调试、培训、保修、质保期服务、政策性文件规定及合同包含的所有风险、责任等所有费用。如有漏项，视同已包含在其总项目中。同时供应商需配合采购人做好车辆的验收、保险、上牌等及其相关的其他服务。</w:t>
      </w:r>
    </w:p>
    <w:p>
      <w:pPr>
        <w:spacing w:line="360" w:lineRule="auto"/>
        <w:ind w:firstLine="424" w:firstLineChars="202"/>
        <w:rPr>
          <w:rFonts w:ascii="宋体" w:hAnsi="宋体"/>
          <w:sz w:val="24"/>
        </w:rPr>
      </w:pPr>
      <w:r>
        <w:rPr>
          <w:rFonts w:ascii="宋体" w:hAnsi="宋体"/>
          <w:kern w:val="0"/>
          <w:sz w:val="21"/>
          <w:szCs w:val="21"/>
        </w:rPr>
        <w:t>3</w:t>
      </w:r>
      <w:r>
        <w:rPr>
          <w:rFonts w:hint="eastAsia" w:ascii="宋体" w:hAnsi="宋体"/>
          <w:kern w:val="0"/>
          <w:sz w:val="21"/>
          <w:szCs w:val="21"/>
        </w:rPr>
        <w:t>.报价一经涂改，应在涂改处加盖单位公章，或者由法定代表人或全权代表签字或盖章，否则其投标作无效标处理。</w:t>
      </w:r>
    </w:p>
    <w:p>
      <w:pPr>
        <w:spacing w:line="360" w:lineRule="auto"/>
        <w:ind w:left="420"/>
        <w:rPr>
          <w:rFonts w:ascii="宋体" w:hAnsi="宋体"/>
          <w:sz w:val="24"/>
        </w:rPr>
      </w:pP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投标人名称（盖章）：</w:t>
      </w: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投标人代表签字或盖章：</w:t>
      </w:r>
    </w:p>
    <w:p>
      <w:pPr>
        <w:spacing w:line="360" w:lineRule="auto"/>
        <w:ind w:left="420"/>
        <w:rPr>
          <w:rFonts w:ascii="宋体" w:hAnsi="宋体"/>
          <w:sz w:val="24"/>
        </w:rPr>
      </w:pPr>
    </w:p>
    <w:p>
      <w:pPr>
        <w:spacing w:line="360" w:lineRule="auto"/>
        <w:ind w:left="420"/>
        <w:rPr>
          <w:rFonts w:ascii="宋体" w:hAnsi="宋体"/>
          <w:sz w:val="24"/>
        </w:rPr>
        <w:sectPr>
          <w:pgSz w:w="11906" w:h="16838"/>
          <w:pgMar w:top="1440" w:right="1797" w:bottom="1440" w:left="1797" w:header="851" w:footer="992" w:gutter="0"/>
          <w:cols w:space="720" w:num="1"/>
          <w:docGrid w:linePitch="312" w:charSpace="0"/>
        </w:sectPr>
      </w:pPr>
      <w:r>
        <w:rPr>
          <w:rFonts w:hint="eastAsia" w:ascii="宋体" w:hAnsi="宋体"/>
          <w:sz w:val="24"/>
        </w:rPr>
        <w:t>日        期：</w:t>
      </w:r>
    </w:p>
    <w:p>
      <w:pPr>
        <w:spacing w:line="360" w:lineRule="auto"/>
        <w:rPr>
          <w:rFonts w:ascii="宋体" w:hAnsi="宋体"/>
          <w:b/>
        </w:rPr>
      </w:pPr>
      <w:r>
        <w:rPr>
          <w:rFonts w:hint="eastAsia" w:ascii="宋体" w:hAnsi="宋体"/>
          <w:b/>
        </w:rPr>
        <w:t>附件</w:t>
      </w:r>
      <w:r>
        <w:rPr>
          <w:rFonts w:ascii="宋体" w:hAnsi="宋体"/>
          <w:b/>
        </w:rPr>
        <w:t>13</w:t>
      </w:r>
    </w:p>
    <w:p>
      <w:pPr>
        <w:spacing w:line="360" w:lineRule="auto"/>
        <w:ind w:left="-2" w:hanging="2"/>
        <w:jc w:val="center"/>
        <w:rPr>
          <w:rFonts w:ascii="宋体" w:hAnsi="宋体"/>
          <w:b/>
          <w:sz w:val="32"/>
          <w:szCs w:val="32"/>
        </w:rPr>
      </w:pPr>
      <w:r>
        <w:rPr>
          <w:rFonts w:hint="eastAsia" w:ascii="宋体" w:hAnsi="宋体"/>
          <w:b/>
          <w:sz w:val="32"/>
          <w:szCs w:val="32"/>
        </w:rPr>
        <w:t>开标一览表（标段</w:t>
      </w:r>
      <w:r>
        <w:rPr>
          <w:rFonts w:ascii="宋体" w:hAnsi="宋体"/>
          <w:b/>
          <w:sz w:val="32"/>
          <w:szCs w:val="32"/>
          <w:u w:val="single"/>
        </w:rPr>
        <w:t xml:space="preserve"> 3 </w:t>
      </w:r>
      <w:r>
        <w:rPr>
          <w:rFonts w:hint="eastAsia" w:ascii="宋体" w:hAnsi="宋体"/>
          <w:b/>
          <w:sz w:val="32"/>
          <w:szCs w:val="32"/>
        </w:rPr>
        <w:t>）</w:t>
      </w:r>
    </w:p>
    <w:p>
      <w:pPr>
        <w:spacing w:line="360" w:lineRule="auto"/>
        <w:ind w:left="-2" w:hanging="2"/>
        <w:jc w:val="center"/>
        <w:rPr>
          <w:rFonts w:ascii="宋体" w:hAnsi="宋体"/>
          <w:b/>
          <w:sz w:val="32"/>
          <w:szCs w:val="32"/>
        </w:rPr>
      </w:pPr>
    </w:p>
    <w:p>
      <w:pPr>
        <w:spacing w:line="360" w:lineRule="auto"/>
        <w:ind w:right="480"/>
        <w:jc w:val="right"/>
        <w:rPr>
          <w:rFonts w:hAnsi="宋体"/>
          <w:sz w:val="24"/>
        </w:rPr>
      </w:pPr>
      <w:r>
        <w:rPr>
          <w:rFonts w:hint="eastAsia" w:ascii="宋体" w:hAnsi="宋体"/>
          <w:sz w:val="24"/>
        </w:rPr>
        <w:t>[货币单位：</w:t>
      </w:r>
      <w:r>
        <w:rPr>
          <w:rFonts w:hint="eastAsia" w:ascii="宋体" w:hAnsi="宋体"/>
          <w:sz w:val="24"/>
          <w:u w:val="single"/>
        </w:rPr>
        <w:t xml:space="preserve"> 人民币元</w:t>
      </w:r>
      <w:r>
        <w:rPr>
          <w:rFonts w:ascii="宋体" w:hAnsi="宋体"/>
          <w:sz w:val="24"/>
          <w:u w:val="single"/>
        </w:rPr>
        <w:t xml:space="preserve"> </w:t>
      </w:r>
      <w:r>
        <w:rPr>
          <w:rFonts w:hint="eastAsia" w:ascii="宋体" w:hAnsi="宋体"/>
          <w:sz w:val="24"/>
        </w:rPr>
        <w:t>]</w:t>
      </w:r>
    </w:p>
    <w:tbl>
      <w:tblPr>
        <w:tblStyle w:val="42"/>
        <w:tblW w:w="9062" w:type="dxa"/>
        <w:tblInd w:w="0" w:type="dxa"/>
        <w:tblLayout w:type="fixed"/>
        <w:tblCellMar>
          <w:top w:w="0" w:type="dxa"/>
          <w:left w:w="108" w:type="dxa"/>
          <w:bottom w:w="0" w:type="dxa"/>
          <w:right w:w="108" w:type="dxa"/>
        </w:tblCellMar>
      </w:tblPr>
      <w:tblGrid>
        <w:gridCol w:w="698"/>
        <w:gridCol w:w="1678"/>
        <w:gridCol w:w="1276"/>
        <w:gridCol w:w="1985"/>
        <w:gridCol w:w="1701"/>
        <w:gridCol w:w="1724"/>
      </w:tblGrid>
      <w:tr>
        <w:tblPrEx>
          <w:tblCellMar>
            <w:top w:w="0" w:type="dxa"/>
            <w:left w:w="108" w:type="dxa"/>
            <w:bottom w:w="0" w:type="dxa"/>
            <w:right w:w="108" w:type="dxa"/>
          </w:tblCellMar>
        </w:tblPrEx>
        <w:trPr>
          <w:trHeight w:val="642" w:hRule="atLeast"/>
        </w:trPr>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序号</w:t>
            </w:r>
          </w:p>
        </w:tc>
        <w:tc>
          <w:tcPr>
            <w:tcW w:w="1678" w:type="dxa"/>
            <w:tcBorders>
              <w:top w:val="single" w:color="auto" w:sz="4" w:space="0"/>
              <w:left w:val="nil"/>
              <w:bottom w:val="single" w:color="auto" w:sz="4" w:space="0"/>
              <w:right w:val="single" w:color="auto" w:sz="4" w:space="0"/>
            </w:tcBorders>
            <w:vAlign w:val="center"/>
          </w:tcPr>
          <w:p>
            <w:pPr>
              <w:jc w:val="center"/>
              <w:rPr>
                <w:rFonts w:ascii="宋体" w:hAnsi="宋体" w:cs="仿宋"/>
                <w:kern w:val="0"/>
                <w:sz w:val="24"/>
              </w:rPr>
            </w:pPr>
            <w:r>
              <w:rPr>
                <w:rFonts w:hint="eastAsia" w:ascii="宋体" w:hAnsi="宋体" w:cs="仿宋"/>
                <w:kern w:val="0"/>
                <w:sz w:val="24"/>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数量（</w:t>
            </w:r>
            <w:r>
              <w:rPr>
                <w:rFonts w:hint="eastAsia" w:ascii="宋体" w:hAnsi="宋体" w:cs="仿宋"/>
                <w:bCs/>
                <w:sz w:val="24"/>
              </w:rPr>
              <w:t>辆</w:t>
            </w:r>
            <w:r>
              <w:rPr>
                <w:rFonts w:hint="eastAsia" w:ascii="宋体" w:hAnsi="宋体" w:cs="仿宋"/>
                <w:kern w:val="0"/>
                <w:sz w:val="24"/>
              </w:rPr>
              <w:t>）</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全费用综合单价限价（元/辆）</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全费用综合单价（元/辆）</w:t>
            </w:r>
          </w:p>
        </w:tc>
        <w:tc>
          <w:tcPr>
            <w:tcW w:w="1724" w:type="dxa"/>
            <w:tcBorders>
              <w:top w:val="single" w:color="auto" w:sz="4" w:space="0"/>
              <w:left w:val="nil"/>
              <w:bottom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投标总报价（元）</w:t>
            </w:r>
          </w:p>
        </w:tc>
      </w:tr>
      <w:tr>
        <w:tblPrEx>
          <w:tblCellMar>
            <w:top w:w="0" w:type="dxa"/>
            <w:left w:w="108" w:type="dxa"/>
            <w:bottom w:w="0" w:type="dxa"/>
            <w:right w:w="108" w:type="dxa"/>
          </w:tblCellMar>
        </w:tblPrEx>
        <w:trPr>
          <w:trHeight w:val="1136" w:hRule="atLeast"/>
        </w:trPr>
        <w:tc>
          <w:tcPr>
            <w:tcW w:w="698" w:type="dxa"/>
            <w:tcBorders>
              <w:top w:val="single" w:color="auto" w:sz="4" w:space="0"/>
              <w:left w:val="single" w:color="auto" w:sz="4" w:space="0"/>
              <w:right w:val="single" w:color="auto" w:sz="4" w:space="0"/>
            </w:tcBorders>
            <w:vAlign w:val="center"/>
          </w:tcPr>
          <w:p>
            <w:pPr>
              <w:widowControl/>
              <w:jc w:val="center"/>
              <w:rPr>
                <w:rFonts w:ascii="宋体" w:hAnsi="宋体" w:cs="仿宋"/>
                <w:kern w:val="0"/>
                <w:sz w:val="24"/>
              </w:rPr>
            </w:pPr>
            <w:r>
              <w:rPr>
                <w:rFonts w:hint="eastAsia" w:ascii="宋体" w:hAnsi="宋体" w:cs="仿宋"/>
                <w:kern w:val="0"/>
                <w:sz w:val="24"/>
              </w:rPr>
              <w:t>1</w:t>
            </w:r>
          </w:p>
        </w:tc>
        <w:tc>
          <w:tcPr>
            <w:tcW w:w="1678" w:type="dxa"/>
            <w:tcBorders>
              <w:top w:val="single" w:color="auto" w:sz="4" w:space="0"/>
              <w:left w:val="nil"/>
              <w:right w:val="single" w:color="auto" w:sz="4" w:space="0"/>
            </w:tcBorders>
            <w:vAlign w:val="center"/>
          </w:tcPr>
          <w:p>
            <w:pPr>
              <w:widowControl/>
              <w:jc w:val="center"/>
              <w:rPr>
                <w:rFonts w:ascii="宋体" w:hAnsi="宋体" w:cs="仿宋"/>
                <w:bCs/>
                <w:sz w:val="24"/>
              </w:rPr>
            </w:pPr>
            <w:r>
              <w:rPr>
                <w:rFonts w:hint="eastAsia" w:ascii="宋体" w:hAnsi="宋体" w:cs="仿宋"/>
                <w:bCs/>
                <w:sz w:val="24"/>
              </w:rPr>
              <w:t>5.9米级城市公交客车（微公交）</w:t>
            </w:r>
          </w:p>
        </w:tc>
        <w:tc>
          <w:tcPr>
            <w:tcW w:w="1276"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ascii="宋体" w:hAnsi="宋体" w:cs="仿宋"/>
                <w:kern w:val="0"/>
                <w:sz w:val="24"/>
              </w:rPr>
              <w:t>48</w:t>
            </w:r>
          </w:p>
        </w:tc>
        <w:tc>
          <w:tcPr>
            <w:tcW w:w="1985" w:type="dxa"/>
            <w:tcBorders>
              <w:top w:val="single" w:color="auto" w:sz="4" w:space="0"/>
              <w:left w:val="nil"/>
              <w:right w:val="single" w:color="auto" w:sz="4" w:space="0"/>
            </w:tcBorders>
            <w:vAlign w:val="center"/>
          </w:tcPr>
          <w:p>
            <w:pPr>
              <w:widowControl/>
              <w:jc w:val="center"/>
              <w:rPr>
                <w:rFonts w:ascii="宋体" w:hAnsi="宋体" w:cs="仿宋"/>
                <w:kern w:val="0"/>
                <w:sz w:val="24"/>
              </w:rPr>
            </w:pPr>
            <w:r>
              <w:rPr>
                <w:rFonts w:ascii="宋体" w:hAnsi="宋体" w:cs="仿宋"/>
                <w:kern w:val="0"/>
                <w:sz w:val="24"/>
              </w:rPr>
              <w:t>550000</w:t>
            </w:r>
          </w:p>
        </w:tc>
        <w:tc>
          <w:tcPr>
            <w:tcW w:w="1701"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c>
          <w:tcPr>
            <w:tcW w:w="1724" w:type="dxa"/>
            <w:tcBorders>
              <w:top w:val="single" w:color="auto" w:sz="4" w:space="0"/>
              <w:left w:val="nil"/>
              <w:right w:val="single" w:color="auto" w:sz="4" w:space="0"/>
            </w:tcBorders>
            <w:vAlign w:val="center"/>
          </w:tcPr>
          <w:p>
            <w:pPr>
              <w:widowControl/>
              <w:jc w:val="center"/>
              <w:rPr>
                <w:rFonts w:ascii="宋体" w:hAnsi="宋体" w:cs="仿宋"/>
                <w:kern w:val="0"/>
                <w:sz w:val="24"/>
              </w:rPr>
            </w:pPr>
          </w:p>
        </w:tc>
      </w:tr>
      <w:tr>
        <w:tblPrEx>
          <w:tblCellMar>
            <w:top w:w="0" w:type="dxa"/>
            <w:left w:w="108" w:type="dxa"/>
            <w:bottom w:w="0" w:type="dxa"/>
            <w:right w:w="108" w:type="dxa"/>
          </w:tblCellMar>
        </w:tblPrEx>
        <w:trPr>
          <w:trHeight w:val="719" w:hRule="atLeast"/>
        </w:trPr>
        <w:tc>
          <w:tcPr>
            <w:tcW w:w="9062"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kern w:val="0"/>
                <w:sz w:val="24"/>
              </w:rPr>
            </w:pPr>
            <w:r>
              <w:rPr>
                <w:rFonts w:hint="eastAsia" w:ascii="宋体" w:hAnsi="宋体" w:cs="仿宋"/>
                <w:kern w:val="0"/>
                <w:sz w:val="24"/>
              </w:rPr>
              <w:t>合计人民币（大写）：</w:t>
            </w:r>
            <w:r>
              <w:rPr>
                <w:rFonts w:hint="eastAsia" w:ascii="宋体" w:hAnsi="宋体" w:cs="仿宋"/>
                <w:kern w:val="0"/>
                <w:sz w:val="24"/>
                <w:u w:val="single"/>
              </w:rPr>
              <w:t xml:space="preserve">                  </w:t>
            </w:r>
            <w:r>
              <w:rPr>
                <w:rFonts w:hint="eastAsia" w:ascii="宋体" w:hAnsi="宋体" w:cs="仿宋"/>
                <w:kern w:val="0"/>
                <w:sz w:val="24"/>
              </w:rPr>
              <w:t xml:space="preserve">元整  </w:t>
            </w:r>
          </w:p>
        </w:tc>
      </w:tr>
    </w:tbl>
    <w:p>
      <w:pPr>
        <w:spacing w:line="360" w:lineRule="auto"/>
        <w:rPr>
          <w:rFonts w:ascii="宋体" w:hAnsi="宋体" w:cs="宋体"/>
          <w:sz w:val="24"/>
        </w:rPr>
      </w:pPr>
      <w:r>
        <w:rPr>
          <w:rFonts w:hint="eastAsia" w:ascii="宋体" w:hAnsi="宋体" w:cs="宋体"/>
          <w:b/>
          <w:sz w:val="21"/>
          <w:szCs w:val="21"/>
        </w:rPr>
        <w:t>填报要求：</w:t>
      </w:r>
    </w:p>
    <w:p>
      <w:pPr>
        <w:spacing w:line="360" w:lineRule="auto"/>
        <w:ind w:firstLine="420" w:firstLineChars="200"/>
        <w:rPr>
          <w:rFonts w:ascii="宋体" w:hAnsi="宋体"/>
          <w:kern w:val="0"/>
          <w:sz w:val="21"/>
          <w:szCs w:val="21"/>
        </w:rPr>
      </w:pPr>
      <w:r>
        <w:rPr>
          <w:rFonts w:hint="eastAsia" w:ascii="宋体" w:hAnsi="宋体"/>
          <w:kern w:val="0"/>
          <w:sz w:val="21"/>
          <w:szCs w:val="21"/>
        </w:rPr>
        <w:t>1.</w:t>
      </w:r>
      <w:r>
        <w:rPr>
          <w:rFonts w:hint="eastAsia"/>
          <w:sz w:val="21"/>
          <w:szCs w:val="20"/>
        </w:rPr>
        <w:t xml:space="preserve"> </w:t>
      </w:r>
      <w:r>
        <w:rPr>
          <w:rFonts w:hint="eastAsia" w:ascii="宋体" w:hAnsi="宋体"/>
          <w:kern w:val="0"/>
          <w:sz w:val="21"/>
          <w:szCs w:val="21"/>
        </w:rPr>
        <w:t>单价不得超过单价限价，否则作无效标处理。</w:t>
      </w:r>
    </w:p>
    <w:p>
      <w:pPr>
        <w:spacing w:line="360" w:lineRule="auto"/>
        <w:ind w:firstLine="420" w:firstLineChars="200"/>
        <w:rPr>
          <w:rFonts w:ascii="宋体" w:hAnsi="宋体"/>
          <w:kern w:val="0"/>
          <w:sz w:val="21"/>
          <w:szCs w:val="21"/>
        </w:rPr>
      </w:pPr>
      <w:r>
        <w:rPr>
          <w:rFonts w:ascii="宋体" w:hAnsi="宋体"/>
          <w:kern w:val="0"/>
          <w:sz w:val="21"/>
          <w:szCs w:val="21"/>
        </w:rPr>
        <w:t>2.</w:t>
      </w:r>
      <w:r>
        <w:rPr>
          <w:rFonts w:hint="eastAsia"/>
          <w:sz w:val="21"/>
          <w:szCs w:val="20"/>
        </w:rPr>
        <w:t xml:space="preserve"> 投标报价应是招标文件所确定的招标范围内全部工作内容的价格表现。其应包括货款、标准附件、备品备件、专用工具、包装、运输、装卸、保险、税金、货到就位以及安装、调试、培训、保修、质保期服务、政策性文件规定及合同包含的所有风险、责任等所有费用。如有漏项，视同已包含在其总项目中。同时供应商需配合采购人做好车辆的验收、保险、上牌等及其相关的其他服务。</w:t>
      </w:r>
    </w:p>
    <w:p>
      <w:pPr>
        <w:spacing w:line="360" w:lineRule="auto"/>
        <w:ind w:firstLine="424" w:firstLineChars="202"/>
        <w:rPr>
          <w:rFonts w:ascii="宋体" w:hAnsi="宋体"/>
          <w:sz w:val="24"/>
        </w:rPr>
      </w:pPr>
      <w:r>
        <w:rPr>
          <w:rFonts w:ascii="宋体" w:hAnsi="宋体"/>
          <w:kern w:val="0"/>
          <w:sz w:val="21"/>
          <w:szCs w:val="21"/>
        </w:rPr>
        <w:t>3</w:t>
      </w:r>
      <w:r>
        <w:rPr>
          <w:rFonts w:hint="eastAsia" w:ascii="宋体" w:hAnsi="宋体"/>
          <w:kern w:val="0"/>
          <w:sz w:val="21"/>
          <w:szCs w:val="21"/>
        </w:rPr>
        <w:t>.报价一经涂改，应在涂改处加盖单位公章，或者由法定代表人或全权代表签字或盖章，否则其投标作无效标处理。</w:t>
      </w:r>
    </w:p>
    <w:p>
      <w:pPr>
        <w:spacing w:line="360" w:lineRule="auto"/>
        <w:ind w:left="420"/>
        <w:rPr>
          <w:rFonts w:ascii="宋体" w:hAnsi="宋体"/>
          <w:sz w:val="24"/>
        </w:rPr>
      </w:pP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投标人名称（盖章）：</w:t>
      </w: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投标人代表签字或盖章：</w:t>
      </w:r>
    </w:p>
    <w:p>
      <w:pPr>
        <w:spacing w:line="360" w:lineRule="auto"/>
        <w:ind w:left="420"/>
        <w:rPr>
          <w:rFonts w:ascii="宋体" w:hAnsi="宋体"/>
          <w:sz w:val="24"/>
        </w:rPr>
      </w:pPr>
    </w:p>
    <w:p>
      <w:pPr>
        <w:spacing w:line="360" w:lineRule="auto"/>
        <w:ind w:left="420"/>
        <w:rPr>
          <w:rFonts w:ascii="宋体" w:hAnsi="宋体"/>
          <w:sz w:val="24"/>
        </w:rPr>
      </w:pPr>
      <w:r>
        <w:rPr>
          <w:rFonts w:hint="eastAsia" w:ascii="宋体" w:hAnsi="宋体"/>
          <w:sz w:val="24"/>
        </w:rPr>
        <w:t>日        期：</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微软繁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方正书宋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E-F1">
    <w:altName w:val="Malgun Gothic"/>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utoSpaceDE w:val="0"/>
      <w:autoSpaceDN w:val="0"/>
      <w:adjustRightInd w:val="0"/>
      <w:spacing w:line="360" w:lineRule="auto"/>
      <w:ind w:firstLine="280"/>
      <w:jc w:val="right"/>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EWaCwAQAASQMAAA4AAABkcnMvZTJvRG9jLnhtbK1TzU7cMBC+&#10;V+IdLN+7CZEoUbRZRIVAlSqKRHkAr2NvLPlPHrPJvkD7Bj31wp3n2udg7E0WRG8VF2fGM/5mvm8m&#10;y4vRaLIVAZSzLT1dlJQIy12n7KalDz+vP9eUQGS2Y9pZ0dKdAHqxOvm0HHwjKtc73YlAEMRCM/iW&#10;9jH6piiA98IwWDgvLAalC4ZFdMOm6AIbEN3ooirLL8XgQueD4wIAb68OQbrK+FIKHn9ICSIS3VLs&#10;LeYz5HOdzmK1ZM0mMN8rPrXB/qMLw5TFokeoKxYZeQzqHyijeHDgZFxwZwonpeIic0A2p+U7Nvc9&#10;8yJzQXHAH2WCj4Plt9u7QFTX0ooSywyOaP/n9/7v8/7pF6mSPIOHBrPuPebF8asbcczzPeBlYj3K&#10;YNIX+RCMo9C7o7hijISnR3VV1yWGOMZmB/GL1+c+QLwRzpBktDTg9LKobPsd4iF1TknVrLtWWucJ&#10;aksGRD2rz8/yi2MI0bXFIonFodtkxXE9TtTWrtshswFXoKUWd5QS/c2iwmlbZiPMxnoyUnnwl48R&#10;W8idJdQD1FQM55W5TbuVFuKtn7Ne/4DV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jxFmg&#10;sAEAAEkDAAAOAAAAAAAAAAEAIAAAACIBAABkcnMvZTJvRG9jLnhtbFBLBQYAAAAABgAGAFkBAABE&#10;BQ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page" w:x="5855" w:y="110"/>
    </w:pPr>
  </w:p>
  <w:p>
    <w:pPr>
      <w:jc w:val="center"/>
      <w:rPr>
        <w:b/>
        <w:color w:val="808080"/>
        <w:w w:val="66"/>
        <w:sz w:val="10"/>
        <w:u w:val="single"/>
      </w:rPr>
    </w:pPr>
    <w:r>
      <mc:AlternateContent>
        <mc:Choice Requires="wps">
          <w:drawing>
            <wp:anchor distT="0" distB="0" distL="114300" distR="114300" simplePos="0" relativeHeight="251660288" behindDoc="0" locked="0" layoutInCell="1" allowOverlap="1">
              <wp:simplePos x="0" y="0"/>
              <wp:positionH relativeFrom="margin">
                <wp:posOffset>2578100</wp:posOffset>
              </wp:positionH>
              <wp:positionV relativeFrom="paragraph">
                <wp:posOffset>-71120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03pt;margin-top:-5.6pt;height:144pt;width:144pt;mso-position-horizontal-relative:margin;mso-wrap-style:none;z-index:251660288;mso-width-relative:page;mso-height-relative:page;" filled="f" stroked="f" coordsize="21600,21600" o:gfxdata="UEsDBAoAAAAAAIdO4kAAAAAAAAAAAAAAAAAEAAAAZHJzL1BLAwQUAAAACACHTuJAmzfViNsAAAAL&#10;AQAADwAAAGRycy9kb3ducmV2LnhtbE2PwU7DMBBE70j8g7VIXKrWThSFNGRTCaTeQKIFiasbL0lK&#10;vI5iNy18PeYEx9kZzb6pNhc7iJkm3ztGSFYKBHHjTM8twtvrdlmA8EGz0YNjQvgiD5v6+qrSpXFn&#10;3tG8D62IJexLjdCFMJZS+qYjq/3KjcTR+3CT1SHKqZVm0udYbgeZKpVLq3uOHzo90mNHzef+ZBHe&#10;n76JdsXDYjFnx+OktuuXRj4j3t4k6h5EoEv4C8MvfkSHOjId3ImNFwNCpvK4JSAskyQFERP5OouX&#10;A0J6lxcg60r+31D/AFBLAwQUAAAACACHTuJAmN2xTLABAABJAwAADgAAAGRycy9lMm9Eb2MueG1s&#10;rVPBjtMwEL0j8Q+W7zRppYUoaroCrRYhIUBa9gNcx24s2R7L423SH4A/4MSFO9/V72Dspl3E3lZc&#10;nPHM+M28N5P19eQs26uIBnzHl4uaM+Ul9MbvOn7/9fZVwxkm4XthwauOHxTy683LF+sxtGoFA9he&#10;RUYgHtsxdHxIKbRVhXJQTuACgvIU1BCdSHSNu6qPYiR0Z6tVXb+uRoh9iCAVInlvTkG+KfhaK5k+&#10;a40qMdtx6i2VM5Zzm89qsxbtLoowGDm3IZ7RhRPGU9EL1I1Igj1E8wTKGRkBQaeFBFeB1kaqwoHY&#10;LOt/2NwNIqjChcTBcJEJ/x+s/LT/EpnpaXaceeFoRMcf348/fx9/fWPLLM8YsKWsu0B5aXoHU06d&#10;/UjOzHrS0eUv8WEUJ6EPF3HVlJjMj5pV09QUkhQ7XwinenweIqb3ChzLRscjTa+IKvYfMZ1Szym5&#10;modbYy35RWs9Gwn1qnlzVV5cQoRuPRXJLE7dZitN22mmsIX+QMxGWoGOe9pRzuwHTwrnbTkb8Wxs&#10;ZyPXxPD2IVELpbOMeoKai9G8Crd5t/JC/H0vWY9/wO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zfViNsAAAALAQAADwAAAAAAAAABACAAAAAiAAAAZHJzL2Rvd25yZXYueG1sUEsBAhQAFAAAAAgA&#10;h07iQJjdsUywAQAASQMAAA4AAAAAAAAAAQAgAAAAKgEAAGRycy9lMm9Eb2MueG1sUEsFBgAAAAAG&#10;AAYAWQEAAEwFA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utoSpaceDE w:val="0"/>
      <w:autoSpaceDN w:val="0"/>
      <w:adjustRightInd w:val="0"/>
      <w:spacing w:line="360" w:lineRule="auto"/>
      <w:ind w:firstLine="280"/>
      <w:jc w:val="right"/>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right"/>
    </w:pPr>
    <w:r>
      <w:rPr>
        <w:rFonts w:ascii="宋体" w:hAnsi="宋体"/>
        <w:szCs w:val="28"/>
      </w:rPr>
      <w:t xml:space="preserve">  </w:t>
    </w:r>
    <w:r>
      <w:rPr>
        <w:rFonts w:hint="eastAsia" w:ascii="宋体"/>
      </w:rPr>
      <w:t>台州公交巴士5.9米级新能源公交车采购项目招标文件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D796B"/>
    <w:multiLevelType w:val="singleLevel"/>
    <w:tmpl w:val="A75D796B"/>
    <w:lvl w:ilvl="0" w:tentative="0">
      <w:start w:val="1"/>
      <w:numFmt w:val="decimal"/>
      <w:lvlText w:val="%1."/>
      <w:lvlJc w:val="left"/>
      <w:pPr>
        <w:tabs>
          <w:tab w:val="left" w:pos="312"/>
        </w:tabs>
      </w:pPr>
    </w:lvl>
  </w:abstractNum>
  <w:abstractNum w:abstractNumId="1">
    <w:nsid w:val="AE2D8F7B"/>
    <w:multiLevelType w:val="singleLevel"/>
    <w:tmpl w:val="AE2D8F7B"/>
    <w:lvl w:ilvl="0" w:tentative="0">
      <w:start w:val="1"/>
      <w:numFmt w:val="decimal"/>
      <w:pStyle w:val="182"/>
      <w:lvlText w:val="%1."/>
      <w:lvlJc w:val="left"/>
      <w:pPr>
        <w:tabs>
          <w:tab w:val="left" w:pos="360"/>
        </w:tabs>
        <w:ind w:left="360" w:hanging="360"/>
      </w:pPr>
    </w:lvl>
  </w:abstractNum>
  <w:abstractNum w:abstractNumId="2">
    <w:nsid w:val="C5DC2810"/>
    <w:multiLevelType w:val="singleLevel"/>
    <w:tmpl w:val="C5DC2810"/>
    <w:lvl w:ilvl="0" w:tentative="0">
      <w:start w:val="1"/>
      <w:numFmt w:val="decimal"/>
      <w:lvlText w:val="%1."/>
      <w:lvlJc w:val="left"/>
      <w:pPr>
        <w:tabs>
          <w:tab w:val="left" w:pos="312"/>
        </w:tabs>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0C3F746E"/>
    <w:multiLevelType w:val="singleLevel"/>
    <w:tmpl w:val="0C3F746E"/>
    <w:lvl w:ilvl="0" w:tentative="0">
      <w:start w:val="1"/>
      <w:numFmt w:val="decimal"/>
      <w:lvlText w:val="%1."/>
      <w:lvlJc w:val="left"/>
      <w:pPr>
        <w:tabs>
          <w:tab w:val="left" w:pos="312"/>
        </w:tabs>
      </w:pPr>
    </w:lvl>
  </w:abstractNum>
  <w:abstractNum w:abstractNumId="5">
    <w:nsid w:val="35E06EC2"/>
    <w:multiLevelType w:val="singleLevel"/>
    <w:tmpl w:val="35E06EC2"/>
    <w:lvl w:ilvl="0" w:tentative="0">
      <w:start w:val="1"/>
      <w:numFmt w:val="decimal"/>
      <w:pStyle w:val="14"/>
      <w:lvlText w:val="%1."/>
      <w:lvlJc w:val="left"/>
      <w:pPr>
        <w:tabs>
          <w:tab w:val="left" w:pos="360"/>
        </w:tabs>
        <w:ind w:left="360" w:hanging="360"/>
      </w:pPr>
    </w:lvl>
  </w:abstractNum>
  <w:abstractNum w:abstractNumId="6">
    <w:nsid w:val="565DE96B"/>
    <w:multiLevelType w:val="singleLevel"/>
    <w:tmpl w:val="565DE96B"/>
    <w:lvl w:ilvl="0" w:tentative="0">
      <w:start w:val="1"/>
      <w:numFmt w:val="decimal"/>
      <w:lvlText w:val="%1."/>
      <w:lvlJc w:val="left"/>
      <w:pPr>
        <w:tabs>
          <w:tab w:val="left" w:pos="312"/>
        </w:tabs>
      </w:pPr>
    </w:lvl>
  </w:abstractNum>
  <w:abstractNum w:abstractNumId="7">
    <w:nsid w:val="674048A7"/>
    <w:multiLevelType w:val="singleLevel"/>
    <w:tmpl w:val="674048A7"/>
    <w:lvl w:ilvl="0" w:tentative="0">
      <w:start w:val="1"/>
      <w:numFmt w:val="decimal"/>
      <w:suff w:val="space"/>
      <w:lvlText w:val="%1."/>
      <w:lvlJc w:val="left"/>
    </w:lvl>
  </w:abstractNum>
  <w:abstractNum w:abstractNumId="8">
    <w:nsid w:val="6E230785"/>
    <w:multiLevelType w:val="multilevel"/>
    <w:tmpl w:val="6E230785"/>
    <w:lvl w:ilvl="0" w:tentative="0">
      <w:start w:val="1"/>
      <w:numFmt w:val="bullet"/>
      <w:pStyle w:val="214"/>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8F03B0B"/>
    <w:multiLevelType w:val="singleLevel"/>
    <w:tmpl w:val="78F03B0B"/>
    <w:lvl w:ilvl="0" w:tentative="0">
      <w:start w:val="1"/>
      <w:numFmt w:val="decimal"/>
      <w:lvlText w:val="%1."/>
      <w:lvlJc w:val="left"/>
      <w:pPr>
        <w:tabs>
          <w:tab w:val="left" w:pos="312"/>
        </w:tabs>
      </w:pPr>
    </w:lvl>
  </w:abstractNum>
  <w:num w:numId="1">
    <w:abstractNumId w:val="3"/>
  </w:num>
  <w:num w:numId="2">
    <w:abstractNumId w:val="5"/>
  </w:num>
  <w:num w:numId="3">
    <w:abstractNumId w:val="1"/>
  </w:num>
  <w:num w:numId="4">
    <w:abstractNumId w:val="8"/>
  </w:num>
  <w:num w:numId="5">
    <w:abstractNumId w:val="9"/>
  </w:num>
  <w:num w:numId="6">
    <w:abstractNumId w:val="7"/>
  </w:num>
  <w:num w:numId="7">
    <w:abstractNumId w:val="0"/>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endnotePr>
    <w:numRestart w:val="eachSect"/>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852EAE"/>
    <w:rsid w:val="00044409"/>
    <w:rsid w:val="000A5F43"/>
    <w:rsid w:val="000A6828"/>
    <w:rsid w:val="00106156"/>
    <w:rsid w:val="00113022"/>
    <w:rsid w:val="002028FD"/>
    <w:rsid w:val="002472AC"/>
    <w:rsid w:val="00255B8F"/>
    <w:rsid w:val="00256642"/>
    <w:rsid w:val="002D5A65"/>
    <w:rsid w:val="002E0277"/>
    <w:rsid w:val="00315683"/>
    <w:rsid w:val="00331606"/>
    <w:rsid w:val="00396F0C"/>
    <w:rsid w:val="00406678"/>
    <w:rsid w:val="00434389"/>
    <w:rsid w:val="00485725"/>
    <w:rsid w:val="004E21A2"/>
    <w:rsid w:val="005129C4"/>
    <w:rsid w:val="005551AB"/>
    <w:rsid w:val="005964F1"/>
    <w:rsid w:val="005A4315"/>
    <w:rsid w:val="005D1769"/>
    <w:rsid w:val="005D61AD"/>
    <w:rsid w:val="005E1770"/>
    <w:rsid w:val="00611181"/>
    <w:rsid w:val="00625E03"/>
    <w:rsid w:val="0068329C"/>
    <w:rsid w:val="00685E88"/>
    <w:rsid w:val="0071566D"/>
    <w:rsid w:val="007C2285"/>
    <w:rsid w:val="00814236"/>
    <w:rsid w:val="00831C49"/>
    <w:rsid w:val="00852EAE"/>
    <w:rsid w:val="00853804"/>
    <w:rsid w:val="008A42B5"/>
    <w:rsid w:val="008A5BB3"/>
    <w:rsid w:val="008B756E"/>
    <w:rsid w:val="008D433E"/>
    <w:rsid w:val="008E4650"/>
    <w:rsid w:val="009E4AD4"/>
    <w:rsid w:val="009F04BE"/>
    <w:rsid w:val="00A64499"/>
    <w:rsid w:val="00A714D6"/>
    <w:rsid w:val="00A76346"/>
    <w:rsid w:val="00AD7838"/>
    <w:rsid w:val="00B17EAC"/>
    <w:rsid w:val="00B45E31"/>
    <w:rsid w:val="00B60E0C"/>
    <w:rsid w:val="00BC18CF"/>
    <w:rsid w:val="00BF0DAB"/>
    <w:rsid w:val="00C43BBF"/>
    <w:rsid w:val="00C67F5F"/>
    <w:rsid w:val="00CA3E85"/>
    <w:rsid w:val="00CD48A3"/>
    <w:rsid w:val="00CD4AE5"/>
    <w:rsid w:val="00CD7684"/>
    <w:rsid w:val="00CD7DA9"/>
    <w:rsid w:val="00CE381E"/>
    <w:rsid w:val="00CE431E"/>
    <w:rsid w:val="00DC19F6"/>
    <w:rsid w:val="00E12559"/>
    <w:rsid w:val="00E702DE"/>
    <w:rsid w:val="00E85C78"/>
    <w:rsid w:val="00EA117D"/>
    <w:rsid w:val="00EC6319"/>
    <w:rsid w:val="00ED1659"/>
    <w:rsid w:val="00F14162"/>
    <w:rsid w:val="00F3418F"/>
    <w:rsid w:val="00F375B8"/>
    <w:rsid w:val="00F7101E"/>
    <w:rsid w:val="00FD2A10"/>
    <w:rsid w:val="00FE70E2"/>
    <w:rsid w:val="0EF943CA"/>
    <w:rsid w:val="14BC4706"/>
    <w:rsid w:val="16CD1FFB"/>
    <w:rsid w:val="21E15E65"/>
    <w:rsid w:val="22295E3F"/>
    <w:rsid w:val="29987A85"/>
    <w:rsid w:val="3717005D"/>
    <w:rsid w:val="3D82338A"/>
    <w:rsid w:val="3E80328E"/>
    <w:rsid w:val="3F4A1AE5"/>
    <w:rsid w:val="456A6FC1"/>
    <w:rsid w:val="4800799F"/>
    <w:rsid w:val="4BF87DEA"/>
    <w:rsid w:val="6BB86839"/>
    <w:rsid w:val="6CC74800"/>
    <w:rsid w:val="73BB1167"/>
    <w:rsid w:val="747749A4"/>
    <w:rsid w:val="75B567F7"/>
    <w:rsid w:val="7B85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75"/>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6"/>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60"/>
    <w:qFormat/>
    <w:uiPriority w:val="0"/>
    <w:pPr>
      <w:keepNext/>
      <w:keepLines/>
      <w:spacing w:before="260" w:after="260" w:line="416" w:lineRule="auto"/>
      <w:outlineLvl w:val="2"/>
    </w:pPr>
    <w:rPr>
      <w:b/>
      <w:bCs/>
      <w:sz w:val="32"/>
      <w:szCs w:val="32"/>
    </w:rPr>
  </w:style>
  <w:style w:type="paragraph" w:styleId="7">
    <w:name w:val="heading 4"/>
    <w:basedOn w:val="1"/>
    <w:next w:val="1"/>
    <w:link w:val="61"/>
    <w:qFormat/>
    <w:uiPriority w:val="0"/>
    <w:pPr>
      <w:keepNext/>
      <w:keepLines/>
      <w:spacing w:before="280" w:after="290" w:line="376" w:lineRule="auto"/>
      <w:outlineLvl w:val="3"/>
    </w:pPr>
    <w:rPr>
      <w:rFonts w:ascii="等线 Light" w:hAnsi="等线 Light" w:eastAsia="等线 Light"/>
      <w:b/>
      <w:bCs/>
      <w:kern w:val="0"/>
      <w:szCs w:val="28"/>
    </w:rPr>
  </w:style>
  <w:style w:type="paragraph" w:styleId="8">
    <w:name w:val="heading 5"/>
    <w:basedOn w:val="1"/>
    <w:next w:val="1"/>
    <w:link w:val="62"/>
    <w:qFormat/>
    <w:uiPriority w:val="0"/>
    <w:pPr>
      <w:keepNext/>
      <w:keepLines/>
      <w:spacing w:before="280" w:after="290" w:line="376" w:lineRule="auto"/>
      <w:ind w:left="1008" w:hanging="1008"/>
      <w:outlineLvl w:val="4"/>
    </w:pPr>
    <w:rPr>
      <w:rFonts w:ascii="等线" w:hAnsi="等线" w:eastAsia="等线"/>
      <w:b/>
      <w:bCs/>
      <w:szCs w:val="28"/>
    </w:rPr>
  </w:style>
  <w:style w:type="paragraph" w:styleId="9">
    <w:name w:val="heading 6"/>
    <w:basedOn w:val="1"/>
    <w:next w:val="1"/>
    <w:link w:val="63"/>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
    <w:link w:val="64"/>
    <w:qFormat/>
    <w:uiPriority w:val="0"/>
    <w:pPr>
      <w:keepNext/>
      <w:keepLines/>
      <w:spacing w:before="240" w:after="64" w:line="320" w:lineRule="auto"/>
      <w:ind w:left="1296" w:hanging="1296"/>
      <w:outlineLvl w:val="6"/>
    </w:pPr>
    <w:rPr>
      <w:rFonts w:ascii="等线" w:hAnsi="等线" w:eastAsia="等线"/>
      <w:b/>
      <w:bCs/>
      <w:sz w:val="24"/>
    </w:rPr>
  </w:style>
  <w:style w:type="paragraph" w:styleId="11">
    <w:name w:val="heading 8"/>
    <w:basedOn w:val="1"/>
    <w:next w:val="1"/>
    <w:link w:val="65"/>
    <w:qFormat/>
    <w:uiPriority w:val="0"/>
    <w:pPr>
      <w:keepNext/>
      <w:keepLines/>
      <w:spacing w:before="240" w:after="64" w:line="320" w:lineRule="auto"/>
      <w:outlineLvl w:val="7"/>
    </w:pPr>
    <w:rPr>
      <w:rFonts w:ascii="等线 Light" w:hAnsi="等线 Light" w:eastAsia="等线 Light"/>
      <w:kern w:val="0"/>
      <w:sz w:val="24"/>
      <w:szCs w:val="20"/>
    </w:rPr>
  </w:style>
  <w:style w:type="paragraph" w:styleId="12">
    <w:name w:val="heading 9"/>
    <w:basedOn w:val="1"/>
    <w:next w:val="1"/>
    <w:link w:val="66"/>
    <w:qFormat/>
    <w:uiPriority w:val="0"/>
    <w:pPr>
      <w:keepNext/>
      <w:keepLines/>
      <w:spacing w:before="240" w:after="64" w:line="320" w:lineRule="auto"/>
      <w:outlineLvl w:val="8"/>
    </w:pPr>
    <w:rPr>
      <w:rFonts w:ascii="等线 Light" w:hAnsi="等线 Light" w:eastAsia="等线 Light"/>
      <w:kern w:val="0"/>
      <w:sz w:val="24"/>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link w:val="121"/>
    <w:qFormat/>
    <w:uiPriority w:val="99"/>
    <w:pPr>
      <w:ind w:firstLine="420" w:firstLineChars="100"/>
    </w:pPr>
    <w:rPr>
      <w:rFonts w:ascii="Calibri" w:hAnsi="Calibri"/>
      <w:sz w:val="21"/>
      <w:szCs w:val="22"/>
    </w:rPr>
  </w:style>
  <w:style w:type="paragraph" w:styleId="3">
    <w:name w:val="Body Text"/>
    <w:basedOn w:val="1"/>
    <w:next w:val="2"/>
    <w:link w:val="78"/>
    <w:qFormat/>
    <w:uiPriority w:val="0"/>
    <w:pPr>
      <w:spacing w:after="120"/>
    </w:pPr>
  </w:style>
  <w:style w:type="paragraph" w:styleId="13">
    <w:name w:val="List Number 2"/>
    <w:basedOn w:val="1"/>
    <w:unhideWhenUsed/>
    <w:qFormat/>
    <w:uiPriority w:val="0"/>
    <w:pPr>
      <w:numPr>
        <w:ilvl w:val="0"/>
        <w:numId w:val="1"/>
      </w:numPr>
      <w:contextualSpacing/>
    </w:pPr>
    <w:rPr>
      <w:sz w:val="21"/>
    </w:rPr>
  </w:style>
  <w:style w:type="paragraph" w:styleId="14">
    <w:name w:val="List Number"/>
    <w:basedOn w:val="1"/>
    <w:qFormat/>
    <w:uiPriority w:val="99"/>
    <w:pPr>
      <w:numPr>
        <w:ilvl w:val="0"/>
        <w:numId w:val="2"/>
      </w:numPr>
    </w:pPr>
  </w:style>
  <w:style w:type="paragraph" w:styleId="15">
    <w:name w:val="Normal Indent"/>
    <w:basedOn w:val="1"/>
    <w:link w:val="77"/>
    <w:qFormat/>
    <w:uiPriority w:val="0"/>
    <w:pPr>
      <w:ind w:firstLine="420"/>
    </w:pPr>
    <w:rPr>
      <w:sz w:val="21"/>
      <w:szCs w:val="20"/>
    </w:rPr>
  </w:style>
  <w:style w:type="paragraph" w:styleId="16">
    <w:name w:val="caption"/>
    <w:basedOn w:val="1"/>
    <w:next w:val="1"/>
    <w:qFormat/>
    <w:uiPriority w:val="0"/>
    <w:pPr>
      <w:framePr w:w="9721" w:h="1873" w:hSpace="180" w:wrap="around" w:vAnchor="text" w:hAnchor="page" w:x="1621" w:y="1"/>
      <w:shd w:val="clear" w:color="C0C0C0" w:fill="FFFFFF"/>
      <w:tabs>
        <w:tab w:val="left" w:pos="9000"/>
      </w:tabs>
      <w:ind w:firstLine="180" w:firstLineChars="75"/>
    </w:pPr>
    <w:rPr>
      <w:rFonts w:ascii="Arial Narrow" w:hAnsi="Arial Narrow" w:eastAsia="微软繁隶书"/>
      <w:b/>
      <w:color w:val="FF0000"/>
      <w:sz w:val="24"/>
    </w:rPr>
  </w:style>
  <w:style w:type="paragraph" w:styleId="17">
    <w:name w:val="List Bullet"/>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8">
    <w:name w:val="Document Map"/>
    <w:basedOn w:val="1"/>
    <w:link w:val="67"/>
    <w:unhideWhenUsed/>
    <w:qFormat/>
    <w:uiPriority w:val="0"/>
    <w:rPr>
      <w:rFonts w:ascii="宋体" w:hAnsi="等线"/>
      <w:sz w:val="24"/>
    </w:rPr>
  </w:style>
  <w:style w:type="paragraph" w:styleId="19">
    <w:name w:val="annotation text"/>
    <w:basedOn w:val="1"/>
    <w:link w:val="68"/>
    <w:qFormat/>
    <w:uiPriority w:val="0"/>
    <w:pPr>
      <w:jc w:val="left"/>
    </w:pPr>
    <w:rPr>
      <w:sz w:val="21"/>
    </w:rPr>
  </w:style>
  <w:style w:type="paragraph" w:styleId="20">
    <w:name w:val="Body Text 3"/>
    <w:basedOn w:val="1"/>
    <w:link w:val="122"/>
    <w:qFormat/>
    <w:uiPriority w:val="0"/>
    <w:pPr>
      <w:snapToGrid w:val="0"/>
      <w:spacing w:before="50" w:after="50"/>
    </w:pPr>
    <w:rPr>
      <w:rFonts w:hAnsi="宋体" w:eastAsia="仿宋_GB2312"/>
      <w:b/>
      <w:bCs/>
      <w:sz w:val="24"/>
      <w:szCs w:val="20"/>
    </w:rPr>
  </w:style>
  <w:style w:type="paragraph" w:styleId="21">
    <w:name w:val="Body Text Indent"/>
    <w:basedOn w:val="1"/>
    <w:next w:val="22"/>
    <w:link w:val="79"/>
    <w:qFormat/>
    <w:uiPriority w:val="0"/>
    <w:pPr>
      <w:spacing w:after="120"/>
      <w:ind w:left="420" w:leftChars="200"/>
    </w:p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99"/>
    <w:pPr>
      <w:spacing w:beforeLines="50" w:afterLines="50"/>
      <w:ind w:left="426" w:right="-11" w:hanging="426" w:hangingChars="203"/>
    </w:pPr>
    <w:rPr>
      <w:rFonts w:eastAsia="楷体_GB2312"/>
      <w:sz w:val="21"/>
    </w:rPr>
  </w:style>
  <w:style w:type="paragraph" w:styleId="24">
    <w:name w:val="List Bullet 2"/>
    <w:basedOn w:val="1"/>
    <w:qFormat/>
    <w:uiPriority w:val="0"/>
    <w:pPr>
      <w:tabs>
        <w:tab w:val="left" w:pos="780"/>
      </w:tabs>
      <w:ind w:left="780" w:hanging="360"/>
    </w:pPr>
    <w:rPr>
      <w:sz w:val="21"/>
      <w:szCs w:val="20"/>
    </w:rPr>
  </w:style>
  <w:style w:type="paragraph" w:styleId="25">
    <w:name w:val="toc 3"/>
    <w:basedOn w:val="1"/>
    <w:next w:val="1"/>
    <w:unhideWhenUsed/>
    <w:qFormat/>
    <w:uiPriority w:val="39"/>
    <w:pPr>
      <w:ind w:left="420"/>
      <w:jc w:val="left"/>
    </w:pPr>
    <w:rPr>
      <w:i/>
      <w:iCs/>
      <w:sz w:val="20"/>
      <w:szCs w:val="20"/>
    </w:rPr>
  </w:style>
  <w:style w:type="paragraph" w:styleId="26">
    <w:name w:val="Plain Text"/>
    <w:basedOn w:val="1"/>
    <w:next w:val="27"/>
    <w:link w:val="80"/>
    <w:qFormat/>
    <w:uiPriority w:val="0"/>
    <w:pPr>
      <w:spacing w:beforeLines="50" w:afterLines="50" w:line="400" w:lineRule="atLeast"/>
    </w:pPr>
    <w:rPr>
      <w:rFonts w:ascii="宋体" w:hAnsi="Courier New"/>
      <w:sz w:val="24"/>
    </w:rPr>
  </w:style>
  <w:style w:type="paragraph" w:styleId="27">
    <w:name w:val="Date"/>
    <w:basedOn w:val="1"/>
    <w:next w:val="1"/>
    <w:qFormat/>
    <w:uiPriority w:val="0"/>
    <w:pPr>
      <w:ind w:left="2500" w:leftChars="2500"/>
    </w:pPr>
    <w:rPr>
      <w:rFonts w:eastAsia="楷体_GB2312"/>
      <w:sz w:val="32"/>
      <w:szCs w:val="20"/>
    </w:rPr>
  </w:style>
  <w:style w:type="paragraph" w:styleId="28">
    <w:name w:val="Body Text Indent 2"/>
    <w:basedOn w:val="1"/>
    <w:link w:val="69"/>
    <w:qFormat/>
    <w:uiPriority w:val="0"/>
    <w:pPr>
      <w:spacing w:line="500" w:lineRule="exact"/>
      <w:ind w:firstLine="511" w:firstLineChars="213"/>
    </w:pPr>
    <w:rPr>
      <w:sz w:val="24"/>
    </w:rPr>
  </w:style>
  <w:style w:type="paragraph" w:styleId="29">
    <w:name w:val="Balloon Text"/>
    <w:basedOn w:val="1"/>
    <w:link w:val="70"/>
    <w:qFormat/>
    <w:uiPriority w:val="0"/>
    <w:rPr>
      <w:sz w:val="18"/>
      <w:szCs w:val="18"/>
    </w:rPr>
  </w:style>
  <w:style w:type="paragraph" w:styleId="30">
    <w:name w:val="footer"/>
    <w:basedOn w:val="1"/>
    <w:link w:val="81"/>
    <w:qFormat/>
    <w:uiPriority w:val="0"/>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b/>
      <w:bCs/>
      <w:caps/>
      <w:sz w:val="20"/>
      <w:szCs w:val="20"/>
    </w:rPr>
  </w:style>
  <w:style w:type="paragraph" w:styleId="33">
    <w:name w:val="Subtitle"/>
    <w:basedOn w:val="1"/>
    <w:next w:val="1"/>
    <w:qFormat/>
    <w:uiPriority w:val="0"/>
    <w:pPr>
      <w:spacing w:before="240" w:after="60" w:line="312" w:lineRule="auto"/>
      <w:jc w:val="center"/>
      <w:outlineLvl w:val="1"/>
    </w:pPr>
    <w:rPr>
      <w:rFonts w:ascii="Arial" w:hAnsi="Arial"/>
      <w:bCs/>
      <w:kern w:val="28"/>
      <w:sz w:val="24"/>
      <w:szCs w:val="32"/>
    </w:rPr>
  </w:style>
  <w:style w:type="paragraph" w:styleId="34">
    <w:name w:val="footnote text"/>
    <w:basedOn w:val="1"/>
    <w:link w:val="71"/>
    <w:qFormat/>
    <w:uiPriority w:val="0"/>
    <w:pPr>
      <w:snapToGrid w:val="0"/>
      <w:jc w:val="left"/>
    </w:pPr>
    <w:rPr>
      <w:rFonts w:eastAsia="仿宋_GB2312"/>
      <w:sz w:val="18"/>
      <w:szCs w:val="20"/>
    </w:rPr>
  </w:style>
  <w:style w:type="paragraph" w:styleId="35">
    <w:name w:val="toc 6"/>
    <w:basedOn w:val="1"/>
    <w:next w:val="1"/>
    <w:qFormat/>
    <w:uiPriority w:val="0"/>
    <w:pPr>
      <w:ind w:left="2100" w:leftChars="1000"/>
    </w:pPr>
    <w:rPr>
      <w:rFonts w:ascii="Calibri" w:hAnsi="Calibri" w:cs="黑体"/>
      <w:sz w:val="21"/>
      <w:szCs w:val="22"/>
    </w:rPr>
  </w:style>
  <w:style w:type="paragraph" w:styleId="36">
    <w:name w:val="Body Text Indent 3"/>
    <w:basedOn w:val="1"/>
    <w:link w:val="72"/>
    <w:qFormat/>
    <w:uiPriority w:val="0"/>
    <w:pPr>
      <w:spacing w:line="500" w:lineRule="exact"/>
      <w:ind w:left="511" w:hanging="511" w:hangingChars="213"/>
    </w:pPr>
    <w:rPr>
      <w:sz w:val="24"/>
    </w:rPr>
  </w:style>
  <w:style w:type="paragraph" w:styleId="37">
    <w:name w:val="toc 2"/>
    <w:basedOn w:val="1"/>
    <w:next w:val="1"/>
    <w:qFormat/>
    <w:uiPriority w:val="39"/>
    <w:pPr>
      <w:ind w:left="210"/>
      <w:jc w:val="left"/>
    </w:pPr>
    <w:rPr>
      <w:smallCaps/>
      <w:sz w:val="20"/>
      <w:szCs w:val="20"/>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9">
    <w:name w:val="Title"/>
    <w:basedOn w:val="1"/>
    <w:next w:val="1"/>
    <w:link w:val="123"/>
    <w:qFormat/>
    <w:uiPriority w:val="0"/>
    <w:pPr>
      <w:spacing w:before="240" w:after="60"/>
      <w:jc w:val="center"/>
      <w:outlineLvl w:val="0"/>
    </w:pPr>
    <w:rPr>
      <w:rFonts w:ascii="Arial" w:hAnsi="Arial" w:cs="Arial"/>
      <w:b/>
      <w:bCs/>
      <w:sz w:val="32"/>
      <w:szCs w:val="32"/>
    </w:rPr>
  </w:style>
  <w:style w:type="paragraph" w:styleId="40">
    <w:name w:val="annotation subject"/>
    <w:basedOn w:val="19"/>
    <w:next w:val="19"/>
    <w:link w:val="73"/>
    <w:qFormat/>
    <w:uiPriority w:val="0"/>
    <w:rPr>
      <w:b/>
      <w:bCs/>
    </w:rPr>
  </w:style>
  <w:style w:type="paragraph" w:styleId="41">
    <w:name w:val="Body Text First Indent 2"/>
    <w:basedOn w:val="21"/>
    <w:next w:val="1"/>
    <w:link w:val="120"/>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qFormat/>
    <w:uiPriority w:val="0"/>
  </w:style>
  <w:style w:type="character" w:styleId="47">
    <w:name w:val="FollowedHyperlink"/>
    <w:unhideWhenUsed/>
    <w:qFormat/>
    <w:uiPriority w:val="99"/>
    <w:rPr>
      <w:color w:val="800080"/>
      <w:u w:val="single"/>
    </w:rPr>
  </w:style>
  <w:style w:type="character" w:styleId="48">
    <w:name w:val="Emphasis"/>
    <w:qFormat/>
    <w:uiPriority w:val="20"/>
    <w:rPr>
      <w:i/>
      <w:iCs/>
    </w:rPr>
  </w:style>
  <w:style w:type="character" w:styleId="49">
    <w:name w:val="HTML Definition"/>
    <w:basedOn w:val="44"/>
    <w:unhideWhenUsed/>
    <w:qFormat/>
    <w:uiPriority w:val="99"/>
    <w:rPr>
      <w:i/>
      <w:iCs/>
    </w:rPr>
  </w:style>
  <w:style w:type="character" w:styleId="50">
    <w:name w:val="Hyperlink"/>
    <w:qFormat/>
    <w:uiPriority w:val="99"/>
    <w:rPr>
      <w:color w:val="0000FF"/>
      <w:u w:val="single"/>
    </w:rPr>
  </w:style>
  <w:style w:type="character" w:styleId="51">
    <w:name w:val="HTML Code"/>
    <w:basedOn w:val="44"/>
    <w:unhideWhenUsed/>
    <w:qFormat/>
    <w:uiPriority w:val="99"/>
    <w:rPr>
      <w:rFonts w:hint="default" w:ascii="Consolas" w:hAnsi="Consolas" w:eastAsia="Consolas" w:cs="Consolas"/>
      <w:sz w:val="21"/>
      <w:szCs w:val="21"/>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styleId="54">
    <w:name w:val="HTML Keyboard"/>
    <w:basedOn w:val="44"/>
    <w:unhideWhenUsed/>
    <w:qFormat/>
    <w:uiPriority w:val="99"/>
    <w:rPr>
      <w:rFonts w:ascii="Consolas" w:hAnsi="Consolas" w:eastAsia="Consolas" w:cs="Consolas"/>
      <w:sz w:val="21"/>
      <w:szCs w:val="21"/>
    </w:rPr>
  </w:style>
  <w:style w:type="character" w:styleId="55">
    <w:name w:val="HTML Sample"/>
    <w:basedOn w:val="44"/>
    <w:unhideWhenUsed/>
    <w:qFormat/>
    <w:uiPriority w:val="99"/>
    <w:rPr>
      <w:rFonts w:hint="default" w:ascii="Consolas" w:hAnsi="Consolas" w:eastAsia="Consolas" w:cs="Consolas"/>
      <w:sz w:val="21"/>
      <w:szCs w:val="21"/>
    </w:rPr>
  </w:style>
  <w:style w:type="paragraph" w:customStyle="1" w:styleId="56">
    <w:name w:val="正文段"/>
    <w:basedOn w:val="1"/>
    <w:qFormat/>
    <w:uiPriority w:val="0"/>
    <w:pPr>
      <w:widowControl/>
      <w:snapToGrid w:val="0"/>
      <w:spacing w:afterLines="50"/>
      <w:ind w:firstLine="200" w:firstLineChars="200"/>
    </w:pPr>
    <w:rPr>
      <w:kern w:val="0"/>
      <w:sz w:val="24"/>
      <w:szCs w:val="20"/>
    </w:rPr>
  </w:style>
  <w:style w:type="paragraph" w:customStyle="1" w:styleId="57">
    <w:name w:val="列出段落1"/>
    <w:basedOn w:val="1"/>
    <w:qFormat/>
    <w:uiPriority w:val="99"/>
    <w:pPr>
      <w:spacing w:line="360" w:lineRule="auto"/>
      <w:ind w:firstLine="420" w:firstLineChars="200"/>
    </w:pPr>
    <w:rPr>
      <w:sz w:val="24"/>
    </w:rPr>
  </w:style>
  <w:style w:type="paragraph" w:customStyle="1" w:styleId="58">
    <w:name w:val="首行缩进"/>
    <w:basedOn w:val="1"/>
    <w:qFormat/>
    <w:uiPriority w:val="0"/>
    <w:pPr>
      <w:spacing w:line="360" w:lineRule="auto"/>
      <w:ind w:firstLine="480" w:firstLineChars="200"/>
    </w:pPr>
    <w:rPr>
      <w:rFonts w:ascii="宋体" w:hAnsi="宋体" w:eastAsia="仿宋_GB2312" w:cs="宋体"/>
      <w:kern w:val="0"/>
      <w:sz w:val="24"/>
      <w:szCs w:val="20"/>
    </w:rPr>
  </w:style>
  <w:style w:type="paragraph" w:customStyle="1" w:styleId="59">
    <w:name w:val="4、正文"/>
    <w:basedOn w:val="1"/>
    <w:qFormat/>
    <w:uiPriority w:val="0"/>
    <w:pPr>
      <w:ind w:firstLine="200" w:firstLineChars="200"/>
    </w:pPr>
    <w:rPr>
      <w:rFonts w:ascii="宋体"/>
      <w:sz w:val="24"/>
      <w:szCs w:val="28"/>
    </w:rPr>
  </w:style>
  <w:style w:type="character" w:customStyle="1" w:styleId="60">
    <w:name w:val="标题 3 Char"/>
    <w:basedOn w:val="44"/>
    <w:link w:val="6"/>
    <w:qFormat/>
    <w:uiPriority w:val="0"/>
    <w:rPr>
      <w:rFonts w:ascii="Times New Roman" w:hAnsi="Times New Roman" w:eastAsia="宋体" w:cs="Times New Roman"/>
      <w:b/>
      <w:bCs/>
      <w:kern w:val="2"/>
      <w:sz w:val="32"/>
      <w:szCs w:val="32"/>
    </w:rPr>
  </w:style>
  <w:style w:type="character" w:customStyle="1" w:styleId="61">
    <w:name w:val="标题 4 Char"/>
    <w:basedOn w:val="44"/>
    <w:link w:val="7"/>
    <w:qFormat/>
    <w:uiPriority w:val="0"/>
    <w:rPr>
      <w:rFonts w:ascii="等线 Light" w:hAnsi="等线 Light" w:eastAsia="等线 Light" w:cs="Times New Roman"/>
      <w:b/>
      <w:bCs/>
      <w:sz w:val="28"/>
      <w:szCs w:val="28"/>
    </w:rPr>
  </w:style>
  <w:style w:type="character" w:customStyle="1" w:styleId="62">
    <w:name w:val="标题 5 Char"/>
    <w:basedOn w:val="44"/>
    <w:link w:val="8"/>
    <w:qFormat/>
    <w:uiPriority w:val="0"/>
    <w:rPr>
      <w:rFonts w:ascii="等线" w:hAnsi="等线" w:eastAsia="等线" w:cs="Times New Roman"/>
      <w:b/>
      <w:bCs/>
      <w:kern w:val="2"/>
      <w:sz w:val="28"/>
      <w:szCs w:val="28"/>
    </w:rPr>
  </w:style>
  <w:style w:type="character" w:customStyle="1" w:styleId="63">
    <w:name w:val="标题 6 Char"/>
    <w:basedOn w:val="44"/>
    <w:link w:val="9"/>
    <w:qFormat/>
    <w:uiPriority w:val="0"/>
    <w:rPr>
      <w:rFonts w:ascii="Calibri Light" w:hAnsi="Calibri Light" w:eastAsia="宋体" w:cs="Times New Roman"/>
      <w:b/>
      <w:bCs/>
      <w:kern w:val="2"/>
      <w:sz w:val="24"/>
      <w:szCs w:val="24"/>
    </w:rPr>
  </w:style>
  <w:style w:type="character" w:customStyle="1" w:styleId="64">
    <w:name w:val="标题 7 Char"/>
    <w:basedOn w:val="44"/>
    <w:link w:val="10"/>
    <w:qFormat/>
    <w:uiPriority w:val="0"/>
    <w:rPr>
      <w:rFonts w:ascii="等线" w:hAnsi="等线" w:eastAsia="等线" w:cs="Times New Roman"/>
      <w:b/>
      <w:bCs/>
      <w:kern w:val="2"/>
      <w:sz w:val="24"/>
      <w:szCs w:val="24"/>
    </w:rPr>
  </w:style>
  <w:style w:type="character" w:customStyle="1" w:styleId="65">
    <w:name w:val="标题 8 Char"/>
    <w:basedOn w:val="44"/>
    <w:link w:val="11"/>
    <w:qFormat/>
    <w:uiPriority w:val="0"/>
    <w:rPr>
      <w:rFonts w:ascii="等线 Light" w:hAnsi="等线 Light" w:eastAsia="等线 Light" w:cs="Times New Roman"/>
      <w:sz w:val="24"/>
    </w:rPr>
  </w:style>
  <w:style w:type="character" w:customStyle="1" w:styleId="66">
    <w:name w:val="标题 9 Char"/>
    <w:basedOn w:val="44"/>
    <w:link w:val="12"/>
    <w:qFormat/>
    <w:uiPriority w:val="0"/>
    <w:rPr>
      <w:rFonts w:ascii="等线 Light" w:hAnsi="等线 Light" w:eastAsia="等线 Light" w:cs="Times New Roman"/>
      <w:sz w:val="24"/>
      <w:szCs w:val="21"/>
    </w:rPr>
  </w:style>
  <w:style w:type="character" w:customStyle="1" w:styleId="67">
    <w:name w:val="文档结构图 Char"/>
    <w:basedOn w:val="44"/>
    <w:link w:val="18"/>
    <w:qFormat/>
    <w:uiPriority w:val="0"/>
    <w:rPr>
      <w:rFonts w:ascii="宋体" w:hAnsi="等线" w:eastAsia="宋体" w:cs="Times New Roman"/>
      <w:kern w:val="2"/>
      <w:sz w:val="24"/>
      <w:szCs w:val="24"/>
    </w:rPr>
  </w:style>
  <w:style w:type="character" w:customStyle="1" w:styleId="68">
    <w:name w:val="批注文字 Char"/>
    <w:basedOn w:val="44"/>
    <w:link w:val="19"/>
    <w:qFormat/>
    <w:uiPriority w:val="0"/>
    <w:rPr>
      <w:rFonts w:ascii="Times New Roman" w:hAnsi="Times New Roman" w:eastAsia="宋体" w:cs="Times New Roman"/>
      <w:kern w:val="2"/>
      <w:sz w:val="21"/>
      <w:szCs w:val="24"/>
    </w:rPr>
  </w:style>
  <w:style w:type="character" w:customStyle="1" w:styleId="69">
    <w:name w:val="正文文本缩进 2 Char"/>
    <w:basedOn w:val="44"/>
    <w:link w:val="28"/>
    <w:qFormat/>
    <w:uiPriority w:val="0"/>
    <w:rPr>
      <w:rFonts w:ascii="Times New Roman" w:hAnsi="Times New Roman" w:eastAsia="宋体" w:cs="Times New Roman"/>
      <w:kern w:val="2"/>
      <w:sz w:val="24"/>
      <w:szCs w:val="24"/>
    </w:rPr>
  </w:style>
  <w:style w:type="character" w:customStyle="1" w:styleId="70">
    <w:name w:val="批注框文本 Char"/>
    <w:basedOn w:val="44"/>
    <w:link w:val="29"/>
    <w:qFormat/>
    <w:uiPriority w:val="0"/>
    <w:rPr>
      <w:rFonts w:ascii="Times New Roman" w:hAnsi="Times New Roman" w:eastAsia="宋体" w:cs="Times New Roman"/>
      <w:kern w:val="2"/>
      <w:sz w:val="18"/>
      <w:szCs w:val="18"/>
    </w:rPr>
  </w:style>
  <w:style w:type="character" w:customStyle="1" w:styleId="71">
    <w:name w:val="脚注文本 Char"/>
    <w:basedOn w:val="44"/>
    <w:link w:val="34"/>
    <w:qFormat/>
    <w:uiPriority w:val="0"/>
    <w:rPr>
      <w:rFonts w:ascii="Times New Roman" w:hAnsi="Times New Roman" w:eastAsia="仿宋_GB2312" w:cs="Times New Roman"/>
      <w:kern w:val="2"/>
      <w:sz w:val="18"/>
    </w:rPr>
  </w:style>
  <w:style w:type="character" w:customStyle="1" w:styleId="72">
    <w:name w:val="正文文本缩进 3 Char"/>
    <w:basedOn w:val="44"/>
    <w:link w:val="36"/>
    <w:qFormat/>
    <w:uiPriority w:val="0"/>
    <w:rPr>
      <w:rFonts w:ascii="Times New Roman" w:hAnsi="Times New Roman" w:eastAsia="宋体" w:cs="Times New Roman"/>
      <w:kern w:val="2"/>
      <w:sz w:val="24"/>
      <w:szCs w:val="24"/>
    </w:rPr>
  </w:style>
  <w:style w:type="character" w:customStyle="1" w:styleId="73">
    <w:name w:val="批注主题 Char"/>
    <w:basedOn w:val="68"/>
    <w:link w:val="40"/>
    <w:qFormat/>
    <w:uiPriority w:val="0"/>
    <w:rPr>
      <w:rFonts w:ascii="Times New Roman" w:hAnsi="Times New Roman" w:eastAsia="宋体" w:cs="Times New Roman"/>
      <w:b/>
      <w:bCs/>
      <w:kern w:val="2"/>
      <w:sz w:val="21"/>
      <w:szCs w:val="24"/>
    </w:rPr>
  </w:style>
  <w:style w:type="table" w:customStyle="1" w:styleId="74">
    <w:name w:val="网格型1"/>
    <w:basedOn w:val="4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标题 1 Char"/>
    <w:link w:val="4"/>
    <w:qFormat/>
    <w:uiPriority w:val="9"/>
    <w:rPr>
      <w:rFonts w:ascii="Times New Roman" w:hAnsi="Times New Roman" w:eastAsia="宋体" w:cs="Times New Roman"/>
      <w:b/>
      <w:bCs/>
      <w:kern w:val="44"/>
      <w:sz w:val="44"/>
      <w:szCs w:val="44"/>
    </w:rPr>
  </w:style>
  <w:style w:type="character" w:customStyle="1" w:styleId="76">
    <w:name w:val="标题 2 Char"/>
    <w:link w:val="5"/>
    <w:qFormat/>
    <w:uiPriority w:val="0"/>
    <w:rPr>
      <w:rFonts w:ascii="Arial" w:hAnsi="Arial" w:eastAsia="黑体" w:cs="Times New Roman"/>
      <w:b/>
      <w:bCs/>
      <w:kern w:val="2"/>
      <w:sz w:val="32"/>
      <w:szCs w:val="32"/>
    </w:rPr>
  </w:style>
  <w:style w:type="character" w:customStyle="1" w:styleId="77">
    <w:name w:val="正文缩进 Char"/>
    <w:link w:val="15"/>
    <w:qFormat/>
    <w:uiPriority w:val="0"/>
    <w:rPr>
      <w:rFonts w:ascii="Times New Roman" w:hAnsi="Times New Roman" w:eastAsia="宋体" w:cs="Times New Roman"/>
      <w:kern w:val="2"/>
      <w:sz w:val="21"/>
    </w:rPr>
  </w:style>
  <w:style w:type="character" w:customStyle="1" w:styleId="78">
    <w:name w:val="正文文本 Char"/>
    <w:basedOn w:val="44"/>
    <w:link w:val="3"/>
    <w:qFormat/>
    <w:uiPriority w:val="0"/>
    <w:rPr>
      <w:rFonts w:ascii="Times New Roman" w:hAnsi="Times New Roman" w:eastAsia="宋体" w:cs="Times New Roman"/>
      <w:kern w:val="2"/>
      <w:sz w:val="28"/>
      <w:szCs w:val="24"/>
    </w:rPr>
  </w:style>
  <w:style w:type="character" w:customStyle="1" w:styleId="79">
    <w:name w:val="正文文本缩进 Char"/>
    <w:link w:val="21"/>
    <w:qFormat/>
    <w:uiPriority w:val="0"/>
    <w:rPr>
      <w:rFonts w:ascii="Times New Roman" w:hAnsi="Times New Roman" w:eastAsia="宋体" w:cs="Times New Roman"/>
      <w:kern w:val="2"/>
      <w:sz w:val="28"/>
      <w:szCs w:val="24"/>
    </w:rPr>
  </w:style>
  <w:style w:type="character" w:customStyle="1" w:styleId="80">
    <w:name w:val="纯文本 Char"/>
    <w:link w:val="26"/>
    <w:qFormat/>
    <w:uiPriority w:val="0"/>
    <w:rPr>
      <w:rFonts w:ascii="宋体" w:hAnsi="Courier New" w:eastAsia="宋体" w:cs="Times New Roman"/>
      <w:kern w:val="2"/>
      <w:sz w:val="24"/>
      <w:szCs w:val="24"/>
    </w:rPr>
  </w:style>
  <w:style w:type="character" w:customStyle="1" w:styleId="81">
    <w:name w:val="页脚 Char"/>
    <w:link w:val="30"/>
    <w:qFormat/>
    <w:uiPriority w:val="0"/>
    <w:rPr>
      <w:rFonts w:ascii="Times New Roman" w:hAnsi="Times New Roman" w:eastAsia="宋体" w:cs="Times New Roman"/>
      <w:kern w:val="2"/>
      <w:sz w:val="18"/>
      <w:szCs w:val="18"/>
    </w:rPr>
  </w:style>
  <w:style w:type="character" w:customStyle="1" w:styleId="82">
    <w:name w:val="页眉 Char"/>
    <w:link w:val="31"/>
    <w:qFormat/>
    <w:uiPriority w:val="0"/>
    <w:rPr>
      <w:rFonts w:ascii="Times New Roman" w:hAnsi="Times New Roman" w:eastAsia="宋体" w:cs="Times New Roman"/>
      <w:kern w:val="2"/>
      <w:sz w:val="18"/>
      <w:szCs w:val="18"/>
    </w:rPr>
  </w:style>
  <w:style w:type="paragraph" w:customStyle="1" w:styleId="83">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84">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85">
    <w:name w:val="列出段落111"/>
    <w:basedOn w:val="1"/>
    <w:qFormat/>
    <w:uiPriority w:val="34"/>
    <w:pPr>
      <w:ind w:firstLine="420" w:firstLineChars="200"/>
    </w:pPr>
    <w:rPr>
      <w:rFonts w:ascii="Calibri" w:hAnsi="Calibri"/>
      <w:kern w:val="0"/>
      <w:sz w:val="21"/>
      <w:szCs w:val="20"/>
    </w:rPr>
  </w:style>
  <w:style w:type="paragraph" w:customStyle="1" w:styleId="86">
    <w:name w:val="无间隔11"/>
    <w:qFormat/>
    <w:uiPriority w:val="0"/>
    <w:pPr>
      <w:adjustRightInd w:val="0"/>
      <w:snapToGrid w:val="0"/>
    </w:pPr>
    <w:rPr>
      <w:rFonts w:ascii="Tahoma" w:hAnsi="Tahoma" w:eastAsia="微软雅黑" w:cs="Times New Roman"/>
      <w:sz w:val="22"/>
      <w:szCs w:val="22"/>
      <w:lang w:val="en-US" w:eastAsia="zh-CN" w:bidi="ar-SA"/>
    </w:rPr>
  </w:style>
  <w:style w:type="paragraph" w:customStyle="1" w:styleId="8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4"/>
    <w:qFormat/>
    <w:uiPriority w:val="0"/>
    <w:rPr>
      <w:rFonts w:ascii="Times New Roman" w:hAnsi="Times New Roman" w:eastAsia="宋体" w:cs="Times New Roman"/>
      <w:sz w:val="21"/>
      <w:szCs w:val="22"/>
      <w:lang w:val="en-US" w:eastAsia="zh-CN" w:bidi="ar-SA"/>
    </w:rPr>
  </w:style>
  <w:style w:type="paragraph" w:customStyle="1" w:styleId="9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纯文本_3"/>
    <w:basedOn w:val="92"/>
    <w:qFormat/>
    <w:uiPriority w:val="0"/>
    <w:pPr>
      <w:widowControl/>
      <w:jc w:val="left"/>
    </w:pPr>
    <w:rPr>
      <w:rFonts w:ascii="宋体" w:hAnsi="Courier New"/>
      <w:szCs w:val="21"/>
    </w:rPr>
  </w:style>
  <w:style w:type="paragraph" w:customStyle="1" w:styleId="94">
    <w:name w:val="纯文本_0_1"/>
    <w:basedOn w:val="1"/>
    <w:qFormat/>
    <w:uiPriority w:val="0"/>
    <w:pPr>
      <w:widowControl/>
      <w:jc w:val="left"/>
    </w:pPr>
    <w:rPr>
      <w:rFonts w:ascii="宋体" w:hAnsi="Courier New"/>
      <w:sz w:val="21"/>
      <w:szCs w:val="21"/>
    </w:rPr>
  </w:style>
  <w:style w:type="paragraph" w:customStyle="1" w:styleId="95">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Normal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0">
    <w:name w:val="p18"/>
    <w:basedOn w:val="1"/>
    <w:qFormat/>
    <w:uiPriority w:val="99"/>
    <w:pPr>
      <w:widowControl/>
      <w:spacing w:line="748" w:lineRule="atLeast"/>
      <w:ind w:left="-527" w:firstLine="527"/>
    </w:pPr>
    <w:rPr>
      <w:rFonts w:ascii="宋体" w:hAnsi="宋体" w:cs="宋体"/>
      <w:kern w:val="0"/>
      <w:sz w:val="24"/>
    </w:rPr>
  </w:style>
  <w:style w:type="character" w:customStyle="1" w:styleId="101">
    <w:name w:val="font01"/>
    <w:qFormat/>
    <w:uiPriority w:val="0"/>
    <w:rPr>
      <w:rFonts w:hint="eastAsia" w:ascii="宋体" w:hAnsi="宋体" w:eastAsia="宋体" w:cs="宋体"/>
      <w:color w:val="000000"/>
      <w:sz w:val="32"/>
      <w:szCs w:val="32"/>
      <w:u w:val="none"/>
    </w:rPr>
  </w:style>
  <w:style w:type="character" w:customStyle="1" w:styleId="102">
    <w:name w:val="font21"/>
    <w:qFormat/>
    <w:uiPriority w:val="0"/>
    <w:rPr>
      <w:rFonts w:hint="eastAsia" w:ascii="宋体" w:hAnsi="宋体" w:eastAsia="宋体" w:cs="宋体"/>
      <w:color w:val="000000"/>
      <w:sz w:val="32"/>
      <w:szCs w:val="32"/>
      <w:u w:val="none"/>
    </w:rPr>
  </w:style>
  <w:style w:type="paragraph" w:customStyle="1" w:styleId="103">
    <w:name w:val="Table Paragraph"/>
    <w:basedOn w:val="1"/>
    <w:qFormat/>
    <w:uiPriority w:val="0"/>
    <w:rPr>
      <w:rFonts w:ascii="Calibri" w:hAnsi="Calibri"/>
      <w:sz w:val="21"/>
      <w:szCs w:val="20"/>
    </w:rPr>
  </w:style>
  <w:style w:type="paragraph" w:customStyle="1" w:styleId="104">
    <w:name w:val="_Style 2"/>
    <w:basedOn w:val="1"/>
    <w:qFormat/>
    <w:uiPriority w:val="0"/>
    <w:pPr>
      <w:adjustRightInd w:val="0"/>
      <w:snapToGrid w:val="0"/>
    </w:pPr>
    <w:rPr>
      <w:rFonts w:ascii="Tahoma" w:hAnsi="Tahoma" w:eastAsia="微软雅黑" w:cs="Tahoma"/>
      <w:sz w:val="22"/>
      <w:szCs w:val="22"/>
    </w:rPr>
  </w:style>
  <w:style w:type="paragraph" w:customStyle="1" w:styleId="105">
    <w:name w:val="标题 41"/>
    <w:basedOn w:val="1"/>
    <w:next w:val="1"/>
    <w:unhideWhenUsed/>
    <w:qFormat/>
    <w:uiPriority w:val="9"/>
    <w:pPr>
      <w:keepNext/>
      <w:keepLines/>
      <w:spacing w:before="280" w:after="290" w:line="376" w:lineRule="auto"/>
      <w:ind w:left="864" w:hanging="864"/>
      <w:outlineLvl w:val="3"/>
    </w:pPr>
    <w:rPr>
      <w:rFonts w:ascii="等线 Light" w:hAnsi="等线 Light" w:eastAsia="等线 Light"/>
      <w:b/>
      <w:bCs/>
      <w:szCs w:val="28"/>
    </w:rPr>
  </w:style>
  <w:style w:type="paragraph" w:customStyle="1" w:styleId="106">
    <w:name w:val="标题 81"/>
    <w:basedOn w:val="1"/>
    <w:next w:val="1"/>
    <w:unhideWhenUsed/>
    <w:qFormat/>
    <w:uiPriority w:val="9"/>
    <w:pPr>
      <w:keepNext/>
      <w:keepLines/>
      <w:spacing w:before="240" w:after="64" w:line="320" w:lineRule="auto"/>
      <w:ind w:left="1440" w:hanging="1440"/>
      <w:outlineLvl w:val="7"/>
    </w:pPr>
    <w:rPr>
      <w:rFonts w:ascii="等线 Light" w:hAnsi="等线 Light" w:eastAsia="等线 Light"/>
      <w:sz w:val="24"/>
    </w:rPr>
  </w:style>
  <w:style w:type="paragraph" w:customStyle="1" w:styleId="107">
    <w:name w:val="标题 91"/>
    <w:basedOn w:val="1"/>
    <w:next w:val="1"/>
    <w:unhideWhenUsed/>
    <w:qFormat/>
    <w:uiPriority w:val="9"/>
    <w:pPr>
      <w:keepNext/>
      <w:keepLines/>
      <w:spacing w:before="240" w:after="64" w:line="320" w:lineRule="auto"/>
      <w:ind w:left="1584" w:hanging="1584"/>
      <w:outlineLvl w:val="8"/>
    </w:pPr>
    <w:rPr>
      <w:rFonts w:ascii="等线 Light" w:hAnsi="等线 Light" w:eastAsia="等线 Light"/>
      <w:sz w:val="24"/>
      <w:szCs w:val="21"/>
    </w:rPr>
  </w:style>
  <w:style w:type="character" w:customStyle="1" w:styleId="108">
    <w:name w:val="标题 1 Char Char"/>
    <w:qFormat/>
    <w:uiPriority w:val="0"/>
    <w:rPr>
      <w:rFonts w:eastAsia="宋体"/>
      <w:b/>
      <w:spacing w:val="-2"/>
      <w:sz w:val="24"/>
      <w:lang w:val="en-US" w:eastAsia="zh-CN"/>
    </w:rPr>
  </w:style>
  <w:style w:type="paragraph" w:customStyle="1" w:styleId="109">
    <w:name w:val="列表段落1"/>
    <w:basedOn w:val="1"/>
    <w:qFormat/>
    <w:uiPriority w:val="0"/>
    <w:pPr>
      <w:ind w:firstLine="420" w:firstLineChars="200"/>
    </w:pPr>
    <w:rPr>
      <w:rFonts w:ascii="等线" w:hAnsi="等线" w:eastAsia="等线"/>
      <w:sz w:val="21"/>
    </w:rPr>
  </w:style>
  <w:style w:type="paragraph" w:customStyle="1" w:styleId="110">
    <w:name w:val="宁波正文"/>
    <w:basedOn w:val="1"/>
    <w:qFormat/>
    <w:uiPriority w:val="0"/>
    <w:pPr>
      <w:spacing w:line="360" w:lineRule="auto"/>
      <w:ind w:firstLine="480" w:firstLineChars="200"/>
    </w:pPr>
    <w:rPr>
      <w:rFonts w:ascii="仿宋_GB2312" w:eastAsia="仿宋_GB2312"/>
      <w:kern w:val="0"/>
      <w:sz w:val="24"/>
    </w:rPr>
  </w:style>
  <w:style w:type="paragraph" w:customStyle="1" w:styleId="111">
    <w:name w:val="样式2"/>
    <w:basedOn w:val="1"/>
    <w:qFormat/>
    <w:uiPriority w:val="0"/>
    <w:pPr>
      <w:spacing w:line="360" w:lineRule="auto"/>
      <w:ind w:firstLine="200" w:firstLineChars="200"/>
    </w:pPr>
    <w:rPr>
      <w:rFonts w:ascii="仿宋_GB2312" w:eastAsia="仿宋_GB2312"/>
      <w:kern w:val="0"/>
      <w:sz w:val="24"/>
    </w:rPr>
  </w:style>
  <w:style w:type="paragraph" w:customStyle="1" w:styleId="112">
    <w:name w:val="Item List in Table"/>
    <w:basedOn w:val="1"/>
    <w:qFormat/>
    <w:uiPriority w:val="0"/>
    <w:pPr>
      <w:widowControl/>
      <w:tabs>
        <w:tab w:val="left" w:pos="960"/>
      </w:tabs>
      <w:topLinePunct/>
      <w:snapToGrid w:val="0"/>
      <w:spacing w:before="80" w:after="80" w:line="240" w:lineRule="atLeast"/>
      <w:ind w:left="960" w:hanging="600"/>
    </w:pPr>
    <w:rPr>
      <w:rFonts w:hint="eastAsia" w:ascii="等线" w:hAnsi="等线" w:eastAsia="等线" w:cs="Arial"/>
      <w:sz w:val="21"/>
      <w:szCs w:val="21"/>
    </w:rPr>
  </w:style>
  <w:style w:type="character" w:customStyle="1" w:styleId="113">
    <w:name w:val="标题 4 Char1"/>
    <w:semiHidden/>
    <w:qFormat/>
    <w:uiPriority w:val="0"/>
    <w:rPr>
      <w:rFonts w:ascii="Calibri Light" w:hAnsi="Calibri Light" w:eastAsia="宋体" w:cs="Times New Roman"/>
      <w:b/>
      <w:bCs/>
      <w:kern w:val="2"/>
      <w:sz w:val="28"/>
      <w:szCs w:val="28"/>
    </w:rPr>
  </w:style>
  <w:style w:type="character" w:customStyle="1" w:styleId="114">
    <w:name w:val="标题 8 Char1"/>
    <w:semiHidden/>
    <w:qFormat/>
    <w:uiPriority w:val="0"/>
    <w:rPr>
      <w:rFonts w:ascii="Calibri Light" w:hAnsi="Calibri Light" w:eastAsia="宋体" w:cs="Times New Roman"/>
      <w:kern w:val="2"/>
      <w:sz w:val="24"/>
      <w:szCs w:val="24"/>
    </w:rPr>
  </w:style>
  <w:style w:type="character" w:customStyle="1" w:styleId="115">
    <w:name w:val="标题 9 Char1"/>
    <w:semiHidden/>
    <w:qFormat/>
    <w:uiPriority w:val="0"/>
    <w:rPr>
      <w:rFonts w:ascii="Calibri Light" w:hAnsi="Calibri Light" w:eastAsia="宋体" w:cs="Times New Roman"/>
      <w:kern w:val="2"/>
      <w:sz w:val="21"/>
      <w:szCs w:val="21"/>
    </w:rPr>
  </w:style>
  <w:style w:type="character" w:customStyle="1" w:styleId="116">
    <w:name w:val="Picture caption|1_"/>
    <w:link w:val="117"/>
    <w:qFormat/>
    <w:uiPriority w:val="0"/>
    <w:rPr>
      <w:rFonts w:ascii="宋体" w:hAnsi="宋体" w:cs="宋体"/>
      <w:sz w:val="22"/>
      <w:szCs w:val="22"/>
      <w:lang w:val="zh-TW" w:eastAsia="zh-TW" w:bidi="zh-TW"/>
    </w:rPr>
  </w:style>
  <w:style w:type="paragraph" w:customStyle="1" w:styleId="117">
    <w:name w:val="Picture caption|1"/>
    <w:basedOn w:val="1"/>
    <w:link w:val="116"/>
    <w:qFormat/>
    <w:uiPriority w:val="0"/>
    <w:pPr>
      <w:spacing w:line="209" w:lineRule="exact"/>
      <w:ind w:firstLine="720"/>
      <w:jc w:val="left"/>
    </w:pPr>
    <w:rPr>
      <w:rFonts w:ascii="宋体" w:hAnsi="宋体" w:cs="宋体" w:eastAsiaTheme="minorEastAsia"/>
      <w:kern w:val="0"/>
      <w:sz w:val="22"/>
      <w:szCs w:val="22"/>
      <w:lang w:val="zh-TW" w:eastAsia="zh-TW" w:bidi="zh-TW"/>
    </w:rPr>
  </w:style>
  <w:style w:type="paragraph" w:customStyle="1" w:styleId="118">
    <w:name w:val="Other|1"/>
    <w:basedOn w:val="1"/>
    <w:qFormat/>
    <w:uiPriority w:val="0"/>
    <w:pPr>
      <w:spacing w:line="290" w:lineRule="exact"/>
      <w:jc w:val="left"/>
    </w:pPr>
    <w:rPr>
      <w:rFonts w:ascii="宋体" w:hAnsi="宋体" w:cs="宋体"/>
      <w:color w:val="000000"/>
      <w:kern w:val="0"/>
      <w:sz w:val="18"/>
      <w:szCs w:val="18"/>
    </w:rPr>
  </w:style>
  <w:style w:type="paragraph" w:customStyle="1" w:styleId="1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120">
    <w:name w:val="正文首行缩进 2 Char"/>
    <w:basedOn w:val="79"/>
    <w:link w:val="41"/>
    <w:qFormat/>
    <w:uiPriority w:val="0"/>
    <w:rPr>
      <w:rFonts w:ascii="Times New Roman" w:hAnsi="Times New Roman" w:eastAsia="宋体" w:cs="Times New Roman"/>
      <w:kern w:val="2"/>
      <w:sz w:val="28"/>
      <w:szCs w:val="24"/>
    </w:rPr>
  </w:style>
  <w:style w:type="character" w:customStyle="1" w:styleId="121">
    <w:name w:val="正文首行缩进 Char"/>
    <w:basedOn w:val="78"/>
    <w:link w:val="2"/>
    <w:qFormat/>
    <w:uiPriority w:val="99"/>
    <w:rPr>
      <w:rFonts w:ascii="Calibri" w:hAnsi="Calibri" w:eastAsia="宋体" w:cs="Times New Roman"/>
      <w:kern w:val="2"/>
      <w:sz w:val="21"/>
      <w:szCs w:val="22"/>
    </w:rPr>
  </w:style>
  <w:style w:type="character" w:customStyle="1" w:styleId="122">
    <w:name w:val="正文文本 3 Char"/>
    <w:basedOn w:val="44"/>
    <w:link w:val="20"/>
    <w:qFormat/>
    <w:uiPriority w:val="0"/>
    <w:rPr>
      <w:rFonts w:ascii="Times New Roman" w:hAnsi="宋体" w:eastAsia="仿宋_GB2312" w:cs="Times New Roman"/>
      <w:b/>
      <w:bCs/>
      <w:kern w:val="2"/>
      <w:sz w:val="24"/>
    </w:rPr>
  </w:style>
  <w:style w:type="character" w:customStyle="1" w:styleId="123">
    <w:name w:val="标题 Char"/>
    <w:basedOn w:val="44"/>
    <w:link w:val="39"/>
    <w:qFormat/>
    <w:uiPriority w:val="0"/>
    <w:rPr>
      <w:rFonts w:ascii="Arial" w:hAnsi="Arial" w:eastAsia="宋体" w:cs="Arial"/>
      <w:b/>
      <w:bCs/>
      <w:kern w:val="2"/>
      <w:sz w:val="32"/>
      <w:szCs w:val="32"/>
    </w:rPr>
  </w:style>
  <w:style w:type="character" w:customStyle="1" w:styleId="124">
    <w:name w:val="info-label"/>
    <w:basedOn w:val="44"/>
    <w:qFormat/>
    <w:uiPriority w:val="0"/>
    <w:rPr>
      <w:b/>
      <w:bCs/>
    </w:rPr>
  </w:style>
  <w:style w:type="character" w:customStyle="1" w:styleId="125">
    <w:name w:val="tag-type2"/>
    <w:basedOn w:val="44"/>
    <w:qFormat/>
    <w:uiPriority w:val="0"/>
    <w:rPr>
      <w:color w:val="FFFFFF"/>
      <w:sz w:val="18"/>
      <w:szCs w:val="18"/>
      <w:shd w:val="clear" w:color="auto" w:fill="317FFD"/>
    </w:rPr>
  </w:style>
  <w:style w:type="character" w:customStyle="1" w:styleId="126">
    <w:name w:val="font112"/>
    <w:qFormat/>
    <w:uiPriority w:val="0"/>
    <w:rPr>
      <w:rFonts w:hint="default" w:ascii="font-weight : 400" w:hAnsi="font-weight : 400" w:eastAsia="font-weight : 400" w:cs="font-weight : 400"/>
      <w:color w:val="000000"/>
      <w:sz w:val="20"/>
      <w:szCs w:val="20"/>
      <w:u w:val="single"/>
    </w:rPr>
  </w:style>
  <w:style w:type="character" w:customStyle="1" w:styleId="127">
    <w:name w:val="Texte Char Char"/>
    <w:qFormat/>
    <w:uiPriority w:val="0"/>
    <w:rPr>
      <w:rFonts w:ascii="宋体" w:hAnsi="Courier New" w:eastAsia="宋体"/>
      <w:sz w:val="21"/>
      <w:szCs w:val="21"/>
      <w:lang w:val="en-US" w:eastAsia="zh-CN" w:bidi="ar-SA"/>
    </w:rPr>
  </w:style>
  <w:style w:type="character" w:customStyle="1" w:styleId="128">
    <w:name w:val="tag-type"/>
    <w:basedOn w:val="44"/>
    <w:qFormat/>
    <w:uiPriority w:val="0"/>
    <w:rPr>
      <w:color w:val="FFFFFF"/>
      <w:sz w:val="18"/>
      <w:szCs w:val="18"/>
      <w:shd w:val="clear" w:color="auto" w:fill="317FFD"/>
    </w:rPr>
  </w:style>
  <w:style w:type="character" w:customStyle="1" w:styleId="129">
    <w:name w:val="ant-input30"/>
    <w:basedOn w:val="44"/>
    <w:qFormat/>
    <w:uiPriority w:val="0"/>
  </w:style>
  <w:style w:type="character" w:customStyle="1" w:styleId="130">
    <w:name w:val="first-child1"/>
    <w:basedOn w:val="44"/>
    <w:qFormat/>
    <w:uiPriority w:val="0"/>
  </w:style>
  <w:style w:type="character" w:customStyle="1" w:styleId="131">
    <w:name w:val="font121"/>
    <w:qFormat/>
    <w:uiPriority w:val="0"/>
    <w:rPr>
      <w:rFonts w:ascii="font-weight : 700" w:hAnsi="font-weight : 700" w:eastAsia="font-weight : 700" w:cs="font-weight : 700"/>
      <w:color w:val="000000"/>
      <w:sz w:val="20"/>
      <w:szCs w:val="20"/>
      <w:u w:val="single"/>
    </w:rPr>
  </w:style>
  <w:style w:type="character" w:customStyle="1" w:styleId="132">
    <w:name w:val="ant-radio+*"/>
    <w:basedOn w:val="44"/>
    <w:qFormat/>
    <w:uiPriority w:val="0"/>
  </w:style>
  <w:style w:type="character" w:customStyle="1" w:styleId="133">
    <w:name w:val="info-content"/>
    <w:basedOn w:val="44"/>
    <w:qFormat/>
    <w:uiPriority w:val="0"/>
    <w:rPr>
      <w:color w:val="808080"/>
    </w:rPr>
  </w:style>
  <w:style w:type="character" w:customStyle="1" w:styleId="134">
    <w:name w:val="current"/>
    <w:basedOn w:val="44"/>
    <w:qFormat/>
    <w:uiPriority w:val="0"/>
    <w:rPr>
      <w:color w:val="00C1DE"/>
    </w:rPr>
  </w:style>
  <w:style w:type="character" w:customStyle="1" w:styleId="135">
    <w:name w:val="font11"/>
    <w:qFormat/>
    <w:uiPriority w:val="0"/>
    <w:rPr>
      <w:rFonts w:hint="eastAsia" w:ascii="宋体" w:hAnsi="宋体" w:eastAsia="宋体" w:cs="宋体"/>
      <w:b/>
      <w:color w:val="000000"/>
      <w:sz w:val="22"/>
      <w:szCs w:val="22"/>
      <w:u w:val="none"/>
    </w:rPr>
  </w:style>
  <w:style w:type="character" w:customStyle="1" w:styleId="136">
    <w:name w:val="b2"/>
    <w:qFormat/>
    <w:uiPriority w:val="0"/>
  </w:style>
  <w:style w:type="character" w:customStyle="1" w:styleId="137">
    <w:name w:val="font51"/>
    <w:qFormat/>
    <w:uiPriority w:val="0"/>
    <w:rPr>
      <w:rFonts w:hint="eastAsia" w:ascii="宋体" w:hAnsi="宋体" w:eastAsia="宋体" w:cs="宋体"/>
      <w:color w:val="000000"/>
      <w:sz w:val="20"/>
      <w:szCs w:val="20"/>
      <w:u w:val="none"/>
    </w:rPr>
  </w:style>
  <w:style w:type="character" w:customStyle="1" w:styleId="138">
    <w:name w:val="nc-lang-cnt6"/>
    <w:basedOn w:val="44"/>
    <w:qFormat/>
    <w:uiPriority w:val="0"/>
  </w:style>
  <w:style w:type="character" w:customStyle="1" w:styleId="139">
    <w:name w:val="ant-select-tree-switcher"/>
    <w:basedOn w:val="44"/>
    <w:qFormat/>
    <w:uiPriority w:val="0"/>
  </w:style>
  <w:style w:type="character" w:customStyle="1" w:styleId="140">
    <w:name w:val="font71"/>
    <w:qFormat/>
    <w:uiPriority w:val="0"/>
    <w:rPr>
      <w:rFonts w:hint="default" w:ascii="font-weight : 400" w:hAnsi="font-weight : 400" w:eastAsia="font-weight : 400" w:cs="font-weight : 400"/>
      <w:color w:val="FF0000"/>
      <w:sz w:val="20"/>
      <w:szCs w:val="20"/>
      <w:u w:val="single"/>
    </w:rPr>
  </w:style>
  <w:style w:type="character" w:customStyle="1" w:styleId="141">
    <w:name w:val="nc-lang-cnt"/>
    <w:basedOn w:val="44"/>
    <w:qFormat/>
    <w:uiPriority w:val="0"/>
    <w:rPr>
      <w:rFonts w:hint="cs"/>
      <w:rtl/>
      <w:cs/>
    </w:rPr>
  </w:style>
  <w:style w:type="character" w:customStyle="1" w:styleId="142">
    <w:name w:val="ant-select-tree-iconele"/>
    <w:basedOn w:val="44"/>
    <w:qFormat/>
    <w:uiPriority w:val="0"/>
  </w:style>
  <w:style w:type="character" w:customStyle="1" w:styleId="143">
    <w:name w:val="Char Char Char"/>
    <w:qFormat/>
    <w:uiPriority w:val="0"/>
    <w:rPr>
      <w:rFonts w:ascii="宋体" w:hAnsi="Courier New" w:eastAsia="宋体"/>
      <w:sz w:val="21"/>
      <w:szCs w:val="21"/>
      <w:lang w:val="en-US" w:eastAsia="zh-CN" w:bidi="ar-SA"/>
    </w:rPr>
  </w:style>
  <w:style w:type="character" w:customStyle="1" w:styleId="144">
    <w:name w:val="ant-select-tree-checkbox2"/>
    <w:basedOn w:val="44"/>
    <w:qFormat/>
    <w:uiPriority w:val="0"/>
  </w:style>
  <w:style w:type="character" w:customStyle="1" w:styleId="145">
    <w:name w:val="样式 样式3 + 非加粗 Char"/>
    <w:link w:val="146"/>
    <w:qFormat/>
    <w:uiPriority w:val="0"/>
    <w:rPr>
      <w:rFonts w:ascii="宋体" w:hAnsi="宋体"/>
      <w:b/>
      <w:bCs/>
      <w:color w:val="000000"/>
      <w:kern w:val="2"/>
      <w:sz w:val="24"/>
      <w:szCs w:val="24"/>
    </w:rPr>
  </w:style>
  <w:style w:type="paragraph" w:customStyle="1" w:styleId="146">
    <w:name w:val="样式 样式3 + 非加粗"/>
    <w:basedOn w:val="1"/>
    <w:link w:val="145"/>
    <w:qFormat/>
    <w:uiPriority w:val="0"/>
    <w:pPr>
      <w:adjustRightInd w:val="0"/>
      <w:snapToGrid w:val="0"/>
      <w:spacing w:line="300" w:lineRule="auto"/>
    </w:pPr>
    <w:rPr>
      <w:rFonts w:ascii="宋体" w:hAnsi="宋体" w:eastAsiaTheme="minorEastAsia" w:cstheme="minorBidi"/>
      <w:b/>
      <w:bCs/>
      <w:color w:val="000000"/>
      <w:sz w:val="24"/>
    </w:rPr>
  </w:style>
  <w:style w:type="character" w:customStyle="1" w:styleId="147">
    <w:name w:val="font101"/>
    <w:qFormat/>
    <w:uiPriority w:val="0"/>
    <w:rPr>
      <w:rFonts w:hint="default" w:ascii="font-weight : 400" w:hAnsi="font-weight : 400" w:eastAsia="font-weight : 400" w:cs="font-weight : 400"/>
      <w:color w:val="000000"/>
      <w:sz w:val="22"/>
      <w:szCs w:val="22"/>
      <w:u w:val="single"/>
    </w:rPr>
  </w:style>
  <w:style w:type="character" w:customStyle="1" w:styleId="148">
    <w:name w:val="标书正文样式 Char"/>
    <w:link w:val="149"/>
    <w:qFormat/>
    <w:uiPriority w:val="0"/>
    <w:rPr>
      <w:rFonts w:ascii="仿宋_GB2312" w:hAnsi="Arial" w:eastAsia="仿宋_GB2312"/>
      <w:kern w:val="2"/>
      <w:sz w:val="28"/>
      <w:szCs w:val="28"/>
    </w:rPr>
  </w:style>
  <w:style w:type="paragraph" w:customStyle="1" w:styleId="149">
    <w:name w:val="标书正文样式"/>
    <w:basedOn w:val="1"/>
    <w:link w:val="148"/>
    <w:qFormat/>
    <w:uiPriority w:val="0"/>
    <w:pPr>
      <w:ind w:firstLine="560" w:firstLineChars="200"/>
      <w:jc w:val="left"/>
    </w:pPr>
    <w:rPr>
      <w:rFonts w:ascii="仿宋_GB2312" w:hAnsi="Arial" w:eastAsia="仿宋_GB2312" w:cstheme="minorBidi"/>
      <w:szCs w:val="28"/>
    </w:rPr>
  </w:style>
  <w:style w:type="character" w:customStyle="1" w:styleId="150">
    <w:name w:val="f16b1"/>
    <w:qFormat/>
    <w:uiPriority w:val="0"/>
    <w:rPr>
      <w:b/>
      <w:bCs/>
      <w:color w:val="333333"/>
      <w:sz w:val="22"/>
      <w:szCs w:val="22"/>
    </w:rPr>
  </w:style>
  <w:style w:type="character" w:customStyle="1" w:styleId="151">
    <w:name w:val="ant-radio+*1"/>
    <w:basedOn w:val="44"/>
    <w:qFormat/>
    <w:uiPriority w:val="0"/>
  </w:style>
  <w:style w:type="character" w:customStyle="1" w:styleId="152">
    <w:name w:val="tag-type1"/>
    <w:basedOn w:val="44"/>
    <w:qFormat/>
    <w:uiPriority w:val="0"/>
    <w:rPr>
      <w:color w:val="FFFFFF"/>
      <w:sz w:val="18"/>
      <w:szCs w:val="18"/>
      <w:shd w:val="clear" w:color="auto" w:fill="317FFD"/>
    </w:rPr>
  </w:style>
  <w:style w:type="character" w:customStyle="1" w:styleId="153">
    <w:name w:val="font81"/>
    <w:qFormat/>
    <w:uiPriority w:val="0"/>
    <w:rPr>
      <w:rFonts w:hint="default" w:ascii="font-weight : 400" w:hAnsi="font-weight : 400" w:eastAsia="font-weight : 400" w:cs="font-weight : 400"/>
      <w:color w:val="000000"/>
      <w:sz w:val="20"/>
      <w:szCs w:val="20"/>
      <w:u w:val="single"/>
    </w:rPr>
  </w:style>
  <w:style w:type="character" w:customStyle="1" w:styleId="154">
    <w:name w:val="nc-lang-cnt5"/>
    <w:basedOn w:val="44"/>
    <w:qFormat/>
    <w:uiPriority w:val="0"/>
    <w:rPr>
      <w:rFonts w:hint="cs"/>
      <w:rtl/>
      <w:cs/>
    </w:rPr>
  </w:style>
  <w:style w:type="character" w:customStyle="1" w:styleId="155">
    <w:name w:val="font141"/>
    <w:qFormat/>
    <w:uiPriority w:val="0"/>
    <w:rPr>
      <w:rFonts w:hint="default" w:ascii="font-weight : 400" w:hAnsi="font-weight : 400" w:eastAsia="font-weight : 400" w:cs="font-weight : 400"/>
      <w:color w:val="FF0000"/>
      <w:sz w:val="22"/>
      <w:szCs w:val="22"/>
      <w:u w:val="single"/>
    </w:rPr>
  </w:style>
  <w:style w:type="character" w:customStyle="1" w:styleId="156">
    <w:name w:val="正文（首行缩进两字） Char1"/>
    <w:qFormat/>
    <w:uiPriority w:val="0"/>
    <w:rPr>
      <w:rFonts w:eastAsia="仿宋_GB2312"/>
      <w:kern w:val="2"/>
      <w:sz w:val="28"/>
      <w:szCs w:val="24"/>
    </w:rPr>
  </w:style>
  <w:style w:type="character" w:customStyle="1" w:styleId="157">
    <w:name w:val="title1"/>
    <w:qFormat/>
    <w:uiPriority w:val="0"/>
    <w:rPr>
      <w:rFonts w:hint="eastAsia" w:ascii="宋体" w:hAnsi="宋体" w:eastAsia="宋体"/>
      <w:b/>
      <w:bCs/>
      <w:sz w:val="22"/>
      <w:szCs w:val="22"/>
    </w:rPr>
  </w:style>
  <w:style w:type="character" w:customStyle="1" w:styleId="158">
    <w:name w:val="nc-lang-cnt1"/>
    <w:basedOn w:val="44"/>
    <w:qFormat/>
    <w:uiPriority w:val="0"/>
    <w:rPr>
      <w:rFonts w:hint="cs"/>
      <w:rtl/>
      <w:cs/>
    </w:rPr>
  </w:style>
  <w:style w:type="character" w:customStyle="1" w:styleId="159">
    <w:name w:val="UserStyle_0"/>
    <w:link w:val="160"/>
    <w:qFormat/>
    <w:uiPriority w:val="0"/>
    <w:rPr>
      <w:kern w:val="2"/>
      <w:sz w:val="21"/>
      <w:szCs w:val="24"/>
    </w:rPr>
  </w:style>
  <w:style w:type="paragraph" w:customStyle="1" w:styleId="160">
    <w:name w:val="BodyText"/>
    <w:basedOn w:val="1"/>
    <w:next w:val="1"/>
    <w:link w:val="159"/>
    <w:qFormat/>
    <w:uiPriority w:val="0"/>
    <w:pPr>
      <w:widowControl/>
      <w:spacing w:after="120"/>
      <w:textAlignment w:val="baseline"/>
    </w:pPr>
    <w:rPr>
      <w:rFonts w:asciiTheme="minorHAnsi" w:hAnsiTheme="minorHAnsi" w:eastAsiaTheme="minorEastAsia" w:cstheme="minorBidi"/>
      <w:sz w:val="21"/>
    </w:rPr>
  </w:style>
  <w:style w:type="character" w:customStyle="1" w:styleId="161">
    <w:name w:val="nc-lang-cnt2"/>
    <w:basedOn w:val="44"/>
    <w:qFormat/>
    <w:uiPriority w:val="0"/>
    <w:rPr>
      <w:rFonts w:hint="cs"/>
      <w:rtl/>
      <w:cs/>
    </w:rPr>
  </w:style>
  <w:style w:type="character" w:customStyle="1" w:styleId="162">
    <w:name w:val="font131"/>
    <w:qFormat/>
    <w:uiPriority w:val="0"/>
    <w:rPr>
      <w:rFonts w:hint="default" w:ascii="font-weight : 700" w:hAnsi="font-weight : 700" w:eastAsia="font-weight : 700" w:cs="font-weight : 700"/>
      <w:color w:val="FF0000"/>
      <w:sz w:val="20"/>
      <w:szCs w:val="20"/>
      <w:u w:val="single"/>
    </w:rPr>
  </w:style>
  <w:style w:type="character" w:customStyle="1" w:styleId="163">
    <w:name w:val="ant-table-tbody1"/>
    <w:basedOn w:val="44"/>
    <w:qFormat/>
    <w:uiPriority w:val="0"/>
  </w:style>
  <w:style w:type="character" w:customStyle="1" w:styleId="164">
    <w:name w:val="font41"/>
    <w:qFormat/>
    <w:uiPriority w:val="0"/>
    <w:rPr>
      <w:rFonts w:hint="eastAsia" w:ascii="宋体" w:hAnsi="宋体" w:eastAsia="宋体" w:cs="宋体"/>
      <w:b/>
      <w:color w:val="FF0000"/>
      <w:sz w:val="22"/>
      <w:szCs w:val="22"/>
      <w:u w:val="none"/>
    </w:rPr>
  </w:style>
  <w:style w:type="character" w:customStyle="1" w:styleId="165">
    <w:name w:val="NormalCharacter"/>
    <w:qFormat/>
    <w:uiPriority w:val="0"/>
    <w:rPr>
      <w:kern w:val="2"/>
      <w:sz w:val="21"/>
      <w:szCs w:val="24"/>
      <w:lang w:val="en-US" w:eastAsia="zh-CN" w:bidi="ar-SA"/>
    </w:rPr>
  </w:style>
  <w:style w:type="character" w:customStyle="1" w:styleId="166">
    <w:name w:val="招标正文 Char Char"/>
    <w:link w:val="167"/>
    <w:qFormat/>
    <w:uiPriority w:val="0"/>
    <w:rPr>
      <w:snapToGrid w:val="0"/>
      <w:sz w:val="24"/>
      <w:szCs w:val="24"/>
      <w:lang w:val="en-GB"/>
    </w:rPr>
  </w:style>
  <w:style w:type="paragraph" w:customStyle="1" w:styleId="167">
    <w:name w:val="招标正文"/>
    <w:basedOn w:val="1"/>
    <w:link w:val="166"/>
    <w:qFormat/>
    <w:uiPriority w:val="0"/>
    <w:pPr>
      <w:widowControl/>
      <w:spacing w:line="360" w:lineRule="auto"/>
      <w:ind w:firstLine="480" w:firstLineChars="200"/>
    </w:pPr>
    <w:rPr>
      <w:rFonts w:asciiTheme="minorHAnsi" w:hAnsiTheme="minorHAnsi" w:eastAsiaTheme="minorEastAsia" w:cstheme="minorBidi"/>
      <w:snapToGrid w:val="0"/>
      <w:kern w:val="0"/>
      <w:sz w:val="24"/>
      <w:lang w:val="en-GB"/>
    </w:rPr>
  </w:style>
  <w:style w:type="character" w:customStyle="1" w:styleId="168">
    <w:name w:val="普通文字 Char"/>
    <w:qFormat/>
    <w:uiPriority w:val="0"/>
    <w:rPr>
      <w:rFonts w:ascii="宋体" w:hAnsi="Courier New"/>
      <w:kern w:val="2"/>
      <w:sz w:val="21"/>
      <w:lang w:bidi="ar-SA"/>
    </w:rPr>
  </w:style>
  <w:style w:type="character" w:customStyle="1" w:styleId="169">
    <w:name w:val="nc-lang-cnt3"/>
    <w:basedOn w:val="44"/>
    <w:qFormat/>
    <w:uiPriority w:val="0"/>
  </w:style>
  <w:style w:type="character" w:customStyle="1" w:styleId="170">
    <w:name w:val="current1"/>
    <w:basedOn w:val="44"/>
    <w:qFormat/>
    <w:uiPriority w:val="0"/>
    <w:rPr>
      <w:color w:val="00C1DE"/>
    </w:rPr>
  </w:style>
  <w:style w:type="character" w:customStyle="1" w:styleId="171">
    <w:name w:val="last-span"/>
    <w:basedOn w:val="44"/>
    <w:qFormat/>
    <w:uiPriority w:val="0"/>
  </w:style>
  <w:style w:type="character" w:customStyle="1" w:styleId="172">
    <w:name w:val="nc-lang-cnt4"/>
    <w:basedOn w:val="44"/>
    <w:qFormat/>
    <w:uiPriority w:val="0"/>
  </w:style>
  <w:style w:type="character" w:customStyle="1" w:styleId="173">
    <w:name w:val="px141"/>
    <w:qFormat/>
    <w:uiPriority w:val="0"/>
    <w:rPr>
      <w:sz w:val="21"/>
      <w:szCs w:val="21"/>
    </w:rPr>
  </w:style>
  <w:style w:type="character" w:customStyle="1" w:styleId="174">
    <w:name w:val="font61"/>
    <w:qFormat/>
    <w:uiPriority w:val="0"/>
    <w:rPr>
      <w:rFonts w:hint="eastAsia" w:ascii="宋体" w:hAnsi="宋体" w:eastAsia="宋体" w:cs="宋体"/>
      <w:color w:val="FF0000"/>
      <w:sz w:val="20"/>
      <w:szCs w:val="20"/>
      <w:u w:val="none"/>
    </w:rPr>
  </w:style>
  <w:style w:type="character" w:customStyle="1" w:styleId="175">
    <w:name w:val="font91"/>
    <w:qFormat/>
    <w:uiPriority w:val="0"/>
    <w:rPr>
      <w:rFonts w:hint="eastAsia" w:ascii="宋体" w:hAnsi="宋体" w:eastAsia="宋体" w:cs="宋体"/>
      <w:color w:val="000000"/>
      <w:sz w:val="20"/>
      <w:szCs w:val="20"/>
      <w:u w:val="none"/>
    </w:rPr>
  </w:style>
  <w:style w:type="character" w:customStyle="1" w:styleId="176">
    <w:name w:val="font31"/>
    <w:qFormat/>
    <w:uiPriority w:val="0"/>
    <w:rPr>
      <w:rFonts w:hint="eastAsia" w:ascii="宋体" w:hAnsi="宋体" w:eastAsia="宋体" w:cs="宋体"/>
      <w:b/>
      <w:color w:val="000000"/>
      <w:sz w:val="22"/>
      <w:szCs w:val="22"/>
      <w:u w:val="none"/>
    </w:rPr>
  </w:style>
  <w:style w:type="character" w:customStyle="1" w:styleId="177">
    <w:name w:val="last-child"/>
    <w:basedOn w:val="44"/>
    <w:qFormat/>
    <w:uiPriority w:val="0"/>
  </w:style>
  <w:style w:type="paragraph" w:customStyle="1" w:styleId="178">
    <w:name w:val="B"/>
    <w:basedOn w:val="1"/>
    <w:qFormat/>
    <w:uiPriority w:val="0"/>
    <w:pPr>
      <w:tabs>
        <w:tab w:val="center" w:pos="4706"/>
        <w:tab w:val="right" w:pos="9044"/>
      </w:tabs>
      <w:topLinePunct/>
      <w:spacing w:before="160" w:after="60" w:line="312" w:lineRule="exact"/>
      <w:jc w:val="center"/>
    </w:pPr>
    <w:rPr>
      <w:rFonts w:ascii="E-F1" w:hAnsi="宋体" w:eastAsia="黑体" w:cs="宋体"/>
      <w:sz w:val="24"/>
      <w:szCs w:val="21"/>
    </w:rPr>
  </w:style>
  <w:style w:type="paragraph" w:customStyle="1" w:styleId="179">
    <w:name w:val="表格内字体字号"/>
    <w:basedOn w:val="1"/>
    <w:qFormat/>
    <w:uiPriority w:val="0"/>
    <w:pPr>
      <w:topLinePunct/>
      <w:snapToGrid w:val="0"/>
      <w:spacing w:beforeLines="20" w:afterLines="20" w:line="360" w:lineRule="auto"/>
      <w:ind w:left="30" w:leftChars="30" w:right="30" w:rightChars="30"/>
      <w:jc w:val="center"/>
    </w:pPr>
    <w:rPr>
      <w:rFonts w:ascii="宋体" w:hAnsi="宋体" w:cs="宋体"/>
      <w:sz w:val="18"/>
      <w:szCs w:val="18"/>
    </w:rPr>
  </w:style>
  <w:style w:type="paragraph" w:customStyle="1" w:styleId="180">
    <w:name w:val="reader-word-layer reader-word-s3-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181">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182">
    <w:name w:val="注×："/>
    <w:qFormat/>
    <w:uiPriority w:val="0"/>
    <w:pPr>
      <w:widowControl w:val="0"/>
      <w:numPr>
        <w:ilvl w:val="0"/>
        <w:numId w:val="3"/>
      </w:numPr>
      <w:tabs>
        <w:tab w:val="left" w:pos="315"/>
      </w:tabs>
      <w:autoSpaceDE w:val="0"/>
      <w:autoSpaceDN w:val="0"/>
      <w:jc w:val="both"/>
    </w:pPr>
    <w:rPr>
      <w:rFonts w:ascii="宋体" w:hAnsi="Times New Roman" w:eastAsia="宋体" w:cs="Times New Roman"/>
      <w:sz w:val="18"/>
      <w:szCs w:val="18"/>
      <w:lang w:val="en-US" w:eastAsia="zh-CN" w:bidi="ar-SA"/>
    </w:rPr>
  </w:style>
  <w:style w:type="paragraph" w:customStyle="1" w:styleId="183">
    <w:name w:val="BodyText1I"/>
    <w:basedOn w:val="1"/>
    <w:next w:val="1"/>
    <w:qFormat/>
    <w:uiPriority w:val="0"/>
    <w:pPr>
      <w:widowControl/>
      <w:spacing w:after="120"/>
      <w:ind w:firstLine="420" w:firstLineChars="100"/>
      <w:textAlignment w:val="baseline"/>
    </w:pPr>
    <w:rPr>
      <w:rFonts w:cs="宋体"/>
      <w:sz w:val="21"/>
    </w:rPr>
  </w:style>
  <w:style w:type="paragraph" w:customStyle="1" w:styleId="184">
    <w:name w:val="Char Char Char Char Char Char"/>
    <w:basedOn w:val="1"/>
    <w:qFormat/>
    <w:uiPriority w:val="0"/>
    <w:pPr>
      <w:ind w:firstLine="200" w:firstLineChars="200"/>
    </w:pPr>
    <w:rPr>
      <w:rFonts w:ascii="Tahoma" w:hAnsi="Tahoma" w:cs="Tahoma"/>
      <w:sz w:val="24"/>
    </w:rPr>
  </w:style>
  <w:style w:type="paragraph" w:customStyle="1" w:styleId="185">
    <w:name w:val="H0正文"/>
    <w:basedOn w:val="1"/>
    <w:qFormat/>
    <w:uiPriority w:val="0"/>
    <w:pPr>
      <w:spacing w:line="360" w:lineRule="auto"/>
      <w:ind w:firstLine="480" w:firstLineChars="200"/>
    </w:pPr>
    <w:rPr>
      <w:rFonts w:ascii="Arial" w:hAnsi="Arial"/>
      <w:sz w:val="24"/>
      <w:szCs w:val="21"/>
    </w:rPr>
  </w:style>
  <w:style w:type="paragraph" w:customStyle="1" w:styleId="186">
    <w:name w:val="UserStyle_65"/>
    <w:basedOn w:val="1"/>
    <w:qFormat/>
    <w:uiPriority w:val="0"/>
    <w:pPr>
      <w:widowControl/>
      <w:spacing w:line="400" w:lineRule="exact"/>
      <w:ind w:firstLine="480" w:firstLineChars="200"/>
      <w:textAlignment w:val="baseline"/>
    </w:pPr>
    <w:rPr>
      <w:rFonts w:ascii="宋体" w:hAnsi="宋体" w:cs="宋体"/>
      <w:sz w:val="24"/>
    </w:rPr>
  </w:style>
  <w:style w:type="paragraph" w:customStyle="1" w:styleId="187">
    <w:name w:val="列出段落11"/>
    <w:basedOn w:val="1"/>
    <w:qFormat/>
    <w:uiPriority w:val="99"/>
    <w:pPr>
      <w:widowControl/>
      <w:spacing w:line="360" w:lineRule="auto"/>
      <w:ind w:firstLine="420" w:firstLineChars="200"/>
      <w:jc w:val="left"/>
    </w:pPr>
    <w:rPr>
      <w:rFonts w:ascii="宋体" w:hAnsi="宋体" w:eastAsia="等线" w:cs="宋体"/>
      <w:kern w:val="0"/>
      <w:sz w:val="24"/>
      <w:lang w:eastAsia="en-US"/>
    </w:rPr>
  </w:style>
  <w:style w:type="paragraph" w:customStyle="1" w:styleId="188">
    <w:name w:val="reader-word-layer reader-word-s2-5"/>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189">
    <w:name w:val="纯文本 New New"/>
    <w:basedOn w:val="1"/>
    <w:qFormat/>
    <w:uiPriority w:val="0"/>
    <w:pPr>
      <w:widowControl/>
      <w:overflowPunct w:val="0"/>
      <w:autoSpaceDE w:val="0"/>
      <w:autoSpaceDN w:val="0"/>
      <w:adjustRightInd w:val="0"/>
      <w:jc w:val="left"/>
      <w:textAlignment w:val="baseline"/>
    </w:pPr>
    <w:rPr>
      <w:rFonts w:ascii="宋体" w:hAnsi="Courier New"/>
      <w:sz w:val="21"/>
      <w:szCs w:val="21"/>
    </w:rPr>
  </w:style>
  <w:style w:type="paragraph" w:customStyle="1" w:styleId="190">
    <w:name w:val="章正文"/>
    <w:basedOn w:val="1"/>
    <w:qFormat/>
    <w:locked/>
    <w:uiPriority w:val="0"/>
    <w:pPr>
      <w:spacing w:beforeLines="50" w:after="120" w:line="300" w:lineRule="auto"/>
      <w:ind w:firstLine="480"/>
    </w:pPr>
    <w:rPr>
      <w:rFonts w:ascii="Helvetica" w:hAnsi="Helvetica"/>
      <w:kern w:val="0"/>
      <w:sz w:val="21"/>
    </w:rPr>
  </w:style>
  <w:style w:type="paragraph" w:styleId="191">
    <w:name w:val="List Paragraph"/>
    <w:basedOn w:val="1"/>
    <w:qFormat/>
    <w:uiPriority w:val="34"/>
    <w:pPr>
      <w:ind w:firstLine="420" w:firstLineChars="200"/>
    </w:pPr>
    <w:rPr>
      <w:rFonts w:ascii="Calibri" w:hAnsi="Calibri"/>
      <w:sz w:val="21"/>
      <w:szCs w:val="22"/>
    </w:rPr>
  </w:style>
  <w:style w:type="paragraph" w:customStyle="1" w:styleId="192">
    <w:name w:val="段"/>
    <w:qFormat/>
    <w:uiPriority w:val="0"/>
    <w:pPr>
      <w:ind w:firstLine="200" w:firstLineChars="200"/>
      <w:jc w:val="both"/>
    </w:pPr>
    <w:rPr>
      <w:rFonts w:ascii="Times New Roman" w:hAnsi="Times New Roman" w:eastAsia="宋体" w:cs="Times New Roman"/>
      <w:sz w:val="21"/>
      <w:lang w:val="en-US" w:eastAsia="zh-CN" w:bidi="ar-SA"/>
    </w:rPr>
  </w:style>
  <w:style w:type="paragraph" w:customStyle="1" w:styleId="193">
    <w:name w:val="UserStyle_66"/>
    <w:basedOn w:val="1"/>
    <w:qFormat/>
    <w:uiPriority w:val="0"/>
    <w:pPr>
      <w:widowControl/>
      <w:ind w:firstLine="420" w:firstLineChars="200"/>
      <w:textAlignment w:val="baseline"/>
    </w:pPr>
    <w:rPr>
      <w:rFonts w:cs="宋体"/>
      <w:sz w:val="21"/>
    </w:rPr>
  </w:style>
  <w:style w:type="paragraph" w:customStyle="1" w:styleId="194">
    <w:name w:val="Char"/>
    <w:basedOn w:val="1"/>
    <w:qFormat/>
    <w:uiPriority w:val="0"/>
    <w:rPr>
      <w:rFonts w:eastAsia="仿宋_GB2312"/>
    </w:rPr>
  </w:style>
  <w:style w:type="paragraph" w:customStyle="1" w:styleId="195">
    <w:name w:val="保留正文"/>
    <w:basedOn w:val="3"/>
    <w:qFormat/>
    <w:uiPriority w:val="0"/>
    <w:pPr>
      <w:keepNext/>
      <w:spacing w:after="160"/>
    </w:pPr>
    <w:rPr>
      <w:sz w:val="21"/>
      <w:szCs w:val="20"/>
    </w:rPr>
  </w:style>
  <w:style w:type="paragraph" w:customStyle="1" w:styleId="196">
    <w:name w:val="table_1stline"/>
    <w:basedOn w:val="1"/>
    <w:qFormat/>
    <w:uiPriority w:val="0"/>
    <w:pPr>
      <w:widowControl/>
      <w:spacing w:before="120"/>
      <w:jc w:val="left"/>
    </w:pPr>
    <w:rPr>
      <w:bCs/>
      <w:kern w:val="0"/>
      <w:sz w:val="20"/>
      <w:szCs w:val="20"/>
      <w:lang w:val="de-DE" w:eastAsia="de-DE"/>
    </w:rPr>
  </w:style>
  <w:style w:type="paragraph" w:customStyle="1" w:styleId="197">
    <w:name w:val="Char1"/>
    <w:basedOn w:val="1"/>
    <w:qFormat/>
    <w:uiPriority w:val="0"/>
    <w:rPr>
      <w:rFonts w:ascii="仿宋_GB2312" w:eastAsia="仿宋_GB2312"/>
      <w:b/>
      <w:sz w:val="32"/>
      <w:szCs w:val="32"/>
    </w:rPr>
  </w:style>
  <w:style w:type="paragraph" w:customStyle="1" w:styleId="198">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199">
    <w:name w:val="列表段落2"/>
    <w:basedOn w:val="1"/>
    <w:qFormat/>
    <w:uiPriority w:val="99"/>
    <w:pPr>
      <w:ind w:firstLine="420" w:firstLineChars="200"/>
    </w:pPr>
    <w:rPr>
      <w:sz w:val="21"/>
    </w:rPr>
  </w:style>
  <w:style w:type="paragraph" w:customStyle="1" w:styleId="200">
    <w:name w:val="_Style 1"/>
    <w:basedOn w:val="1"/>
    <w:qFormat/>
    <w:uiPriority w:val="34"/>
    <w:pPr>
      <w:ind w:firstLine="420" w:firstLineChars="200"/>
    </w:pPr>
    <w:rPr>
      <w:rFonts w:ascii="Calibri" w:hAnsi="Calibri"/>
      <w:sz w:val="21"/>
    </w:rPr>
  </w:style>
  <w:style w:type="paragraph" w:customStyle="1" w:styleId="201">
    <w:name w:val="Char3"/>
    <w:basedOn w:val="18"/>
    <w:qFormat/>
    <w:uiPriority w:val="0"/>
    <w:pPr>
      <w:shd w:val="clear" w:color="auto" w:fill="000080"/>
    </w:pPr>
    <w:rPr>
      <w:rFonts w:ascii="Times New Roman" w:hAnsi="Times New Roman"/>
      <w:sz w:val="21"/>
    </w:rPr>
  </w:style>
  <w:style w:type="paragraph" w:customStyle="1" w:styleId="202">
    <w:name w:val="Default"/>
    <w:next w:val="20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0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4">
    <w:name w:val="正文2"/>
    <w:basedOn w:val="1"/>
    <w:qFormat/>
    <w:uiPriority w:val="0"/>
    <w:pPr>
      <w:spacing w:before="156" w:line="360" w:lineRule="auto"/>
      <w:ind w:firstLine="510" w:firstLineChars="200"/>
    </w:pPr>
    <w:rPr>
      <w:sz w:val="24"/>
      <w:szCs w:val="20"/>
    </w:rPr>
  </w:style>
  <w:style w:type="paragraph" w:customStyle="1" w:styleId="205">
    <w:name w:val="正文文字2"/>
    <w:basedOn w:val="3"/>
    <w:qFormat/>
    <w:uiPriority w:val="0"/>
    <w:pPr>
      <w:widowControl/>
      <w:adjustRightInd w:val="0"/>
      <w:spacing w:after="60" w:line="360" w:lineRule="atLeast"/>
      <w:ind w:left="72" w:leftChars="30" w:right="72" w:rightChars="30" w:firstLine="200" w:firstLineChars="200"/>
      <w:jc w:val="center"/>
      <w:textAlignment w:val="baseline"/>
    </w:pPr>
    <w:rPr>
      <w:rFonts w:ascii="Arial" w:eastAsia="黑体"/>
      <w:kern w:val="0"/>
      <w:sz w:val="21"/>
      <w:szCs w:val="20"/>
    </w:rPr>
  </w:style>
  <w:style w:type="paragraph" w:customStyle="1" w:styleId="20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207">
    <w:name w:val="表格文字"/>
    <w:basedOn w:val="26"/>
    <w:next w:val="3"/>
    <w:qFormat/>
    <w:uiPriority w:val="99"/>
    <w:pPr>
      <w:widowControl/>
      <w:overflowPunct w:val="0"/>
      <w:autoSpaceDE w:val="0"/>
      <w:autoSpaceDN w:val="0"/>
      <w:adjustRightInd w:val="0"/>
      <w:spacing w:beforeLines="0" w:afterLines="0" w:line="420" w:lineRule="atLeast"/>
      <w:jc w:val="left"/>
      <w:textAlignment w:val="baseline"/>
    </w:pPr>
    <w:rPr>
      <w:kern w:val="0"/>
      <w:sz w:val="21"/>
      <w:szCs w:val="21"/>
    </w:rPr>
  </w:style>
  <w:style w:type="paragraph" w:customStyle="1" w:styleId="208">
    <w:name w:val="正文 1"/>
    <w:basedOn w:val="1"/>
    <w:qFormat/>
    <w:uiPriority w:val="0"/>
    <w:pPr>
      <w:widowControl/>
      <w:adjustRightInd w:val="0"/>
      <w:snapToGrid w:val="0"/>
      <w:spacing w:before="40" w:after="40" w:line="360" w:lineRule="auto"/>
      <w:ind w:left="1134"/>
      <w:jc w:val="left"/>
    </w:pPr>
    <w:rPr>
      <w:sz w:val="21"/>
      <w:szCs w:val="20"/>
    </w:rPr>
  </w:style>
  <w:style w:type="paragraph" w:customStyle="1" w:styleId="209">
    <w:name w:val="[基本段落]"/>
    <w:basedOn w:val="1"/>
    <w:qFormat/>
    <w:uiPriority w:val="99"/>
    <w:pPr>
      <w:autoSpaceDE w:val="0"/>
      <w:autoSpaceDN w:val="0"/>
      <w:adjustRightInd w:val="0"/>
      <w:spacing w:line="288" w:lineRule="auto"/>
    </w:pPr>
    <w:rPr>
      <w:rFonts w:ascii="宋体" w:cs="宋体"/>
      <w:color w:val="000000"/>
      <w:kern w:val="0"/>
      <w:sz w:val="24"/>
      <w:lang w:val="zh-CN"/>
    </w:rPr>
  </w:style>
  <w:style w:type="paragraph" w:customStyle="1" w:styleId="210">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11">
    <w:name w:val="Char Char"/>
    <w:basedOn w:val="1"/>
    <w:qFormat/>
    <w:uiPriority w:val="0"/>
    <w:rPr>
      <w:rFonts w:ascii="仿宋_GB2312" w:eastAsia="仿宋_GB2312"/>
      <w:b/>
      <w:sz w:val="32"/>
      <w:szCs w:val="32"/>
    </w:rPr>
  </w:style>
  <w:style w:type="paragraph" w:customStyle="1" w:styleId="212">
    <w:name w:val="reader-word-layer reader-word-s2-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213">
    <w:name w:val="样式1"/>
    <w:basedOn w:val="1"/>
    <w:qFormat/>
    <w:uiPriority w:val="0"/>
    <w:rPr>
      <w:b/>
      <w:color w:val="538135"/>
    </w:rPr>
  </w:style>
  <w:style w:type="paragraph" w:customStyle="1" w:styleId="214">
    <w:name w:val="正文表标题"/>
    <w:next w:val="19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215">
    <w:name w:val="正文1"/>
    <w:basedOn w:val="1"/>
    <w:qFormat/>
    <w:uiPriority w:val="0"/>
    <w:pPr>
      <w:tabs>
        <w:tab w:val="left" w:pos="420"/>
      </w:tabs>
      <w:spacing w:line="360" w:lineRule="auto"/>
      <w:ind w:firstLine="432"/>
    </w:pPr>
    <w:rPr>
      <w:rFonts w:ascii="宋体" w:hAnsi="宋体"/>
      <w:b/>
      <w:sz w:val="24"/>
    </w:rPr>
  </w:style>
  <w:style w:type="paragraph" w:customStyle="1" w:styleId="21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218">
    <w:name w:val="Char Char Char Char Char Char Char"/>
    <w:basedOn w:val="1"/>
    <w:qFormat/>
    <w:uiPriority w:val="0"/>
    <w:rPr>
      <w:rFonts w:ascii="仿宋_GB2312" w:eastAsia="仿宋_GB2312"/>
      <w:b/>
      <w:sz w:val="32"/>
      <w:szCs w:val="32"/>
    </w:rPr>
  </w:style>
  <w:style w:type="paragraph" w:customStyle="1" w:styleId="219">
    <w:name w:val="Char Char Char Char Char Char Char Char Char Char Char Char Char"/>
    <w:basedOn w:val="1"/>
    <w:qFormat/>
    <w:uiPriority w:val="0"/>
    <w:rPr>
      <w:rFonts w:ascii="Tahoma" w:hAnsi="Tahoma"/>
      <w:sz w:val="24"/>
      <w:szCs w:val="20"/>
    </w:rPr>
  </w:style>
  <w:style w:type="paragraph" w:customStyle="1" w:styleId="220">
    <w:name w:val="正文_0_0"/>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9528</Words>
  <Characters>54310</Characters>
  <Lines>452</Lines>
  <Paragraphs>127</Paragraphs>
  <TotalTime>7</TotalTime>
  <ScaleCrop>false</ScaleCrop>
  <LinksUpToDate>false</LinksUpToDate>
  <CharactersWithSpaces>63711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2023-02-21T00:30:00Z</dcterms:created>
  <dc:creator>Lenovo</dc:creator>
  <cp:lastModifiedBy>丫丫</cp:lastModifiedBy>
  <cp:lastPrinted>2023-02-21T00:46:00Z</cp:lastPrinted>
  <dcterms:modified xsi:type="dcterms:W3CDTF">2023-02-21T03:28:16Z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60E087658CFA446CBCB9F625CAAE9B95</vt:lpwstr>
  </property>
</Properties>
</file>