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浙江海正动物保健品有限公司增资及部分股权转让项目</w:t>
      </w:r>
    </w:p>
    <w:p>
      <w:pPr>
        <w:spacing w:line="360" w:lineRule="auto"/>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竞争性谈判方案</w:t>
      </w:r>
    </w:p>
    <w:p>
      <w:pPr>
        <w:spacing w:line="360" w:lineRule="auto"/>
        <w:ind w:firstLine="480" w:firstLineChars="200"/>
        <w:rPr>
          <w:rFonts w:ascii="仿宋_GB2312" w:hAnsi="仿宋_GB2312" w:eastAsia="仿宋_GB2312" w:cs="仿宋_GB2312"/>
          <w:sz w:val="24"/>
          <w:szCs w:val="28"/>
        </w:rPr>
      </w:pP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浙江海正动物保健品有限公司增资项目（项目编号：台交所挂【2022】</w:t>
      </w:r>
      <w:r>
        <w:rPr>
          <w:rFonts w:ascii="仿宋_GB2312" w:hAnsi="仿宋_GB2312" w:eastAsia="仿宋_GB2312" w:cs="仿宋_GB2312"/>
          <w:sz w:val="24"/>
          <w:szCs w:val="28"/>
        </w:rPr>
        <w:t>20</w:t>
      </w:r>
      <w:r>
        <w:rPr>
          <w:rFonts w:hint="eastAsia" w:ascii="仿宋_GB2312" w:hAnsi="仿宋_GB2312" w:eastAsia="仿宋_GB2312" w:cs="仿宋_GB2312"/>
          <w:sz w:val="24"/>
          <w:szCs w:val="28"/>
        </w:rPr>
        <w:t>号）、部分股权转让项目（项目编号：台交所挂【2022】2</w:t>
      </w:r>
      <w:r>
        <w:rPr>
          <w:rFonts w:ascii="仿宋_GB2312" w:hAnsi="仿宋_GB2312" w:eastAsia="仿宋_GB2312" w:cs="仿宋_GB2312"/>
          <w:sz w:val="24"/>
          <w:szCs w:val="28"/>
        </w:rPr>
        <w:t>1</w:t>
      </w:r>
      <w:r>
        <w:rPr>
          <w:rFonts w:hint="eastAsia" w:ascii="仿宋_GB2312" w:hAnsi="仿宋_GB2312" w:eastAsia="仿宋_GB2312" w:cs="仿宋_GB2312"/>
          <w:sz w:val="24"/>
          <w:szCs w:val="28"/>
        </w:rPr>
        <w:t>号）由台州市产权交易所有限公司（以下简称组织人）对外披露信息公开征集投资方，并协助融资方（浙江海正动物保健品有限公司）采用竞争性谈判方式开展投资方遴选工作。</w:t>
      </w:r>
    </w:p>
    <w:p>
      <w:pPr>
        <w:spacing w:line="360" w:lineRule="auto"/>
        <w:ind w:firstLine="482" w:firstLineChars="200"/>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一、标的、底价及保证金</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本次增资融资方为浙江海正动物保健品有限公司，增资金额</w:t>
      </w:r>
      <w:r>
        <w:rPr>
          <w:rFonts w:ascii="仿宋_GB2312" w:hAnsi="仿宋_GB2312" w:eastAsia="仿宋_GB2312" w:cs="仿宋_GB2312"/>
          <w:sz w:val="24"/>
          <w:szCs w:val="28"/>
        </w:rPr>
        <w:t>3</w:t>
      </w:r>
      <w:r>
        <w:rPr>
          <w:rFonts w:hint="eastAsia" w:ascii="仿宋_GB2312" w:hAnsi="仿宋_GB2312" w:eastAsia="仿宋_GB2312" w:cs="仿宋_GB2312"/>
          <w:sz w:val="24"/>
          <w:szCs w:val="28"/>
        </w:rPr>
        <w:t>亿元人民币（其中对应股本部分计入注册资本，超出部分计入资本公积），股权转让金额1</w:t>
      </w:r>
      <w:r>
        <w:rPr>
          <w:rFonts w:ascii="仿宋_GB2312" w:hAnsi="仿宋_GB2312" w:eastAsia="仿宋_GB2312" w:cs="仿宋_GB2312"/>
          <w:sz w:val="24"/>
          <w:szCs w:val="28"/>
        </w:rPr>
        <w:t>.9</w:t>
      </w:r>
      <w:r>
        <w:rPr>
          <w:rFonts w:hint="eastAsia" w:ascii="仿宋_GB2312" w:hAnsi="仿宋_GB2312" w:eastAsia="仿宋_GB2312" w:cs="仿宋_GB2312"/>
          <w:sz w:val="24"/>
          <w:szCs w:val="28"/>
        </w:rPr>
        <w:t>亿元人民币，报名时交纳增资项目保证金人民币</w:t>
      </w:r>
      <w:r>
        <w:rPr>
          <w:rFonts w:ascii="仿宋_GB2312" w:hAnsi="仿宋_GB2312" w:eastAsia="仿宋_GB2312" w:cs="仿宋_GB2312"/>
          <w:sz w:val="24"/>
          <w:szCs w:val="28"/>
        </w:rPr>
        <w:t>6</w:t>
      </w:r>
      <w:r>
        <w:rPr>
          <w:rFonts w:hint="eastAsia" w:ascii="仿宋_GB2312" w:hAnsi="仿宋_GB2312" w:eastAsia="仿宋_GB2312" w:cs="仿宋_GB2312"/>
          <w:sz w:val="24"/>
          <w:szCs w:val="28"/>
        </w:rPr>
        <w:t>,</w:t>
      </w:r>
      <w:r>
        <w:rPr>
          <w:rFonts w:ascii="仿宋_GB2312" w:hAnsi="仿宋_GB2312" w:eastAsia="仿宋_GB2312" w:cs="仿宋_GB2312"/>
          <w:sz w:val="24"/>
          <w:szCs w:val="28"/>
        </w:rPr>
        <w:t>000</w:t>
      </w:r>
      <w:r>
        <w:rPr>
          <w:rFonts w:hint="eastAsia" w:ascii="仿宋_GB2312" w:hAnsi="仿宋_GB2312" w:eastAsia="仿宋_GB2312" w:cs="仿宋_GB2312"/>
          <w:sz w:val="24"/>
          <w:szCs w:val="28"/>
        </w:rPr>
        <w:t>万元、股权转让项目保证金人民币</w:t>
      </w:r>
      <w:r>
        <w:rPr>
          <w:rFonts w:ascii="仿宋_GB2312" w:hAnsi="仿宋_GB2312" w:eastAsia="仿宋_GB2312" w:cs="仿宋_GB2312"/>
          <w:sz w:val="24"/>
          <w:szCs w:val="28"/>
        </w:rPr>
        <w:t>3,8</w:t>
      </w:r>
      <w:r>
        <w:rPr>
          <w:rFonts w:hint="eastAsia" w:ascii="仿宋_GB2312" w:hAnsi="仿宋_GB2312" w:eastAsia="仿宋_GB2312" w:cs="仿宋_GB2312"/>
          <w:sz w:val="24"/>
          <w:szCs w:val="28"/>
        </w:rPr>
        <w:t>00万元。</w:t>
      </w:r>
    </w:p>
    <w:p>
      <w:pPr>
        <w:spacing w:line="360" w:lineRule="auto"/>
        <w:ind w:firstLine="482" w:firstLineChars="200"/>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二、竞争性谈判说明及安排</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1、本次竞争性谈判活动依据《企业国有资产交易监督管理办法》等相关规定进行。</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2、意向投资方提交投资申请相关材料，按时足额交纳保证金，并经融资方确认合格意向投资方有二家及以上的，采用竞争性谈判择优选定投资方。</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3、出现以下任何情形时，则本次公开征集终止：</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未征集到合格的意向投资方；</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其他导致本增资项目不适宜继续的情形。</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4、谈判时间：具体以组织人发送的《关于意向投资方资格确认意见及交易安排的通知》为准。</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5、谈判地点：浙江省台州市市府大道777号台州市公共资源交易中心三楼2号开标室。</w:t>
      </w:r>
    </w:p>
    <w:p>
      <w:pPr>
        <w:spacing w:line="360" w:lineRule="auto"/>
        <w:ind w:firstLine="482" w:firstLineChars="200"/>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三、竞争性谈判程序及规则</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1、组织方收到融资方出具的《意向投资方资格确认意见书》后二个工作日内，向各意向投资方发出《关于意向投资方资格确认意见及交易安排的通知》。</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合格意向投资方须按《关于意向投资方资格确认意见及交易安排的通知》的规定时间参加竞争性谈判活动，否则视为自动放弃投资资格。合格意向投资方到达谈判现场后，应将准备的《浙江海正动物保健品有限公司竞争性谈判材料》（一式陆份），当场递交给组织人。组织人统一接收后分发至谈判小组。</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3、组织人采取现场抽签的方式确定合格意向投资方竞争性谈判顺序。</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谈判小组围绕以下谈判要点内容与各合格意向投资方逐一进行谈判：</w:t>
      </w:r>
    </w:p>
    <w:p>
      <w:pPr>
        <w:spacing w:line="360" w:lineRule="auto"/>
        <w:ind w:firstLine="480" w:firstLineChars="200"/>
        <w:rPr>
          <w:rFonts w:ascii="仿宋_GB2312" w:hAnsi="仿宋_GB2312" w:eastAsia="仿宋_GB2312" w:cs="仿宋_GB2312"/>
          <w:sz w:val="24"/>
          <w:szCs w:val="28"/>
        </w:rPr>
      </w:pPr>
      <w:bookmarkStart w:id="0" w:name="_Hlk81045580"/>
      <w:r>
        <w:rPr>
          <w:rFonts w:hint="eastAsia" w:ascii="仿宋_GB2312" w:hAnsi="仿宋_GB2312" w:eastAsia="仿宋_GB2312" w:cs="仿宋_GB2312"/>
          <w:sz w:val="24"/>
          <w:szCs w:val="28"/>
        </w:rPr>
        <w:t>（1）意向投资方的增资报价情况。</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（2）意向投资方的综合实力。包括：管理规模、投资经验和行业地位等情况。</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（3）意向投资方战略契合。包括：战略方向产业布局与融资方总部战略的契合度和认可度等情况。</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（4）意向投资方支持能力。包括：市场渠道、产业整合和分拆上市支持能力等情况。</w:t>
      </w:r>
    </w:p>
    <w:bookmarkEnd w:id="0"/>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4、每家谈判一次为一轮，竞争性谈判原则上只进行一轮。</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5、每次谈判均当场形成谈判纪要，由全体谈判小组成员及合格意向投资方谈判代表签字确认。</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6、合格意向投资方可在谈判进行中对所提交材料进行确认（包括报价）。合格意向投资方在谈判纪要上签字确认后，材料不得再进行修改。谈判时报价为最终报价。</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7、谈判小组成员根据合格意向投资方递交的材料、谈判纪要，对合格意向投资方在此次增资项目中的综合实力按照评分细则打分，并在会议纪要上签字确认。</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8、评分依据及权重</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增资报价20%、综合实力20%、战略契合度30%、支持能力30%。具体评分标准见附件。</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9、谈判小组汇总各成员打分、综评意见确定合格意向投资方优先接纳顺序排名，编写谈判评审报告，一份交融资方，一份交组织人存档。</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10、融资方将遴选结果书面反馈给组织人。组织人收到融资方书面反馈后，当日通知意向投资方，发送《增资结果通知书》。意向投资方在组织方发出《增资结果通知书》后五个工作日内签订《增资协议》，协议签订后五个工作日内一次性支付全部剩余增资款，所支付的资金来源合法。</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11、融资方、原股东和最终投资方按照规定签署《增资协议》，并递交一份供组织人备案。</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12、交易鉴证及公告：增资协议签订并生效后，组织人出具交易凭证，通过网站对外公告结果，公告期不少于5个工作日。</w:t>
      </w:r>
    </w:p>
    <w:p>
      <w:pPr>
        <w:spacing w:line="360" w:lineRule="auto"/>
        <w:ind w:firstLine="482" w:firstLineChars="200"/>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四、其他</w:t>
      </w:r>
    </w:p>
    <w:p>
      <w:pPr>
        <w:kinsoku w:val="0"/>
        <w:overflowPunct w:val="0"/>
        <w:spacing w:line="360" w:lineRule="auto"/>
        <w:ind w:firstLine="48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1.意向投资方参加谈判活动自行所携带的材料，须经意向投资方法定代表人（或授权代表人）签字并加盖公章，否则为无效。</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2.意向投资方向组织人递交的材料，在评审结束后，由</w:t>
      </w:r>
      <w:r>
        <w:rPr>
          <w:rFonts w:hint="eastAsia" w:ascii="仿宋_GB2312" w:hAnsi="仿宋_GB2312" w:eastAsia="仿宋_GB2312" w:cs="仿宋_GB2312"/>
          <w:color w:val="000000" w:themeColor="text1"/>
          <w:sz w:val="24"/>
          <w:szCs w:val="28"/>
          <w14:textFill>
            <w14:solidFill>
              <w14:schemeClr w14:val="tx1"/>
            </w14:solidFill>
          </w14:textFill>
        </w:rPr>
        <w:t>融资方</w:t>
      </w:r>
      <w:r>
        <w:rPr>
          <w:rFonts w:hint="eastAsia" w:ascii="仿宋_GB2312" w:hAnsi="仿宋_GB2312" w:eastAsia="仿宋_GB2312" w:cs="仿宋_GB2312"/>
          <w:sz w:val="24"/>
          <w:szCs w:val="28"/>
        </w:rPr>
        <w:t>和组织人分别存档。</w:t>
      </w:r>
    </w:p>
    <w:p>
      <w:pPr>
        <w:spacing w:line="360" w:lineRule="auto"/>
        <w:ind w:firstLine="482" w:firstLineChars="200"/>
        <w:rPr>
          <w:rFonts w:ascii="仿宋_GB2312" w:hAnsi="仿宋_GB2312" w:eastAsia="仿宋_GB2312" w:cs="仿宋_GB2312"/>
          <w:b/>
          <w:bCs/>
          <w:sz w:val="24"/>
          <w:szCs w:val="28"/>
        </w:rPr>
      </w:pPr>
      <w:r>
        <w:rPr>
          <w:rFonts w:hint="eastAsia" w:ascii="仿宋_GB2312" w:hAnsi="仿宋_GB2312" w:eastAsia="仿宋_GB2312" w:cs="仿宋_GB2312"/>
          <w:b/>
          <w:bCs/>
          <w:sz w:val="24"/>
          <w:szCs w:val="28"/>
        </w:rPr>
        <w:t>五、谈判小组</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谈判小组由融资方负责组建，本次竞争性谈判小组成员五人，由融资方和外部专家组成。【台州市椒江区国有资产监督管理办公室或国运集团或海正药业纪检人员】全程参与竞争性谈判过程。</w:t>
      </w:r>
    </w:p>
    <w:p>
      <w:pPr>
        <w:spacing w:line="360" w:lineRule="auto"/>
        <w:ind w:firstLine="480" w:firstLineChars="200"/>
        <w:rPr>
          <w:rFonts w:ascii="仿宋_GB2312" w:hAnsi="仿宋_GB2312" w:eastAsia="仿宋_GB2312" w:cs="仿宋_GB2312"/>
          <w:sz w:val="24"/>
          <w:szCs w:val="28"/>
        </w:rPr>
      </w:pP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附件：1.关于意向投资方资格确认意见及交易安排的通知</w:t>
      </w:r>
    </w:p>
    <w:p>
      <w:pPr>
        <w:spacing w:line="360" w:lineRule="auto"/>
        <w:ind w:firstLine="1200" w:firstLineChars="500"/>
        <w:rPr>
          <w:rFonts w:ascii="仿宋_GB2312" w:hAnsi="仿宋_GB2312" w:eastAsia="仿宋_GB2312" w:cs="仿宋_GB2312"/>
          <w:sz w:val="24"/>
          <w:szCs w:val="28"/>
        </w:rPr>
      </w:pPr>
      <w:r>
        <w:rPr>
          <w:rFonts w:hint="eastAsia" w:ascii="仿宋_GB2312" w:hAnsi="仿宋_GB2312" w:eastAsia="仿宋_GB2312" w:cs="仿宋_GB2312"/>
          <w:sz w:val="24"/>
          <w:szCs w:val="28"/>
        </w:rPr>
        <w:t>2.材料清单</w:t>
      </w:r>
    </w:p>
    <w:p>
      <w:pPr>
        <w:spacing w:line="360" w:lineRule="auto"/>
        <w:ind w:firstLine="1200" w:firstLineChars="500"/>
        <w:rPr>
          <w:rFonts w:ascii="仿宋_GB2312" w:hAnsi="仿宋_GB2312" w:eastAsia="仿宋_GB2312" w:cs="仿宋_GB2312"/>
          <w:sz w:val="24"/>
          <w:szCs w:val="28"/>
        </w:rPr>
      </w:pPr>
      <w:r>
        <w:rPr>
          <w:rFonts w:hint="eastAsia" w:ascii="仿宋_GB2312" w:hAnsi="仿宋_GB2312" w:eastAsia="仿宋_GB2312" w:cs="仿宋_GB2312"/>
          <w:sz w:val="24"/>
          <w:szCs w:val="28"/>
        </w:rPr>
        <w:t>3.竞争性谈判评分标准</w:t>
      </w:r>
    </w:p>
    <w:p>
      <w:pPr>
        <w:pStyle w:val="2"/>
        <w:ind w:left="0" w:leftChars="0" w:firstLine="1200" w:firstLineChars="500"/>
        <w:rPr>
          <w:rFonts w:ascii="仿宋_GB2312" w:hAnsi="仿宋_GB2312" w:cs="仿宋_GB2312"/>
          <w:sz w:val="24"/>
          <w:szCs w:val="28"/>
        </w:rPr>
      </w:pPr>
      <w:r>
        <w:rPr>
          <w:rFonts w:hint="eastAsia" w:ascii="仿宋_GB2312" w:hAnsi="仿宋_GB2312" w:cs="仿宋_GB2312"/>
          <w:sz w:val="24"/>
          <w:szCs w:val="28"/>
        </w:rPr>
        <w:t>4.竞争性谈判评分表</w:t>
      </w:r>
    </w:p>
    <w:p>
      <w:pPr>
        <w:pStyle w:val="2"/>
        <w:ind w:left="0" w:leftChars="0" w:firstLine="1200" w:firstLineChars="500"/>
        <w:rPr>
          <w:rFonts w:ascii="仿宋_GB2312" w:hAnsi="仿宋_GB2312" w:cs="仿宋_GB2312"/>
          <w:sz w:val="24"/>
          <w:szCs w:val="28"/>
        </w:rPr>
      </w:pPr>
      <w:r>
        <w:rPr>
          <w:rFonts w:hint="eastAsia" w:ascii="仿宋_GB2312" w:hAnsi="仿宋_GB2312" w:cs="仿宋_GB2312"/>
          <w:sz w:val="24"/>
          <w:szCs w:val="28"/>
        </w:rPr>
        <w:t>5.谈判小组评审报告</w:t>
      </w:r>
    </w:p>
    <w:p>
      <w:pPr>
        <w:pStyle w:val="2"/>
        <w:ind w:firstLine="640"/>
      </w:pPr>
    </w:p>
    <w:p>
      <w:pPr>
        <w:spacing w:line="360" w:lineRule="auto"/>
        <w:ind w:firstLine="480" w:firstLineChars="200"/>
        <w:rPr>
          <w:rFonts w:ascii="仿宋_GB2312" w:hAnsi="仿宋_GB2312" w:eastAsia="仿宋_GB2312" w:cs="仿宋_GB2312"/>
          <w:sz w:val="24"/>
          <w:szCs w:val="28"/>
        </w:rPr>
      </w:pPr>
    </w:p>
    <w:p>
      <w:pPr>
        <w:spacing w:line="360" w:lineRule="auto"/>
        <w:ind w:firstLine="480" w:firstLineChars="200"/>
        <w:rPr>
          <w:rFonts w:ascii="仿宋_GB2312" w:hAnsi="仿宋_GB2312" w:eastAsia="仿宋_GB2312" w:cs="仿宋_GB2312"/>
          <w:sz w:val="24"/>
          <w:szCs w:val="28"/>
        </w:rPr>
      </w:pPr>
    </w:p>
    <w:p>
      <w:pPr>
        <w:widowControl/>
        <w:spacing w:line="360" w:lineRule="auto"/>
        <w:jc w:val="left"/>
        <w:rPr>
          <w:rFonts w:ascii="仿宋_GB2312" w:hAnsi="仿宋_GB2312" w:eastAsia="仿宋_GB2312" w:cs="仿宋_GB2312"/>
          <w:sz w:val="24"/>
          <w:szCs w:val="28"/>
        </w:rPr>
      </w:pPr>
      <w:r>
        <w:rPr>
          <w:rFonts w:ascii="仿宋_GB2312" w:hAnsi="仿宋_GB2312" w:cs="仿宋_GB2312"/>
          <w:sz w:val="24"/>
          <w:szCs w:val="28"/>
        </w:rPr>
        <w:br w:type="page"/>
      </w:r>
    </w:p>
    <w:p>
      <w:pPr>
        <w:spacing w:line="360" w:lineRule="auto"/>
        <w:rPr>
          <w:rFonts w:ascii="黑体" w:hAnsi="黑体" w:eastAsia="黑体" w:cs="黑体"/>
          <w:sz w:val="24"/>
          <w:szCs w:val="28"/>
        </w:rPr>
      </w:pPr>
      <w:r>
        <w:rPr>
          <w:rFonts w:hint="eastAsia" w:ascii="黑体" w:hAnsi="黑体" w:eastAsia="黑体" w:cs="黑体"/>
          <w:sz w:val="24"/>
          <w:szCs w:val="28"/>
        </w:rPr>
        <w:t>附件1</w:t>
      </w:r>
    </w:p>
    <w:p>
      <w:pPr>
        <w:spacing w:line="360" w:lineRule="auto"/>
        <w:rPr>
          <w:rFonts w:ascii="黑体" w:hAnsi="黑体" w:eastAsia="黑体" w:cs="黑体"/>
          <w:sz w:val="24"/>
          <w:szCs w:val="28"/>
        </w:rPr>
      </w:pPr>
    </w:p>
    <w:p>
      <w:pPr>
        <w:spacing w:line="360" w:lineRule="auto"/>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关于意向投资方资格确认意见及交易安排的通知</w:t>
      </w:r>
    </w:p>
    <w:p>
      <w:pPr>
        <w:spacing w:line="360" w:lineRule="auto"/>
        <w:ind w:firstLine="420" w:firstLineChars="200"/>
        <w:rPr>
          <w:snapToGrid w:val="0"/>
          <w:kern w:val="0"/>
        </w:rPr>
      </w:pPr>
    </w:p>
    <w:p>
      <w:pPr>
        <w:spacing w:line="360" w:lineRule="auto"/>
        <w:rPr>
          <w:rFonts w:ascii="仿宋_GB2312" w:hAnsi="Tahoma" w:eastAsia="仿宋_GB2312" w:cs="Tahoma"/>
          <w:kern w:val="0"/>
          <w:sz w:val="24"/>
          <w:szCs w:val="24"/>
        </w:rPr>
      </w:pPr>
      <w:r>
        <w:rPr>
          <w:rFonts w:ascii="仿宋_GB2312" w:hAnsi="Tahoma" w:eastAsia="仿宋_GB2312" w:cs="Tahoma"/>
          <w:kern w:val="0"/>
          <w:sz w:val="30"/>
          <w:szCs w:val="30"/>
          <w:u w:val="single"/>
        </w:rPr>
        <w:t xml:space="preserve"> </w:t>
      </w:r>
      <w:r>
        <w:rPr>
          <w:rFonts w:ascii="仿宋_GB2312" w:hAnsi="Tahoma" w:eastAsia="仿宋_GB2312" w:cs="Tahoma"/>
          <w:kern w:val="0"/>
          <w:sz w:val="24"/>
          <w:szCs w:val="24"/>
          <w:u w:val="single"/>
        </w:rPr>
        <w:t xml:space="preserve">                        </w:t>
      </w:r>
    </w:p>
    <w:p>
      <w:pPr>
        <w:spacing w:line="360" w:lineRule="auto"/>
        <w:ind w:firstLine="48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贵方拟投资浙江海正动物保健品有限公司增资项目，根据贵方所提交的材料及所缴的保证金，经融资方审核，符合本次增资资格条件，通知如下：</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贵方请参加于202</w:t>
      </w:r>
      <w:r>
        <w:rPr>
          <w:rFonts w:ascii="仿宋_GB2312" w:hAnsi="仿宋_GB2312" w:eastAsia="仿宋_GB2312" w:cs="仿宋_GB2312"/>
          <w:sz w:val="24"/>
          <w:szCs w:val="28"/>
        </w:rPr>
        <w:t>2</w:t>
      </w:r>
      <w:r>
        <w:rPr>
          <w:rFonts w:hint="eastAsia" w:ascii="仿宋_GB2312" w:hAnsi="仿宋_GB2312" w:eastAsia="仿宋_GB2312" w:cs="仿宋_GB2312"/>
          <w:sz w:val="24"/>
          <w:szCs w:val="28"/>
        </w:rPr>
        <w:t>年7月5日(星期二)上午9：30时在台州市产权交易所</w:t>
      </w:r>
      <w:bookmarkStart w:id="1" w:name="dizhi"/>
      <w:r>
        <w:rPr>
          <w:rFonts w:hint="eastAsia" w:ascii="仿宋_GB2312" w:hAnsi="仿宋_GB2312" w:eastAsia="仿宋_GB2312" w:cs="仿宋_GB2312"/>
          <w:sz w:val="24"/>
          <w:szCs w:val="28"/>
        </w:rPr>
        <w:t>（浙江省台州市市府大道777号台州市公共资源交易中心三楼2号开标室）</w:t>
      </w:r>
      <w:bookmarkEnd w:id="1"/>
      <w:r>
        <w:rPr>
          <w:rFonts w:hint="eastAsia" w:ascii="仿宋_GB2312" w:hAnsi="仿宋_GB2312" w:eastAsia="仿宋_GB2312" w:cs="仿宋_GB2312"/>
          <w:sz w:val="24"/>
          <w:szCs w:val="28"/>
        </w:rPr>
        <w:t>举行的浙江海正动物保健品有限公司增资金额</w:t>
      </w:r>
      <w:r>
        <w:rPr>
          <w:rFonts w:ascii="仿宋_GB2312" w:hAnsi="仿宋_GB2312" w:eastAsia="仿宋_GB2312" w:cs="仿宋_GB2312"/>
          <w:sz w:val="24"/>
          <w:szCs w:val="28"/>
        </w:rPr>
        <w:t>3</w:t>
      </w:r>
      <w:r>
        <w:rPr>
          <w:rFonts w:hint="eastAsia" w:ascii="仿宋_GB2312" w:hAnsi="仿宋_GB2312" w:eastAsia="仿宋_GB2312" w:cs="仿宋_GB2312"/>
          <w:sz w:val="24"/>
          <w:szCs w:val="28"/>
        </w:rPr>
        <w:t>亿元项目、股权转让1.9亿元项目活动。</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因疫情防控需要，请参会人员配带口罩，提供绿色“健康码”、“行程卡”及会前</w:t>
      </w:r>
      <w:r>
        <w:rPr>
          <w:rFonts w:ascii="仿宋_GB2312" w:hAnsi="仿宋_GB2312" w:eastAsia="仿宋_GB2312" w:cs="仿宋_GB2312"/>
          <w:sz w:val="24"/>
          <w:szCs w:val="28"/>
        </w:rPr>
        <w:t>72</w:t>
      </w:r>
      <w:r>
        <w:rPr>
          <w:rFonts w:hint="eastAsia" w:ascii="仿宋_GB2312" w:hAnsi="仿宋_GB2312" w:eastAsia="仿宋_GB2312" w:cs="仿宋_GB2312"/>
          <w:sz w:val="24"/>
          <w:szCs w:val="28"/>
        </w:rPr>
        <w:t>小时内酸检测阴性证明材料。（以当地最新的防疫政策为准）</w:t>
      </w:r>
    </w:p>
    <w:p>
      <w:pPr>
        <w:spacing w:line="360" w:lineRule="auto"/>
        <w:ind w:firstLine="480" w:firstLineChars="200"/>
        <w:jc w:val="left"/>
        <w:rPr>
          <w:rFonts w:ascii="仿宋_GB2312" w:hAnsi="仿宋_GB2312" w:eastAsia="仿宋_GB2312" w:cs="仿宋_GB2312"/>
          <w:sz w:val="24"/>
          <w:szCs w:val="28"/>
        </w:rPr>
      </w:pPr>
      <w:r>
        <w:rPr>
          <w:rFonts w:hint="eastAsia" w:ascii="仿宋_GB2312" w:hAnsi="仿宋_GB2312" w:eastAsia="仿宋_GB2312" w:cs="仿宋_GB2312"/>
          <w:sz w:val="24"/>
          <w:szCs w:val="28"/>
        </w:rPr>
        <w:t>特此通知。</w:t>
      </w:r>
    </w:p>
    <w:p>
      <w:pPr>
        <w:snapToGrid w:val="0"/>
        <w:spacing w:line="360" w:lineRule="auto"/>
        <w:ind w:firstLine="480" w:firstLineChars="200"/>
        <w:rPr>
          <w:rFonts w:ascii="宋体"/>
          <w:snapToGrid w:val="0"/>
          <w:kern w:val="0"/>
          <w:sz w:val="24"/>
          <w:szCs w:val="24"/>
        </w:rPr>
      </w:pPr>
    </w:p>
    <w:p>
      <w:pPr>
        <w:spacing w:line="360" w:lineRule="auto"/>
        <w:ind w:firstLine="480" w:firstLineChars="200"/>
        <w:rPr>
          <w:rFonts w:ascii="仿宋_GB2312" w:hAnsi="Tahoma" w:eastAsia="仿宋_GB2312" w:cs="Tahoma"/>
          <w:kern w:val="0"/>
          <w:sz w:val="24"/>
          <w:szCs w:val="24"/>
        </w:rPr>
      </w:pPr>
    </w:p>
    <w:p>
      <w:pPr>
        <w:spacing w:line="360" w:lineRule="auto"/>
        <w:ind w:firstLine="2520" w:firstLineChars="1050"/>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台州市产权交易所有限公司（盖章）</w:t>
      </w:r>
    </w:p>
    <w:p>
      <w:pPr>
        <w:spacing w:line="360" w:lineRule="auto"/>
        <w:ind w:firstLine="2520" w:firstLineChars="1050"/>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2022年  月  日</w:t>
      </w:r>
    </w:p>
    <w:p>
      <w:pPr>
        <w:pStyle w:val="2"/>
        <w:spacing w:line="360" w:lineRule="auto"/>
        <w:ind w:left="0" w:leftChars="0" w:firstLine="0" w:firstLineChars="0"/>
        <w:rPr>
          <w:sz w:val="24"/>
          <w:szCs w:val="28"/>
        </w:rPr>
      </w:pPr>
    </w:p>
    <w:p>
      <w:pPr>
        <w:widowControl/>
        <w:spacing w:line="360" w:lineRule="auto"/>
        <w:jc w:val="left"/>
        <w:rPr>
          <w:rFonts w:eastAsia="仿宋_GB2312"/>
          <w:sz w:val="24"/>
          <w:szCs w:val="28"/>
        </w:rPr>
      </w:pPr>
      <w:r>
        <w:rPr>
          <w:sz w:val="24"/>
          <w:szCs w:val="28"/>
        </w:rPr>
        <w:br w:type="page"/>
      </w:r>
    </w:p>
    <w:p>
      <w:pPr>
        <w:spacing w:line="360" w:lineRule="auto"/>
        <w:rPr>
          <w:rFonts w:ascii="黑体" w:hAnsi="黑体" w:eastAsia="黑体" w:cs="黑体"/>
          <w:sz w:val="24"/>
          <w:szCs w:val="28"/>
        </w:rPr>
      </w:pPr>
      <w:r>
        <w:rPr>
          <w:rFonts w:hint="eastAsia" w:ascii="黑体" w:hAnsi="黑体" w:eastAsia="黑体" w:cs="黑体"/>
          <w:sz w:val="24"/>
          <w:szCs w:val="28"/>
        </w:rPr>
        <w:t>附件2</w:t>
      </w:r>
    </w:p>
    <w:p>
      <w:pPr>
        <w:spacing w:line="360" w:lineRule="auto"/>
        <w:rPr>
          <w:sz w:val="24"/>
          <w:szCs w:val="28"/>
        </w:rPr>
      </w:pPr>
    </w:p>
    <w:p>
      <w:pPr>
        <w:spacing w:line="360" w:lineRule="auto"/>
        <w:jc w:val="center"/>
        <w:rPr>
          <w:rFonts w:ascii="方正小标宋简体" w:hAnsi="方正小标宋简体" w:eastAsia="方正小标宋简体" w:cs="方正小标宋简体"/>
          <w:sz w:val="32"/>
          <w:szCs w:val="36"/>
        </w:rPr>
      </w:pPr>
      <w:r>
        <w:rPr>
          <w:rFonts w:hint="eastAsia" w:ascii="方正小标宋简体" w:hAnsi="方正小标宋简体" w:eastAsia="方正小标宋简体" w:cs="方正小标宋简体"/>
          <w:sz w:val="32"/>
          <w:szCs w:val="36"/>
        </w:rPr>
        <w:t>材料清单</w:t>
      </w:r>
    </w:p>
    <w:p>
      <w:pPr>
        <w:spacing w:line="360" w:lineRule="auto"/>
        <w:jc w:val="center"/>
        <w:rPr>
          <w:rFonts w:ascii="方正小标宋简体" w:hAnsi="方正小标宋简体" w:eastAsia="方正小标宋简体" w:cs="方正小标宋简体"/>
          <w:sz w:val="32"/>
          <w:szCs w:val="36"/>
        </w:rPr>
      </w:pP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2-1承诺和报价（此件为二次报价，谈判中提供）</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2-2授权委托书</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2-3诚信承诺书</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2-4与谈判要点相关证明材料（包括但不限于意向投资方资金证明、意向投资方股东背景证明材料及评分标准要求的相关材料）</w:t>
      </w:r>
    </w:p>
    <w:p>
      <w:pPr>
        <w:spacing w:line="360" w:lineRule="auto"/>
        <w:ind w:firstLine="480" w:firstLineChars="200"/>
        <w:rPr>
          <w:rFonts w:ascii="仿宋_GB2312" w:hAnsi="仿宋_GB2312" w:eastAsia="仿宋_GB2312" w:cs="仿宋_GB2312"/>
          <w:sz w:val="24"/>
          <w:szCs w:val="28"/>
        </w:rPr>
      </w:pPr>
    </w:p>
    <w:p>
      <w:pPr>
        <w:spacing w:line="360" w:lineRule="auto"/>
        <w:ind w:firstLine="480" w:firstLineChars="200"/>
        <w:rPr>
          <w:rFonts w:ascii="仿宋_GB2312" w:hAnsi="仿宋_GB2312" w:eastAsia="仿宋_GB2312" w:cs="仿宋_GB2312"/>
          <w:sz w:val="24"/>
          <w:szCs w:val="28"/>
        </w:rPr>
      </w:pPr>
    </w:p>
    <w:p>
      <w:pPr>
        <w:widowControl/>
        <w:spacing w:line="360" w:lineRule="auto"/>
        <w:jc w:val="left"/>
        <w:rPr>
          <w:rFonts w:eastAsia="仿宋_GB2312"/>
          <w:sz w:val="24"/>
          <w:szCs w:val="28"/>
        </w:rPr>
      </w:pPr>
      <w:r>
        <w:rPr>
          <w:sz w:val="24"/>
          <w:szCs w:val="28"/>
        </w:rPr>
        <w:br w:type="page"/>
      </w:r>
    </w:p>
    <w:p>
      <w:pPr>
        <w:spacing w:line="360" w:lineRule="auto"/>
        <w:rPr>
          <w:rFonts w:ascii="黑体" w:hAnsi="黑体" w:eastAsia="黑体" w:cs="黑体"/>
          <w:sz w:val="24"/>
          <w:szCs w:val="28"/>
        </w:rPr>
      </w:pPr>
      <w:r>
        <w:rPr>
          <w:rFonts w:hint="eastAsia" w:ascii="黑体" w:hAnsi="黑体" w:eastAsia="黑体" w:cs="黑体"/>
          <w:sz w:val="24"/>
          <w:szCs w:val="28"/>
        </w:rPr>
        <w:t>2-1承诺和报价</w:t>
      </w:r>
    </w:p>
    <w:p>
      <w:pPr>
        <w:numPr>
          <w:ilvl w:val="255"/>
          <w:numId w:val="0"/>
        </w:numPr>
        <w:spacing w:line="360" w:lineRule="auto"/>
        <w:ind w:firstLine="560" w:firstLineChars="200"/>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承诺和报价</w:t>
      </w:r>
    </w:p>
    <w:p>
      <w:pPr>
        <w:numPr>
          <w:ilvl w:val="255"/>
          <w:numId w:val="0"/>
        </w:numPr>
        <w:spacing w:line="360" w:lineRule="auto"/>
        <w:ind w:firstLine="640" w:firstLineChars="200"/>
        <w:jc w:val="center"/>
        <w:rPr>
          <w:rFonts w:ascii="宋体" w:hAnsi="宋体"/>
          <w:b/>
          <w:sz w:val="32"/>
          <w:szCs w:val="32"/>
        </w:rPr>
      </w:pPr>
    </w:p>
    <w:p>
      <w:pPr>
        <w:numPr>
          <w:ilvl w:val="255"/>
          <w:numId w:val="0"/>
        </w:numPr>
        <w:spacing w:line="360" w:lineRule="auto"/>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致：                           </w:t>
      </w:r>
    </w:p>
    <w:p>
      <w:pPr>
        <w:adjustRightInd w:val="0"/>
        <w:snapToGrid w:val="0"/>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经审慎决策并依法合规履行公司内部程序，我司愿意按照下表填报内容参与浙江海正动物保健品有限公司增资项目和部分股权转让项目（项目编号：台交所挂【202</w:t>
      </w:r>
      <w:r>
        <w:rPr>
          <w:rFonts w:ascii="仿宋_GB2312" w:hAnsi="仿宋_GB2312" w:eastAsia="仿宋_GB2312" w:cs="仿宋_GB2312"/>
          <w:sz w:val="24"/>
          <w:szCs w:val="28"/>
        </w:rPr>
        <w:t>2</w:t>
      </w:r>
      <w:r>
        <w:rPr>
          <w:rFonts w:hint="eastAsia" w:ascii="仿宋_GB2312" w:hAnsi="仿宋_GB2312" w:eastAsia="仿宋_GB2312" w:cs="仿宋_GB2312"/>
          <w:sz w:val="24"/>
          <w:szCs w:val="28"/>
        </w:rPr>
        <w:t>】【  】号、台交所挂【202</w:t>
      </w:r>
      <w:r>
        <w:rPr>
          <w:rFonts w:ascii="仿宋_GB2312" w:hAnsi="仿宋_GB2312" w:eastAsia="仿宋_GB2312" w:cs="仿宋_GB2312"/>
          <w:sz w:val="24"/>
          <w:szCs w:val="28"/>
        </w:rPr>
        <w:t>2</w:t>
      </w:r>
      <w:r>
        <w:rPr>
          <w:rFonts w:hint="eastAsia" w:ascii="仿宋_GB2312" w:hAnsi="仿宋_GB2312" w:eastAsia="仿宋_GB2312" w:cs="仿宋_GB2312"/>
          <w:sz w:val="24"/>
          <w:szCs w:val="28"/>
        </w:rPr>
        <w:t>】【  】号）。具体见下表：</w:t>
      </w:r>
    </w:p>
    <w:tbl>
      <w:tblPr>
        <w:tblStyle w:val="22"/>
        <w:tblpPr w:leftFromText="180" w:rightFromText="180" w:vertAnchor="text" w:horzAnchor="page" w:tblpX="1599" w:tblpY="77"/>
        <w:tblW w:w="852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09"/>
        <w:gridCol w:w="3119"/>
        <w:gridCol w:w="21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trPr>
        <w:tc>
          <w:tcPr>
            <w:tcW w:w="3209" w:type="dxa"/>
            <w:vAlign w:val="center"/>
          </w:tcPr>
          <w:p>
            <w:pPr>
              <w:adjustRightInd w:val="0"/>
              <w:snapToGrid w:val="0"/>
              <w:spacing w:line="360" w:lineRule="auto"/>
              <w:jc w:val="center"/>
              <w:rPr>
                <w:rFonts w:ascii="仿宋_GB2312" w:hAnsi="仿宋_GB2312" w:eastAsia="仿宋_GB2312" w:cs="仿宋_GB2312"/>
                <w:b/>
                <w:sz w:val="24"/>
                <w:szCs w:val="28"/>
                <w:lang w:eastAsia="en-US"/>
              </w:rPr>
            </w:pPr>
            <w:r>
              <w:rPr>
                <w:rFonts w:hint="eastAsia" w:ascii="仿宋_GB2312" w:hAnsi="仿宋_GB2312" w:eastAsia="仿宋_GB2312" w:cs="仿宋_GB2312"/>
                <w:b/>
                <w:sz w:val="24"/>
                <w:szCs w:val="28"/>
                <w:lang w:eastAsia="en-US"/>
              </w:rPr>
              <w:t>每股价格</w:t>
            </w:r>
          </w:p>
        </w:tc>
        <w:tc>
          <w:tcPr>
            <w:tcW w:w="3119" w:type="dxa"/>
            <w:vAlign w:val="center"/>
          </w:tcPr>
          <w:p>
            <w:pPr>
              <w:adjustRightInd w:val="0"/>
              <w:snapToGrid w:val="0"/>
              <w:spacing w:line="360" w:lineRule="auto"/>
              <w:jc w:val="center"/>
              <w:rPr>
                <w:rFonts w:ascii="仿宋_GB2312" w:hAnsi="仿宋_GB2312" w:eastAsia="仿宋_GB2312" w:cs="仿宋_GB2312"/>
                <w:b/>
                <w:sz w:val="24"/>
                <w:szCs w:val="28"/>
                <w:lang w:eastAsia="en-US"/>
              </w:rPr>
            </w:pPr>
            <w:r>
              <w:rPr>
                <w:rFonts w:hint="eastAsia" w:ascii="仿宋_GB2312" w:hAnsi="仿宋_GB2312" w:eastAsia="仿宋_GB2312" w:cs="仿宋_GB2312"/>
                <w:b/>
                <w:sz w:val="24"/>
                <w:szCs w:val="28"/>
                <w:lang w:eastAsia="en-US"/>
              </w:rPr>
              <w:t>投资金额</w:t>
            </w:r>
          </w:p>
        </w:tc>
        <w:tc>
          <w:tcPr>
            <w:tcW w:w="2199" w:type="dxa"/>
            <w:vAlign w:val="center"/>
          </w:tcPr>
          <w:p>
            <w:pPr>
              <w:adjustRightInd w:val="0"/>
              <w:snapToGrid w:val="0"/>
              <w:spacing w:line="360" w:lineRule="auto"/>
              <w:jc w:val="center"/>
              <w:rPr>
                <w:rFonts w:ascii="仿宋_GB2312" w:hAnsi="仿宋_GB2312" w:eastAsia="仿宋_GB2312" w:cs="仿宋_GB2312"/>
                <w:b/>
                <w:sz w:val="24"/>
                <w:szCs w:val="28"/>
                <w:lang w:eastAsia="en-US"/>
              </w:rPr>
            </w:pPr>
            <w:r>
              <w:rPr>
                <w:rFonts w:hint="eastAsia" w:ascii="仿宋_GB2312" w:hAnsi="仿宋_GB2312" w:eastAsia="仿宋_GB2312" w:cs="仿宋_GB2312"/>
                <w:b/>
                <w:sz w:val="24"/>
                <w:szCs w:val="28"/>
                <w:lang w:eastAsia="en-US"/>
              </w:rPr>
              <w:t>出资形式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3209" w:type="dxa"/>
          </w:tcPr>
          <w:p>
            <w:pPr>
              <w:adjustRightInd w:val="0"/>
              <w:snapToGrid w:val="0"/>
              <w:spacing w:line="360" w:lineRule="auto"/>
              <w:ind w:firstLine="480" w:firstLineChars="2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6.2857元/股</w:t>
            </w:r>
          </w:p>
          <w:p>
            <w:pPr>
              <w:adjustRightInd w:val="0"/>
              <w:snapToGrid w:val="0"/>
              <w:spacing w:line="360" w:lineRule="auto"/>
              <w:ind w:firstLine="480" w:firstLineChars="2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（币种：人民币）</w:t>
            </w:r>
          </w:p>
        </w:tc>
        <w:tc>
          <w:tcPr>
            <w:tcW w:w="3119" w:type="dxa"/>
          </w:tcPr>
          <w:p>
            <w:pPr>
              <w:adjustRightInd w:val="0"/>
              <w:snapToGrid w:val="0"/>
              <w:spacing w:line="360" w:lineRule="auto"/>
              <w:ind w:firstLine="480" w:firstLineChars="2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元/股</w:t>
            </w:r>
          </w:p>
          <w:p>
            <w:pPr>
              <w:adjustRightInd w:val="0"/>
              <w:snapToGrid w:val="0"/>
              <w:spacing w:line="360" w:lineRule="auto"/>
              <w:ind w:firstLine="480" w:firstLineChars="200"/>
              <w:jc w:val="center"/>
              <w:rPr>
                <w:rFonts w:ascii="仿宋_GB2312" w:hAnsi="仿宋_GB2312" w:eastAsia="仿宋_GB2312" w:cs="仿宋_GB2312"/>
                <w:sz w:val="24"/>
                <w:szCs w:val="28"/>
                <w:lang w:eastAsia="zh-CN"/>
              </w:rPr>
            </w:pPr>
            <w:r>
              <w:rPr>
                <w:rFonts w:hint="eastAsia" w:ascii="仿宋_GB2312" w:hAnsi="仿宋_GB2312" w:eastAsia="仿宋_GB2312" w:cs="仿宋_GB2312"/>
                <w:sz w:val="24"/>
                <w:szCs w:val="28"/>
                <w:lang w:eastAsia="zh-CN"/>
              </w:rPr>
              <w:t>（币种：人民币</w:t>
            </w:r>
            <w:r>
              <w:rPr>
                <w:rFonts w:hint="eastAsia" w:ascii="仿宋_GB2312" w:hAnsi="仿宋_GB2312" w:eastAsia="仿宋_GB2312" w:cs="仿宋_GB2312"/>
                <w:sz w:val="24"/>
                <w:szCs w:val="28"/>
                <w:lang w:eastAsia="zh-CN"/>
              </w:rPr>
              <w:tab/>
            </w:r>
            <w:r>
              <w:rPr>
                <w:rFonts w:hint="eastAsia" w:ascii="仿宋_GB2312" w:hAnsi="仿宋_GB2312" w:eastAsia="仿宋_GB2312" w:cs="仿宋_GB2312"/>
                <w:sz w:val="24"/>
                <w:szCs w:val="28"/>
                <w:lang w:eastAsia="zh-CN"/>
              </w:rPr>
              <w:t>）</w:t>
            </w:r>
          </w:p>
        </w:tc>
        <w:tc>
          <w:tcPr>
            <w:tcW w:w="2199" w:type="dxa"/>
            <w:vAlign w:val="center"/>
          </w:tcPr>
          <w:p>
            <w:pPr>
              <w:adjustRightInd w:val="0"/>
              <w:snapToGrid w:val="0"/>
              <w:spacing w:line="360" w:lineRule="auto"/>
              <w:jc w:val="center"/>
              <w:rPr>
                <w:rFonts w:ascii="仿宋_GB2312" w:hAnsi="仿宋_GB2312" w:eastAsia="仿宋_GB2312" w:cs="仿宋_GB2312"/>
                <w:sz w:val="24"/>
                <w:szCs w:val="28"/>
                <w:lang w:eastAsia="en-US"/>
              </w:rPr>
            </w:pPr>
            <w:r>
              <w:rPr>
                <w:rFonts w:hint="eastAsia" w:ascii="仿宋_GB2312" w:hAnsi="仿宋_GB2312" w:eastAsia="仿宋_GB2312" w:cs="仿宋_GB2312"/>
                <w:sz w:val="24"/>
                <w:szCs w:val="28"/>
                <w:lang w:eastAsia="en-US"/>
              </w:rPr>
              <w:t>货币</w:t>
            </w:r>
          </w:p>
        </w:tc>
      </w:tr>
    </w:tbl>
    <w:p>
      <w:pPr>
        <w:spacing w:line="360" w:lineRule="auto"/>
        <w:ind w:firstLine="480" w:firstLineChars="200"/>
        <w:rPr>
          <w:sz w:val="24"/>
          <w:szCs w:val="28"/>
        </w:rPr>
      </w:pPr>
      <w:r>
        <w:rPr>
          <w:rFonts w:hint="eastAsia" w:ascii="仿宋_GB2312" w:hAnsi="仿宋_GB2312" w:eastAsia="仿宋_GB2312" w:cs="仿宋_GB2312"/>
          <w:sz w:val="24"/>
          <w:szCs w:val="28"/>
        </w:rPr>
        <w:t>我方承诺，以上报价为我司对增资项目的最终报价，股权转让项目按照上述报价执行。</w:t>
      </w:r>
    </w:p>
    <w:p>
      <w:pPr>
        <w:adjustRightInd w:val="0"/>
        <w:snapToGrid w:val="0"/>
        <w:spacing w:line="360" w:lineRule="auto"/>
        <w:rPr>
          <w:rFonts w:ascii="宋体"/>
          <w:sz w:val="24"/>
          <w:szCs w:val="28"/>
        </w:rPr>
      </w:pPr>
    </w:p>
    <w:p>
      <w:pPr>
        <w:spacing w:line="360" w:lineRule="auto"/>
        <w:ind w:firstLine="480" w:firstLineChars="200"/>
        <w:jc w:val="left"/>
        <w:rPr>
          <w:sz w:val="24"/>
          <w:szCs w:val="28"/>
        </w:rPr>
      </w:pPr>
    </w:p>
    <w:p>
      <w:pPr>
        <w:spacing w:line="360" w:lineRule="auto"/>
        <w:ind w:firstLine="2520" w:firstLineChars="1050"/>
        <w:jc w:val="center"/>
        <w:rPr>
          <w:rFonts w:ascii="仿宋_GB2312" w:hAnsi="仿宋_GB2312" w:eastAsia="仿宋_GB2312" w:cs="仿宋_GB2312"/>
          <w:sz w:val="24"/>
          <w:szCs w:val="28"/>
        </w:rPr>
      </w:pPr>
      <w:r>
        <w:rPr>
          <w:rFonts w:hint="eastAsia" w:ascii="仿宋_GB2312" w:hAnsi="仿宋_GB2312" w:eastAsia="仿宋_GB2312" w:cs="仿宋_GB2312"/>
          <w:sz w:val="24"/>
          <w:szCs w:val="28"/>
        </w:rPr>
        <w:t>法定代表人（或授权代表人）（签字）：</w:t>
      </w:r>
    </w:p>
    <w:p>
      <w:pPr>
        <w:numPr>
          <w:ilvl w:val="255"/>
          <w:numId w:val="0"/>
        </w:numPr>
        <w:spacing w:line="360" w:lineRule="auto"/>
        <w:ind w:firstLine="2520" w:firstLineChars="1050"/>
        <w:jc w:val="center"/>
        <w:rPr>
          <w:rFonts w:ascii="仿宋_GB2312" w:hAnsi="仿宋_GB2312" w:eastAsia="仿宋_GB2312" w:cs="仿宋_GB2312"/>
          <w:b/>
          <w:sz w:val="32"/>
          <w:szCs w:val="32"/>
        </w:rPr>
      </w:pPr>
      <w:r>
        <w:rPr>
          <w:rFonts w:hint="eastAsia" w:ascii="仿宋_GB2312" w:hAnsi="仿宋_GB2312" w:eastAsia="仿宋_GB2312" w:cs="仿宋_GB2312"/>
          <w:sz w:val="24"/>
          <w:szCs w:val="28"/>
        </w:rPr>
        <w:t>年   月   日</w:t>
      </w:r>
    </w:p>
    <w:p>
      <w:pPr>
        <w:numPr>
          <w:ilvl w:val="255"/>
          <w:numId w:val="0"/>
        </w:numPr>
        <w:spacing w:line="360" w:lineRule="auto"/>
        <w:rPr>
          <w:sz w:val="32"/>
          <w:szCs w:val="36"/>
        </w:rPr>
      </w:pPr>
    </w:p>
    <w:p>
      <w:pPr>
        <w:numPr>
          <w:ilvl w:val="255"/>
          <w:numId w:val="0"/>
        </w:numPr>
        <w:spacing w:line="360" w:lineRule="auto"/>
        <w:rPr>
          <w:sz w:val="32"/>
          <w:szCs w:val="36"/>
        </w:rPr>
      </w:pPr>
    </w:p>
    <w:p>
      <w:pPr>
        <w:numPr>
          <w:ilvl w:val="255"/>
          <w:numId w:val="0"/>
        </w:numPr>
        <w:spacing w:line="360" w:lineRule="auto"/>
        <w:rPr>
          <w:sz w:val="32"/>
          <w:szCs w:val="36"/>
        </w:rPr>
      </w:pPr>
    </w:p>
    <w:p>
      <w:pPr>
        <w:widowControl/>
        <w:spacing w:line="360" w:lineRule="auto"/>
        <w:jc w:val="left"/>
        <w:rPr>
          <w:rFonts w:eastAsia="仿宋_GB2312"/>
          <w:sz w:val="32"/>
          <w:szCs w:val="24"/>
        </w:rPr>
      </w:pPr>
      <w:r>
        <w:br w:type="page"/>
      </w:r>
    </w:p>
    <w:p>
      <w:pPr>
        <w:numPr>
          <w:ilvl w:val="255"/>
          <w:numId w:val="0"/>
        </w:numPr>
        <w:spacing w:line="360" w:lineRule="auto"/>
        <w:jc w:val="left"/>
        <w:rPr>
          <w:sz w:val="32"/>
          <w:szCs w:val="36"/>
        </w:rPr>
      </w:pPr>
      <w:r>
        <w:rPr>
          <w:rFonts w:hint="eastAsia" w:ascii="黑体" w:hAnsi="黑体" w:eastAsia="黑体" w:cs="黑体"/>
          <w:sz w:val="24"/>
          <w:szCs w:val="28"/>
        </w:rPr>
        <w:t>2-2授权委托书</w:t>
      </w:r>
    </w:p>
    <w:p>
      <w:pPr>
        <w:numPr>
          <w:ilvl w:val="255"/>
          <w:numId w:val="0"/>
        </w:numPr>
        <w:spacing w:line="360" w:lineRule="auto"/>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授权委托书</w:t>
      </w:r>
    </w:p>
    <w:p>
      <w:pPr>
        <w:spacing w:line="360" w:lineRule="auto"/>
        <w:jc w:val="center"/>
        <w:rPr>
          <w:b/>
          <w:bCs/>
          <w:sz w:val="24"/>
          <w:szCs w:val="28"/>
        </w:rPr>
      </w:pPr>
    </w:p>
    <w:p>
      <w:pPr>
        <w:spacing w:line="360" w:lineRule="auto"/>
        <w:rPr>
          <w:rFonts w:ascii="仿宋_GB2312" w:hAnsi="仿宋_GB2312" w:eastAsia="仿宋_GB2312" w:cs="仿宋_GB2312"/>
          <w:sz w:val="24"/>
          <w:szCs w:val="28"/>
        </w:rPr>
      </w:pPr>
      <w:r>
        <w:rPr>
          <w:rFonts w:hint="eastAsia" w:ascii="仿宋_GB2312" w:hAnsi="仿宋_GB2312" w:eastAsia="仿宋_GB2312" w:cs="仿宋_GB2312"/>
          <w:sz w:val="24"/>
          <w:szCs w:val="28"/>
        </w:rPr>
        <w:t>致：浙江海正动物保健品有限公司、台州市产权交易所有限公司</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兹委派我单位（全部参与者姓名）</w:t>
      </w:r>
      <w:r>
        <w:rPr>
          <w:rFonts w:hint="eastAsia" w:ascii="仿宋_GB2312" w:hAnsi="仿宋_GB2312" w:eastAsia="仿宋_GB2312" w:cs="仿宋_GB2312"/>
          <w:sz w:val="24"/>
          <w:szCs w:val="28"/>
          <w:u w:val="single"/>
        </w:rPr>
        <w:tab/>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参加贵方组织的浙江海正动物保健品有限公司增资项目及部分股权转让项目的竞争性谈判活动，其中</w:t>
      </w:r>
      <w:r>
        <w:rPr>
          <w:rFonts w:hint="eastAsia" w:ascii="仿宋_GB2312" w:hAnsi="仿宋_GB2312" w:eastAsia="仿宋_GB2312" w:cs="仿宋_GB2312"/>
          <w:sz w:val="24"/>
          <w:szCs w:val="28"/>
          <w:u w:val="single"/>
        </w:rPr>
        <w:tab/>
      </w:r>
      <w:r>
        <w:rPr>
          <w:rFonts w:hint="eastAsia" w:ascii="仿宋_GB2312" w:hAnsi="仿宋_GB2312" w:eastAsia="仿宋_GB2312" w:cs="仿宋_GB2312"/>
          <w:sz w:val="24"/>
          <w:szCs w:val="28"/>
          <w:u w:val="single"/>
        </w:rPr>
        <w:t xml:space="preserve">          </w:t>
      </w:r>
      <w:r>
        <w:rPr>
          <w:rFonts w:hint="eastAsia" w:ascii="仿宋_GB2312" w:hAnsi="仿宋_GB2312" w:eastAsia="仿宋_GB2312" w:cs="仿宋_GB2312"/>
          <w:sz w:val="24"/>
          <w:szCs w:val="28"/>
        </w:rPr>
        <w:t>全权代表我单位处理本次谈判中的有关事务，其就此所签署的文件或作出的行为对我单位均有约束力。</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本授权书于签字盖章后生效，特此声明。附全权代表人情况：</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姓</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名：</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性 别： </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身份证号：</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部   门：</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职   务：</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电 话： </w:t>
      </w:r>
    </w:p>
    <w:p>
      <w:pPr>
        <w:spacing w:line="360" w:lineRule="auto"/>
        <w:ind w:firstLine="480" w:firstLineChars="200"/>
        <w:rPr>
          <w:rFonts w:ascii="仿宋_GB2312" w:hAnsi="仿宋_GB2312" w:eastAsia="仿宋_GB2312" w:cs="仿宋_GB2312"/>
          <w:sz w:val="24"/>
          <w:szCs w:val="28"/>
        </w:rPr>
      </w:pPr>
      <w:r>
        <w:rPr>
          <w:rFonts w:hint="eastAsia" w:ascii="仿宋_GB2312" w:hAnsi="仿宋_GB2312" w:eastAsia="仿宋_GB2312" w:cs="仿宋_GB2312"/>
          <w:sz w:val="24"/>
          <w:szCs w:val="28"/>
        </w:rPr>
        <w:t>电子邮箱：</w:t>
      </w:r>
    </w:p>
    <w:p>
      <w:pPr>
        <w:spacing w:line="360" w:lineRule="auto"/>
        <w:ind w:firstLine="480" w:firstLineChars="200"/>
        <w:rPr>
          <w:rFonts w:ascii="仿宋_GB2312" w:hAnsi="仿宋_GB2312" w:eastAsia="仿宋_GB2312" w:cs="仿宋_GB2312"/>
          <w:sz w:val="24"/>
          <w:szCs w:val="28"/>
        </w:rPr>
      </w:pPr>
    </w:p>
    <w:p>
      <w:pPr>
        <w:spacing w:line="360" w:lineRule="auto"/>
        <w:ind w:right="720" w:firstLine="480" w:firstLineChars="200"/>
        <w:jc w:val="right"/>
        <w:rPr>
          <w:rFonts w:ascii="仿宋_GB2312" w:hAnsi="仿宋_GB2312" w:eastAsia="仿宋_GB2312" w:cs="仿宋_GB2312"/>
          <w:sz w:val="24"/>
          <w:szCs w:val="28"/>
        </w:rPr>
      </w:pPr>
      <w:r>
        <w:rPr>
          <w:rFonts w:hint="eastAsia" w:ascii="仿宋_GB2312" w:hAnsi="仿宋_GB2312" w:eastAsia="仿宋_GB2312" w:cs="仿宋_GB2312"/>
          <w:sz w:val="24"/>
          <w:szCs w:val="28"/>
        </w:rPr>
        <w:t>意向投资方（盖章）：</w:t>
      </w:r>
    </w:p>
    <w:p>
      <w:pPr>
        <w:spacing w:line="360" w:lineRule="auto"/>
        <w:ind w:right="720" w:firstLine="480" w:firstLineChars="200"/>
        <w:jc w:val="right"/>
        <w:rPr>
          <w:rFonts w:ascii="仿宋_GB2312" w:hAnsi="仿宋_GB2312" w:eastAsia="仿宋_GB2312" w:cs="仿宋_GB2312"/>
          <w:sz w:val="24"/>
          <w:szCs w:val="28"/>
        </w:rPr>
      </w:pPr>
      <w:r>
        <w:rPr>
          <w:rFonts w:hint="eastAsia" w:ascii="仿宋_GB2312" w:hAnsi="仿宋_GB2312" w:eastAsia="仿宋_GB2312" w:cs="仿宋_GB2312"/>
          <w:sz w:val="24"/>
          <w:szCs w:val="28"/>
        </w:rPr>
        <w:t>法定代表人（签字）：</w:t>
      </w:r>
    </w:p>
    <w:p>
      <w:pPr>
        <w:spacing w:line="360" w:lineRule="auto"/>
        <w:ind w:right="960" w:firstLine="480" w:firstLineChars="200"/>
        <w:jc w:val="right"/>
        <w:rPr>
          <w:rFonts w:ascii="仿宋_GB2312" w:hAnsi="仿宋_GB2312" w:eastAsia="仿宋_GB2312" w:cs="仿宋_GB2312"/>
          <w:sz w:val="24"/>
          <w:szCs w:val="28"/>
        </w:rPr>
      </w:pPr>
      <w:r>
        <w:rPr>
          <w:rFonts w:hint="eastAsia" w:ascii="仿宋_GB2312" w:hAnsi="仿宋_GB2312" w:eastAsia="仿宋_GB2312" w:cs="仿宋_GB2312"/>
          <w:sz w:val="24"/>
          <w:szCs w:val="28"/>
        </w:rPr>
        <w:t xml:space="preserve">年  </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月</w:t>
      </w:r>
      <w:r>
        <w:rPr>
          <w:rFonts w:hint="eastAsia" w:ascii="仿宋_GB2312" w:hAnsi="仿宋_GB2312" w:eastAsia="仿宋_GB2312" w:cs="仿宋_GB2312"/>
          <w:sz w:val="24"/>
          <w:szCs w:val="28"/>
        </w:rPr>
        <w:tab/>
      </w:r>
      <w:r>
        <w:rPr>
          <w:rFonts w:hint="eastAsia" w:ascii="仿宋_GB2312" w:hAnsi="仿宋_GB2312" w:eastAsia="仿宋_GB2312" w:cs="仿宋_GB2312"/>
          <w:sz w:val="24"/>
          <w:szCs w:val="28"/>
        </w:rPr>
        <w:t xml:space="preserve">  日</w:t>
      </w:r>
    </w:p>
    <w:p>
      <w:pPr>
        <w:pStyle w:val="7"/>
        <w:spacing w:line="360" w:lineRule="auto"/>
        <w:ind w:left="0" w:firstLine="0" w:firstLineChars="0"/>
        <w:rPr>
          <w:rFonts w:hint="default" w:asciiTheme="minorHAnsi" w:hAnsiTheme="minorHAnsi" w:eastAsiaTheme="minorEastAsia"/>
          <w:sz w:val="24"/>
          <w:szCs w:val="28"/>
        </w:rPr>
      </w:pPr>
    </w:p>
    <w:p>
      <w:pPr>
        <w:widowControl/>
        <w:spacing w:line="360" w:lineRule="auto"/>
        <w:jc w:val="left"/>
        <w:rPr>
          <w:sz w:val="24"/>
          <w:szCs w:val="28"/>
        </w:rPr>
      </w:pPr>
      <w:r>
        <w:rPr>
          <w:sz w:val="24"/>
          <w:szCs w:val="28"/>
        </w:rPr>
        <w:br w:type="page"/>
      </w:r>
    </w:p>
    <w:p>
      <w:pPr>
        <w:pStyle w:val="7"/>
        <w:spacing w:line="360" w:lineRule="auto"/>
        <w:ind w:left="0" w:firstLine="0" w:firstLineChars="0"/>
        <w:rPr>
          <w:rFonts w:hint="default" w:ascii="黑体" w:hAnsi="黑体" w:eastAsia="黑体" w:cs="黑体"/>
          <w:sz w:val="24"/>
          <w:szCs w:val="28"/>
        </w:rPr>
      </w:pPr>
      <w:r>
        <w:rPr>
          <w:rFonts w:ascii="黑体" w:hAnsi="黑体" w:eastAsia="黑体" w:cs="黑体"/>
          <w:sz w:val="24"/>
          <w:szCs w:val="28"/>
        </w:rPr>
        <w:t>2-3诚信承诺书</w:t>
      </w:r>
    </w:p>
    <w:p>
      <w:pPr>
        <w:spacing w:line="360" w:lineRule="auto"/>
        <w:ind w:firstLine="210"/>
        <w:jc w:val="center"/>
        <w:rPr>
          <w:rFonts w:ascii="方正小标宋简体" w:hAnsi="方正小标宋简体" w:eastAsia="方正小标宋简体" w:cs="方正小标宋简体"/>
          <w:bCs/>
          <w:sz w:val="28"/>
          <w:szCs w:val="28"/>
        </w:rPr>
      </w:pPr>
      <w:r>
        <w:rPr>
          <w:rFonts w:hint="eastAsia" w:ascii="方正小标宋简体" w:hAnsi="方正小标宋简体" w:eastAsia="方正小标宋简体" w:cs="方正小标宋简体"/>
          <w:bCs/>
          <w:sz w:val="28"/>
          <w:szCs w:val="28"/>
        </w:rPr>
        <w:t>诚信承诺书</w:t>
      </w:r>
    </w:p>
    <w:p>
      <w:pPr>
        <w:pStyle w:val="2"/>
        <w:spacing w:line="360" w:lineRule="auto"/>
        <w:ind w:firstLine="640"/>
      </w:pPr>
    </w:p>
    <w:p>
      <w:pPr>
        <w:pStyle w:val="7"/>
        <w:spacing w:line="360" w:lineRule="auto"/>
        <w:ind w:left="0" w:firstLine="0" w:firstLineChars="0"/>
        <w:rPr>
          <w:rFonts w:hint="default" w:ascii="仿宋_GB2312" w:hAnsi="仿宋_GB2312" w:eastAsia="仿宋_GB2312" w:cs="仿宋_GB2312"/>
          <w:sz w:val="24"/>
          <w:szCs w:val="28"/>
        </w:rPr>
      </w:pPr>
      <w:r>
        <w:rPr>
          <w:rFonts w:hint="default" w:asciiTheme="minorHAnsi" w:hAnsiTheme="minorHAnsi" w:eastAsiaTheme="minorEastAsia"/>
          <w:sz w:val="24"/>
          <w:szCs w:val="28"/>
        </w:rPr>
        <w:t xml:space="preserve">  </w:t>
      </w:r>
      <w:r>
        <w:rPr>
          <w:rFonts w:hint="default" w:asciiTheme="minorHAnsi" w:hAnsiTheme="minorHAnsi" w:eastAsiaTheme="minorEastAsia"/>
          <w:sz w:val="24"/>
          <w:szCs w:val="28"/>
          <w:u w:val="single"/>
        </w:rPr>
        <w:t xml:space="preserve">                       </w:t>
      </w:r>
      <w:r>
        <w:rPr>
          <w:rFonts w:ascii="仿宋_GB2312" w:hAnsi="仿宋_GB2312" w:eastAsia="仿宋_GB2312" w:cs="仿宋_GB2312"/>
          <w:sz w:val="24"/>
          <w:szCs w:val="28"/>
        </w:rPr>
        <w:t>（意向投资方）郑重承诺：</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一、将遵循公开、公平、公正和诚实信用的原则参加浙江海正动物保健品有限公司增资项目活动；</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二、不向融资方、台州市产权交易所和监管部门及其工作人员和评审人员贿赂，或采取其它不正当手段谋取中标；</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三、应公平竞争、诚实守信，不得采取不正当手段抵毁、排挤其他参与方，不提供虚假材料谋取中标； </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四、不与融资方、其他参与方和台州市产权交易所串通或恶意报价；</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五、中标成交后，按规定及时与融资方签订合同；无正当理由不拖延或拒绝与融资方签订合同，不与融资方订立有悖于评判结果的合同或协议；</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六、严格履行合同，不擅自变更、中止、终止合同，或拒绝履行合同义务；</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七、不捏造事实或者提供虚假材料，进行虚假、恶意质疑、投诉，扰乱谈判工作；</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八、自觉接受和配合有关监督部门的监督检查，不拒绝或在检查中提供虚假材料。</w:t>
      </w:r>
    </w:p>
    <w:p>
      <w:pPr>
        <w:pStyle w:val="7"/>
        <w:spacing w:line="360" w:lineRule="auto"/>
        <w:ind w:left="119" w:firstLine="480" w:firstLineChars="200"/>
        <w:rPr>
          <w:rFonts w:hint="default" w:ascii="仿宋_GB2312" w:hAnsi="仿宋_GB2312" w:eastAsia="仿宋_GB2312" w:cs="仿宋_GB2312"/>
          <w:sz w:val="24"/>
          <w:szCs w:val="28"/>
        </w:rPr>
      </w:pPr>
      <w:r>
        <w:rPr>
          <w:rFonts w:ascii="仿宋_GB2312" w:hAnsi="仿宋_GB2312" w:eastAsia="仿宋_GB2312" w:cs="仿宋_GB2312"/>
          <w:sz w:val="24"/>
          <w:szCs w:val="28"/>
        </w:rPr>
        <w:t>本公司若有违反承诺内容的行为，自愿接受记入信用档案等有关处理，愿意承担法律责任。如已中标的，自动放弃中标资格给融资方造成损失的，依法承担赔偿责任。</w:t>
      </w:r>
    </w:p>
    <w:p>
      <w:pPr>
        <w:pStyle w:val="8"/>
        <w:spacing w:line="360" w:lineRule="auto"/>
      </w:pPr>
    </w:p>
    <w:p>
      <w:pPr>
        <w:pStyle w:val="7"/>
        <w:spacing w:line="360" w:lineRule="auto"/>
        <w:ind w:left="119" w:firstLine="480" w:firstLineChars="200"/>
        <w:jc w:val="center"/>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    意向投资方全称（盖单位公章）：</w:t>
      </w:r>
    </w:p>
    <w:p>
      <w:pPr>
        <w:pStyle w:val="7"/>
        <w:spacing w:line="360" w:lineRule="auto"/>
        <w:ind w:left="119" w:firstLine="480" w:firstLineChars="200"/>
        <w:jc w:val="center"/>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             法定代表人或委托代理人（签字或盖章）：</w:t>
      </w:r>
    </w:p>
    <w:p>
      <w:pPr>
        <w:pStyle w:val="7"/>
        <w:spacing w:line="360" w:lineRule="auto"/>
        <w:ind w:left="119" w:firstLine="480" w:firstLineChars="200"/>
        <w:jc w:val="center"/>
        <w:rPr>
          <w:rFonts w:hint="default" w:ascii="仿宋_GB2312" w:hAnsi="仿宋_GB2312" w:eastAsia="仿宋_GB2312" w:cs="仿宋_GB2312"/>
          <w:sz w:val="24"/>
          <w:szCs w:val="28"/>
        </w:rPr>
      </w:pPr>
      <w:r>
        <w:rPr>
          <w:rFonts w:ascii="仿宋_GB2312" w:hAnsi="仿宋_GB2312" w:eastAsia="仿宋_GB2312" w:cs="仿宋_GB2312"/>
          <w:sz w:val="24"/>
          <w:szCs w:val="28"/>
        </w:rPr>
        <w:t xml:space="preserve">   日    期：      年  月  日</w:t>
      </w:r>
    </w:p>
    <w:p>
      <w:pPr>
        <w:widowControl/>
        <w:spacing w:line="360" w:lineRule="auto"/>
        <w:jc w:val="left"/>
        <w:rPr>
          <w:rFonts w:ascii="黑体" w:hAnsi="黑体" w:eastAsia="黑体" w:cs="黑体"/>
          <w:sz w:val="24"/>
          <w:szCs w:val="28"/>
        </w:rPr>
      </w:pPr>
      <w:r>
        <w:rPr>
          <w:rFonts w:ascii="黑体" w:hAnsi="黑体" w:eastAsia="黑体" w:cs="黑体"/>
          <w:sz w:val="24"/>
          <w:szCs w:val="28"/>
        </w:rPr>
        <w:br w:type="page"/>
      </w:r>
    </w:p>
    <w:p>
      <w:pPr>
        <w:spacing w:line="360" w:lineRule="auto"/>
        <w:jc w:val="left"/>
        <w:rPr>
          <w:rFonts w:ascii="黑体" w:hAnsi="黑体" w:eastAsia="黑体" w:cs="黑体"/>
          <w:sz w:val="24"/>
          <w:szCs w:val="28"/>
        </w:rPr>
      </w:pPr>
      <w:r>
        <w:rPr>
          <w:rFonts w:hint="eastAsia" w:ascii="黑体" w:hAnsi="黑体" w:eastAsia="黑体" w:cs="黑体"/>
          <w:sz w:val="24"/>
          <w:szCs w:val="28"/>
        </w:rPr>
        <w:t>附件3</w:t>
      </w: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浙江海正动物保健品有限公司</w:t>
      </w:r>
    </w:p>
    <w:p>
      <w:pPr>
        <w:spacing w:line="360" w:lineRule="auto"/>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竞争性谈判评分标准</w:t>
      </w:r>
    </w:p>
    <w:tbl>
      <w:tblPr>
        <w:tblStyle w:val="13"/>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799"/>
        <w:gridCol w:w="1276"/>
        <w:gridCol w:w="992"/>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14"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序号</w:t>
            </w:r>
          </w:p>
        </w:tc>
        <w:tc>
          <w:tcPr>
            <w:tcW w:w="799"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评审条款</w:t>
            </w:r>
          </w:p>
        </w:tc>
        <w:tc>
          <w:tcPr>
            <w:tcW w:w="1276"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评审因素</w:t>
            </w:r>
          </w:p>
        </w:tc>
        <w:tc>
          <w:tcPr>
            <w:tcW w:w="992"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分值（分）</w:t>
            </w:r>
          </w:p>
        </w:tc>
        <w:tc>
          <w:tcPr>
            <w:tcW w:w="4961"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具体要求和评分标准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14"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一</w:t>
            </w:r>
          </w:p>
        </w:tc>
        <w:tc>
          <w:tcPr>
            <w:tcW w:w="799"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增资金额</w:t>
            </w:r>
          </w:p>
        </w:tc>
        <w:tc>
          <w:tcPr>
            <w:tcW w:w="1276"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增资报价</w:t>
            </w:r>
          </w:p>
        </w:tc>
        <w:tc>
          <w:tcPr>
            <w:tcW w:w="992"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2</w:t>
            </w:r>
            <w:r>
              <w:rPr>
                <w:rFonts w:ascii="仿宋_GB2312" w:hAnsi="仿宋_GB2312" w:eastAsia="仿宋_GB2312" w:cs="仿宋_GB2312"/>
                <w:kern w:val="0"/>
                <w:sz w:val="22"/>
              </w:rPr>
              <w:t>0</w:t>
            </w:r>
          </w:p>
        </w:tc>
        <w:tc>
          <w:tcPr>
            <w:tcW w:w="4961"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1、投资者报价在基础报价6.2857元/股的，得分为</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分；为便于计算，加价基数按照四舍五入调整为6.29元/股，此后每增加</w:t>
            </w:r>
            <w:bookmarkStart w:id="2" w:name="_GoBack"/>
            <w:r>
              <w:rPr>
                <w:rFonts w:hint="eastAsia" w:ascii="仿宋_GB2312" w:hAnsi="仿宋_GB2312" w:eastAsia="仿宋_GB2312" w:cs="仿宋_GB2312"/>
                <w:color w:val="auto"/>
                <w:kern w:val="0"/>
                <w:sz w:val="22"/>
              </w:rPr>
              <w:t>0.</w:t>
            </w:r>
            <w:r>
              <w:rPr>
                <w:rFonts w:ascii="仿宋_GB2312" w:hAnsi="仿宋_GB2312" w:eastAsia="仿宋_GB2312" w:cs="仿宋_GB2312"/>
                <w:color w:val="auto"/>
                <w:kern w:val="0"/>
                <w:sz w:val="22"/>
              </w:rPr>
              <w:t>1</w:t>
            </w:r>
            <w:r>
              <w:rPr>
                <w:rFonts w:hint="eastAsia" w:ascii="仿宋_GB2312" w:hAnsi="仿宋_GB2312" w:eastAsia="仿宋_GB2312" w:cs="仿宋_GB2312"/>
                <w:color w:val="auto"/>
                <w:kern w:val="0"/>
                <w:sz w:val="22"/>
              </w:rPr>
              <w:t>元/股</w:t>
            </w:r>
            <w:bookmarkEnd w:id="2"/>
            <w:r>
              <w:rPr>
                <w:rFonts w:hint="eastAsia" w:ascii="仿宋_GB2312" w:hAnsi="仿宋_GB2312" w:eastAsia="仿宋_GB2312" w:cs="仿宋_GB2312"/>
                <w:kern w:val="0"/>
                <w:sz w:val="22"/>
              </w:rPr>
              <w:t>，加一分（即6.</w:t>
            </w:r>
            <w:r>
              <w:rPr>
                <w:rFonts w:ascii="仿宋_GB2312" w:hAnsi="仿宋_GB2312" w:eastAsia="仿宋_GB2312" w:cs="仿宋_GB2312"/>
                <w:kern w:val="0"/>
                <w:sz w:val="22"/>
              </w:rPr>
              <w:t>39</w:t>
            </w:r>
            <w:r>
              <w:rPr>
                <w:rFonts w:hint="eastAsia" w:ascii="仿宋_GB2312" w:hAnsi="仿宋_GB2312" w:eastAsia="仿宋_GB2312" w:cs="仿宋_GB2312"/>
                <w:kern w:val="0"/>
                <w:sz w:val="22"/>
              </w:rPr>
              <w:t>元/股报价得分</w:t>
            </w:r>
            <w:r>
              <w:rPr>
                <w:rFonts w:ascii="仿宋_GB2312" w:hAnsi="仿宋_GB2312" w:eastAsia="仿宋_GB2312" w:cs="仿宋_GB2312"/>
                <w:kern w:val="0"/>
                <w:sz w:val="22"/>
              </w:rPr>
              <w:t>6</w:t>
            </w:r>
            <w:r>
              <w:rPr>
                <w:rFonts w:hint="eastAsia" w:ascii="仿宋_GB2312" w:hAnsi="仿宋_GB2312" w:eastAsia="仿宋_GB2312" w:cs="仿宋_GB2312"/>
                <w:kern w:val="0"/>
                <w:sz w:val="22"/>
              </w:rPr>
              <w:t>分，以此类推），累加总分不超过2</w:t>
            </w:r>
            <w:r>
              <w:rPr>
                <w:rFonts w:ascii="仿宋_GB2312" w:hAnsi="仿宋_GB2312" w:eastAsia="仿宋_GB2312" w:cs="仿宋_GB2312"/>
                <w:kern w:val="0"/>
                <w:sz w:val="22"/>
              </w:rPr>
              <w:t>0</w:t>
            </w:r>
            <w:r>
              <w:rPr>
                <w:rFonts w:hint="eastAsia" w:ascii="仿宋_GB2312" w:hAnsi="仿宋_GB2312" w:eastAsia="仿宋_GB2312" w:cs="仿宋_GB2312"/>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614"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二</w:t>
            </w:r>
          </w:p>
        </w:tc>
        <w:tc>
          <w:tcPr>
            <w:tcW w:w="799"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综合实力</w:t>
            </w:r>
          </w:p>
        </w:tc>
        <w:tc>
          <w:tcPr>
            <w:tcW w:w="1276"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管理规模和投资经验、行业地位</w:t>
            </w:r>
          </w:p>
        </w:tc>
        <w:tc>
          <w:tcPr>
            <w:tcW w:w="992" w:type="dxa"/>
            <w:shd w:val="clear" w:color="auto" w:fill="auto"/>
            <w:noWrap/>
            <w:vAlign w:val="center"/>
          </w:tcPr>
          <w:p>
            <w:pPr>
              <w:widowControl/>
              <w:jc w:val="center"/>
              <w:rPr>
                <w:rFonts w:ascii="仿宋_GB2312" w:hAnsi="仿宋_GB2312" w:eastAsia="仿宋_GB2312" w:cs="仿宋_GB2312"/>
                <w:kern w:val="0"/>
                <w:sz w:val="22"/>
              </w:rPr>
            </w:pPr>
            <w:r>
              <w:rPr>
                <w:rFonts w:ascii="仿宋_GB2312" w:hAnsi="仿宋_GB2312" w:eastAsia="仿宋_GB2312" w:cs="仿宋_GB2312"/>
                <w:kern w:val="0"/>
                <w:sz w:val="22"/>
              </w:rPr>
              <w:t>20</w:t>
            </w:r>
          </w:p>
        </w:tc>
        <w:tc>
          <w:tcPr>
            <w:tcW w:w="4961" w:type="dxa"/>
            <w:shd w:val="clear" w:color="auto" w:fill="auto"/>
            <w:vAlign w:val="center"/>
          </w:tcPr>
          <w:p>
            <w:pPr>
              <w:widowControl/>
              <w:numPr>
                <w:ilvl w:val="0"/>
                <w:numId w:val="1"/>
              </w:numPr>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意向投资者资产管理规模：联合体（本评分标准中的联合体包括组成联合体的投资主体以及其各自的控股股东和</w:t>
            </w:r>
            <w:r>
              <w:rPr>
                <w:rFonts w:ascii="仿宋_GB2312" w:hAnsi="仿宋_GB2312" w:eastAsia="仿宋_GB2312" w:cs="仿宋_GB2312"/>
                <w:kern w:val="0"/>
                <w:sz w:val="22"/>
              </w:rPr>
              <w:t>/或者</w:t>
            </w:r>
            <w:r>
              <w:rPr>
                <w:rFonts w:hint="eastAsia" w:ascii="仿宋_GB2312" w:hAnsi="仿宋_GB2312" w:eastAsia="仿宋_GB2312" w:cs="仿宋_GB2312"/>
                <w:kern w:val="0"/>
                <w:sz w:val="22"/>
              </w:rPr>
              <w:t>执行事务合伙人</w:t>
            </w:r>
            <w:r>
              <w:rPr>
                <w:rFonts w:ascii="仿宋_GB2312" w:hAnsi="仿宋_GB2312" w:eastAsia="仿宋_GB2312" w:cs="仿宋_GB2312"/>
                <w:kern w:val="0"/>
                <w:sz w:val="22"/>
              </w:rPr>
              <w:t>和/或者</w:t>
            </w:r>
            <w:r>
              <w:rPr>
                <w:rFonts w:hint="eastAsia" w:ascii="仿宋_GB2312" w:hAnsi="仿宋_GB2312" w:eastAsia="仿宋_GB2312" w:cs="仿宋_GB2312"/>
                <w:kern w:val="0"/>
                <w:sz w:val="22"/>
              </w:rPr>
              <w:t>登记为私募基金管理人的实际控制人）合计资产管理规模（以实缴资本计算）超过1</w:t>
            </w:r>
            <w:r>
              <w:rPr>
                <w:rFonts w:ascii="仿宋_GB2312" w:hAnsi="仿宋_GB2312" w:eastAsia="仿宋_GB2312" w:cs="仿宋_GB2312"/>
                <w:kern w:val="0"/>
                <w:sz w:val="22"/>
              </w:rPr>
              <w:t>0</w:t>
            </w:r>
            <w:r>
              <w:rPr>
                <w:rFonts w:hint="eastAsia" w:ascii="仿宋_GB2312" w:hAnsi="仿宋_GB2312" w:eastAsia="仿宋_GB2312" w:cs="仿宋_GB2312"/>
                <w:kern w:val="0"/>
                <w:sz w:val="22"/>
              </w:rPr>
              <w:t>亿元人民币的，得</w:t>
            </w:r>
            <w:r>
              <w:rPr>
                <w:rFonts w:ascii="仿宋_GB2312" w:hAnsi="仿宋_GB2312" w:eastAsia="仿宋_GB2312" w:cs="仿宋_GB2312"/>
                <w:kern w:val="0"/>
                <w:sz w:val="22"/>
              </w:rPr>
              <w:t>1</w:t>
            </w:r>
            <w:r>
              <w:rPr>
                <w:rFonts w:hint="eastAsia" w:ascii="仿宋_GB2312" w:hAnsi="仿宋_GB2312" w:eastAsia="仿宋_GB2312" w:cs="仿宋_GB2312"/>
                <w:kern w:val="0"/>
                <w:sz w:val="22"/>
              </w:rPr>
              <w:t>分，</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亿以上资产管理规模每增加1</w:t>
            </w:r>
            <w:r>
              <w:rPr>
                <w:rFonts w:ascii="仿宋_GB2312" w:hAnsi="仿宋_GB2312" w:eastAsia="仿宋_GB2312" w:cs="仿宋_GB2312"/>
                <w:kern w:val="0"/>
                <w:sz w:val="22"/>
              </w:rPr>
              <w:t>0</w:t>
            </w:r>
            <w:r>
              <w:rPr>
                <w:rFonts w:hint="eastAsia" w:ascii="仿宋_GB2312" w:hAnsi="仿宋_GB2312" w:eastAsia="仿宋_GB2312" w:cs="仿宋_GB2312"/>
                <w:kern w:val="0"/>
                <w:sz w:val="22"/>
              </w:rPr>
              <w:t>亿元人民币，加1分，累加总分不超过1</w:t>
            </w:r>
            <w:r>
              <w:rPr>
                <w:rFonts w:ascii="仿宋_GB2312" w:hAnsi="仿宋_GB2312" w:eastAsia="仿宋_GB2312" w:cs="仿宋_GB2312"/>
                <w:kern w:val="0"/>
                <w:sz w:val="22"/>
              </w:rPr>
              <w:t>0</w:t>
            </w:r>
            <w:r>
              <w:rPr>
                <w:rFonts w:hint="eastAsia" w:ascii="仿宋_GB2312" w:hAnsi="仿宋_GB2312" w:eastAsia="仿宋_GB2312" w:cs="仿宋_GB2312"/>
                <w:kern w:val="0"/>
                <w:sz w:val="22"/>
              </w:rPr>
              <w:t>分；（</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p>
            <w:pPr>
              <w:widowControl/>
              <w:numPr>
                <w:ilvl w:val="0"/>
                <w:numId w:val="1"/>
              </w:numPr>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意向投资者的投资经验：联合体中任何一方在动保领域拥有项目投资经验，且单项投资金额</w:t>
            </w:r>
            <w:r>
              <w:rPr>
                <w:rFonts w:ascii="仿宋_GB2312" w:hAnsi="仿宋_GB2312" w:eastAsia="仿宋_GB2312" w:cs="仿宋_GB2312"/>
                <w:kern w:val="0"/>
                <w:sz w:val="22"/>
              </w:rPr>
              <w:t>4.9</w:t>
            </w:r>
            <w:r>
              <w:rPr>
                <w:rFonts w:hint="eastAsia" w:ascii="仿宋_GB2312" w:hAnsi="仿宋_GB2312" w:eastAsia="仿宋_GB2312" w:cs="仿宋_GB2312"/>
                <w:kern w:val="0"/>
                <w:sz w:val="22"/>
              </w:rPr>
              <w:t>亿元人民币以上的</w:t>
            </w:r>
            <w:r>
              <w:rPr>
                <w:rFonts w:ascii="仿宋_GB2312" w:hAnsi="仿宋_GB2312" w:eastAsia="仿宋_GB2312" w:cs="仿宋_GB2312"/>
                <w:kern w:val="0"/>
                <w:sz w:val="22"/>
              </w:rPr>
              <w:t>，得3分</w:t>
            </w:r>
            <w:r>
              <w:rPr>
                <w:rFonts w:hint="eastAsia" w:ascii="仿宋_GB2312" w:hAnsi="仿宋_GB2312" w:eastAsia="仿宋_GB2312" w:cs="仿宋_GB2312"/>
                <w:kern w:val="0"/>
                <w:sz w:val="22"/>
              </w:rPr>
              <w:t>；联合体中任何一方在动保领域拥有项目投资经验，且单项投资期限超过</w:t>
            </w:r>
            <w:r>
              <w:rPr>
                <w:rFonts w:ascii="仿宋_GB2312" w:hAnsi="仿宋_GB2312" w:eastAsia="仿宋_GB2312" w:cs="仿宋_GB2312"/>
                <w:kern w:val="0"/>
                <w:sz w:val="22"/>
              </w:rPr>
              <w:t>3年的，</w:t>
            </w:r>
            <w:r>
              <w:rPr>
                <w:rFonts w:hint="eastAsia" w:ascii="仿宋_GB2312" w:hAnsi="仿宋_GB2312" w:eastAsia="仿宋_GB2312" w:cs="仿宋_GB2312"/>
                <w:kern w:val="0"/>
                <w:sz w:val="22"/>
              </w:rPr>
              <w:t>得</w:t>
            </w:r>
            <w:r>
              <w:rPr>
                <w:rFonts w:ascii="仿宋_GB2312" w:hAnsi="仿宋_GB2312" w:eastAsia="仿宋_GB2312" w:cs="仿宋_GB2312"/>
                <w:kern w:val="0"/>
                <w:sz w:val="22"/>
              </w:rPr>
              <w:t>2分</w:t>
            </w:r>
            <w:r>
              <w:rPr>
                <w:rFonts w:hint="eastAsia" w:ascii="仿宋_GB2312" w:hAnsi="仿宋_GB2312" w:eastAsia="仿宋_GB2312" w:cs="仿宋_GB2312"/>
                <w:kern w:val="0"/>
                <w:sz w:val="22"/>
              </w:rPr>
              <w:t>；（</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w:t>
            </w:r>
          </w:p>
          <w:p>
            <w:pPr>
              <w:widowControl/>
              <w:numPr>
                <w:ilvl w:val="0"/>
                <w:numId w:val="1"/>
              </w:numPr>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意向投资者行业地位、行业资质、行业声誉等：联合体中任何一方拥有投资行业一项投中排名前3</w:t>
            </w:r>
            <w:r>
              <w:rPr>
                <w:rFonts w:ascii="仿宋_GB2312" w:hAnsi="仿宋_GB2312" w:eastAsia="仿宋_GB2312" w:cs="仿宋_GB2312"/>
                <w:kern w:val="0"/>
                <w:sz w:val="22"/>
              </w:rPr>
              <w:t>0</w:t>
            </w:r>
            <w:r>
              <w:rPr>
                <w:rFonts w:hint="eastAsia" w:ascii="仿宋_GB2312" w:hAnsi="仿宋_GB2312" w:eastAsia="仿宋_GB2312" w:cs="仿宋_GB2312"/>
                <w:kern w:val="0"/>
                <w:sz w:val="22"/>
              </w:rPr>
              <w:t>或者医药行业内一项资质的，每一项得1分，最高得</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614"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三</w:t>
            </w:r>
          </w:p>
        </w:tc>
        <w:tc>
          <w:tcPr>
            <w:tcW w:w="799"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战略契合</w:t>
            </w:r>
          </w:p>
        </w:tc>
        <w:tc>
          <w:tcPr>
            <w:tcW w:w="1276"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战略方向、产业布局和总部战略</w:t>
            </w:r>
          </w:p>
        </w:tc>
        <w:tc>
          <w:tcPr>
            <w:tcW w:w="992" w:type="dxa"/>
            <w:shd w:val="clear" w:color="auto" w:fill="auto"/>
            <w:noWrap/>
            <w:vAlign w:val="center"/>
          </w:tcPr>
          <w:p>
            <w:pPr>
              <w:widowControl/>
              <w:jc w:val="center"/>
              <w:rPr>
                <w:rFonts w:ascii="仿宋_GB2312" w:hAnsi="仿宋_GB2312" w:eastAsia="仿宋_GB2312" w:cs="仿宋_GB2312"/>
                <w:kern w:val="0"/>
                <w:sz w:val="22"/>
              </w:rPr>
            </w:pPr>
            <w:r>
              <w:rPr>
                <w:rFonts w:ascii="仿宋_GB2312" w:hAnsi="仿宋_GB2312" w:eastAsia="仿宋_GB2312" w:cs="仿宋_GB2312"/>
                <w:kern w:val="0"/>
                <w:sz w:val="22"/>
              </w:rPr>
              <w:t>30</w:t>
            </w:r>
          </w:p>
        </w:tc>
        <w:tc>
          <w:tcPr>
            <w:tcW w:w="4961"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1、意向投资者战略方向、产业布局与融资方所处行业契合程度：联合体中任何一方为专注投资医疗大健康或动保领域的行业基金，且投资年限超过3年得</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分，3年以上每增加1年加1分，累加总分不超过</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分；联合体中任何一方拥有国内及海外动保行业专家顾问资源，得5分。（</w:t>
            </w:r>
            <w:r>
              <w:rPr>
                <w:rFonts w:ascii="仿宋_GB2312" w:hAnsi="仿宋_GB2312" w:eastAsia="仿宋_GB2312" w:cs="仿宋_GB2312"/>
                <w:kern w:val="0"/>
                <w:sz w:val="22"/>
              </w:rPr>
              <w:t>15</w:t>
            </w:r>
            <w:r>
              <w:rPr>
                <w:rFonts w:hint="eastAsia" w:ascii="仿宋_GB2312" w:hAnsi="仿宋_GB2312" w:eastAsia="仿宋_GB2312" w:cs="仿宋_GB2312"/>
                <w:kern w:val="0"/>
                <w:sz w:val="22"/>
              </w:rPr>
              <w:t>分）</w:t>
            </w:r>
          </w:p>
          <w:p>
            <w:pPr>
              <w:widowControl/>
              <w:jc w:val="left"/>
              <w:rPr>
                <w:rFonts w:ascii="仿宋_GB2312" w:hAnsi="仿宋_GB2312" w:eastAsia="仿宋_GB2312" w:cs="仿宋_GB2312"/>
                <w:kern w:val="0"/>
                <w:sz w:val="22"/>
              </w:rPr>
            </w:pPr>
            <w:r>
              <w:rPr>
                <w:rFonts w:ascii="仿宋_GB2312" w:hAnsi="仿宋_GB2312" w:eastAsia="仿宋_GB2312" w:cs="仿宋_GB2312"/>
                <w:kern w:val="0"/>
                <w:sz w:val="22"/>
              </w:rPr>
              <w:t>2</w:t>
            </w:r>
            <w:r>
              <w:rPr>
                <w:rFonts w:hint="eastAsia" w:ascii="仿宋_GB2312" w:hAnsi="仿宋_GB2312" w:eastAsia="仿宋_GB2312" w:cs="仿宋_GB2312"/>
                <w:kern w:val="0"/>
                <w:sz w:val="22"/>
              </w:rPr>
              <w:t>、意向投资者对融资方总部布局战略方向认可程度：联合体认可宠物医疗服务行业发展前景，且在该领域有已投项目经验且尚未退出的，得3分；如若该项目是非控股项目但</w:t>
            </w:r>
            <w:r>
              <w:rPr>
                <w:rFonts w:ascii="仿宋_GB2312" w:hAnsi="仿宋_GB2312" w:eastAsia="仿宋_GB2312" w:cs="仿宋_GB2312"/>
                <w:kern w:val="0"/>
                <w:sz w:val="22"/>
              </w:rPr>
              <w:t>位列投资项目前5大股东的，</w:t>
            </w:r>
            <w:r>
              <w:rPr>
                <w:rFonts w:hint="eastAsia" w:ascii="仿宋_GB2312" w:hAnsi="仿宋_GB2312" w:eastAsia="仿宋_GB2312" w:cs="仿宋_GB2312"/>
                <w:kern w:val="0"/>
                <w:sz w:val="22"/>
              </w:rPr>
              <w:t>另加</w:t>
            </w:r>
            <w:r>
              <w:rPr>
                <w:rFonts w:ascii="仿宋_GB2312" w:hAnsi="仿宋_GB2312" w:eastAsia="仿宋_GB2312" w:cs="仿宋_GB2312"/>
                <w:kern w:val="0"/>
                <w:sz w:val="22"/>
              </w:rPr>
              <w:t>2分</w:t>
            </w:r>
            <w:r>
              <w:rPr>
                <w:rFonts w:hint="eastAsia" w:ascii="仿宋_GB2312" w:hAnsi="仿宋_GB2312" w:eastAsia="仿宋_GB2312" w:cs="仿宋_GB2312"/>
                <w:kern w:val="0"/>
                <w:sz w:val="22"/>
              </w:rPr>
              <w:t>；如若该项目是投资人控股的项目，另加</w:t>
            </w:r>
            <w:r>
              <w:rPr>
                <w:rFonts w:ascii="仿宋_GB2312" w:hAnsi="仿宋_GB2312" w:eastAsia="仿宋_GB2312" w:cs="仿宋_GB2312"/>
                <w:kern w:val="0"/>
                <w:sz w:val="22"/>
              </w:rPr>
              <w:t>3分</w:t>
            </w:r>
            <w:r>
              <w:rPr>
                <w:rFonts w:hint="eastAsia" w:ascii="仿宋_GB2312" w:hAnsi="仿宋_GB2312" w:eastAsia="仿宋_GB2312" w:cs="仿宋_GB2312"/>
                <w:kern w:val="0"/>
                <w:sz w:val="22"/>
              </w:rPr>
              <w:t>。联合体认可动物疫苗行业发展前景，且在该领域有已投项目经验且尚未退出的，得</w:t>
            </w:r>
            <w:r>
              <w:rPr>
                <w:rFonts w:ascii="仿宋_GB2312" w:hAnsi="仿宋_GB2312" w:eastAsia="仿宋_GB2312" w:cs="仿宋_GB2312"/>
                <w:kern w:val="0"/>
                <w:sz w:val="22"/>
              </w:rPr>
              <w:t>3分；如</w:t>
            </w:r>
            <w:r>
              <w:rPr>
                <w:rFonts w:hint="eastAsia" w:ascii="仿宋_GB2312" w:hAnsi="仿宋_GB2312" w:eastAsia="仿宋_GB2312" w:cs="仿宋_GB2312"/>
                <w:kern w:val="0"/>
                <w:sz w:val="22"/>
              </w:rPr>
              <w:t>若该</w:t>
            </w:r>
            <w:r>
              <w:rPr>
                <w:rFonts w:ascii="仿宋_GB2312" w:hAnsi="仿宋_GB2312" w:eastAsia="仿宋_GB2312" w:cs="仿宋_GB2312"/>
                <w:kern w:val="0"/>
                <w:sz w:val="22"/>
              </w:rPr>
              <w:t>项目是非控股项目但位列投资项目前5大股东的，</w:t>
            </w:r>
            <w:r>
              <w:rPr>
                <w:rFonts w:hint="eastAsia" w:ascii="仿宋_GB2312" w:hAnsi="仿宋_GB2312" w:eastAsia="仿宋_GB2312" w:cs="仿宋_GB2312"/>
                <w:kern w:val="0"/>
                <w:sz w:val="22"/>
              </w:rPr>
              <w:t>另</w:t>
            </w:r>
            <w:r>
              <w:rPr>
                <w:rFonts w:ascii="仿宋_GB2312" w:hAnsi="仿宋_GB2312" w:eastAsia="仿宋_GB2312" w:cs="仿宋_GB2312"/>
                <w:kern w:val="0"/>
                <w:sz w:val="22"/>
              </w:rPr>
              <w:t>加2分；如若</w:t>
            </w:r>
            <w:r>
              <w:rPr>
                <w:rFonts w:hint="eastAsia" w:ascii="仿宋_GB2312" w:hAnsi="仿宋_GB2312" w:eastAsia="仿宋_GB2312" w:cs="仿宋_GB2312"/>
                <w:kern w:val="0"/>
                <w:sz w:val="22"/>
              </w:rPr>
              <w:t>该</w:t>
            </w:r>
            <w:r>
              <w:rPr>
                <w:rFonts w:ascii="仿宋_GB2312" w:hAnsi="仿宋_GB2312" w:eastAsia="仿宋_GB2312" w:cs="仿宋_GB2312"/>
                <w:kern w:val="0"/>
                <w:sz w:val="22"/>
              </w:rPr>
              <w:t>项目是</w:t>
            </w:r>
            <w:r>
              <w:rPr>
                <w:rFonts w:hint="eastAsia" w:ascii="仿宋_GB2312" w:hAnsi="仿宋_GB2312" w:eastAsia="仿宋_GB2312" w:cs="仿宋_GB2312"/>
                <w:kern w:val="0"/>
                <w:sz w:val="22"/>
              </w:rPr>
              <w:t>投资人</w:t>
            </w:r>
            <w:r>
              <w:rPr>
                <w:rFonts w:ascii="仿宋_GB2312" w:hAnsi="仿宋_GB2312" w:eastAsia="仿宋_GB2312" w:cs="仿宋_GB2312"/>
                <w:kern w:val="0"/>
                <w:sz w:val="22"/>
              </w:rPr>
              <w:t>控股</w:t>
            </w:r>
            <w:r>
              <w:rPr>
                <w:rFonts w:hint="eastAsia" w:ascii="仿宋_GB2312" w:hAnsi="仿宋_GB2312" w:eastAsia="仿宋_GB2312" w:cs="仿宋_GB2312"/>
                <w:kern w:val="0"/>
                <w:sz w:val="22"/>
              </w:rPr>
              <w:t>的</w:t>
            </w:r>
            <w:r>
              <w:rPr>
                <w:rFonts w:ascii="仿宋_GB2312" w:hAnsi="仿宋_GB2312" w:eastAsia="仿宋_GB2312" w:cs="仿宋_GB2312"/>
                <w:kern w:val="0"/>
                <w:sz w:val="22"/>
              </w:rPr>
              <w:t>项目，</w:t>
            </w:r>
            <w:r>
              <w:rPr>
                <w:rFonts w:hint="eastAsia" w:ascii="仿宋_GB2312" w:hAnsi="仿宋_GB2312" w:eastAsia="仿宋_GB2312" w:cs="仿宋_GB2312"/>
                <w:kern w:val="0"/>
                <w:sz w:val="22"/>
              </w:rPr>
              <w:t>另</w:t>
            </w:r>
            <w:r>
              <w:rPr>
                <w:rFonts w:ascii="仿宋_GB2312" w:hAnsi="仿宋_GB2312" w:eastAsia="仿宋_GB2312" w:cs="仿宋_GB2312"/>
                <w:kern w:val="0"/>
                <w:sz w:val="22"/>
              </w:rPr>
              <w:t>加2分。</w:t>
            </w:r>
            <w:r>
              <w:rPr>
                <w:rFonts w:hint="eastAsia" w:ascii="仿宋_GB2312" w:hAnsi="仿宋_GB2312" w:eastAsia="仿宋_GB2312" w:cs="仿宋_GB2312"/>
                <w:kern w:val="0"/>
                <w:sz w:val="22"/>
              </w:rPr>
              <w:t>（</w:t>
            </w:r>
            <w:r>
              <w:rPr>
                <w:rFonts w:ascii="仿宋_GB2312" w:hAnsi="仿宋_GB2312" w:eastAsia="仿宋_GB2312" w:cs="仿宋_GB2312"/>
                <w:kern w:val="0"/>
                <w:sz w:val="22"/>
              </w:rPr>
              <w:t>15</w:t>
            </w:r>
            <w:r>
              <w:rPr>
                <w:rFonts w:hint="eastAsia" w:ascii="仿宋_GB2312" w:hAnsi="仿宋_GB2312" w:eastAsia="仿宋_GB2312" w:cs="仿宋_GB2312"/>
                <w:kern w:val="0"/>
                <w:sz w:val="2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614"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四</w:t>
            </w:r>
          </w:p>
        </w:tc>
        <w:tc>
          <w:tcPr>
            <w:tcW w:w="799"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支持能力</w:t>
            </w:r>
          </w:p>
        </w:tc>
        <w:tc>
          <w:tcPr>
            <w:tcW w:w="1276"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市场渠道、产业整合和资本运作</w:t>
            </w:r>
          </w:p>
        </w:tc>
        <w:tc>
          <w:tcPr>
            <w:tcW w:w="992" w:type="dxa"/>
            <w:shd w:val="clear" w:color="auto" w:fill="auto"/>
            <w:noWrap/>
            <w:vAlign w:val="center"/>
          </w:tcPr>
          <w:p>
            <w:pPr>
              <w:widowControl/>
              <w:jc w:val="center"/>
              <w:rPr>
                <w:rFonts w:ascii="仿宋_GB2312" w:hAnsi="仿宋_GB2312" w:eastAsia="仿宋_GB2312" w:cs="仿宋_GB2312"/>
                <w:kern w:val="0"/>
                <w:sz w:val="22"/>
              </w:rPr>
            </w:pPr>
            <w:r>
              <w:rPr>
                <w:rFonts w:ascii="仿宋_GB2312" w:hAnsi="仿宋_GB2312" w:eastAsia="仿宋_GB2312" w:cs="仿宋_GB2312"/>
                <w:kern w:val="0"/>
                <w:sz w:val="22"/>
              </w:rPr>
              <w:t>30</w:t>
            </w:r>
          </w:p>
        </w:tc>
        <w:tc>
          <w:tcPr>
            <w:tcW w:w="4961"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1、意向投资者具有宠物市场渠道能力：联合体中任何一方自身拥有宠物市场渠道或者其已投控股项目拥有宠物市场渠道，并且协助融资方与其签订战略合作协议，利用其渠道提升融资方品牌影响力及销售渗透率的，加</w:t>
            </w:r>
            <w:r>
              <w:rPr>
                <w:rFonts w:ascii="仿宋_GB2312" w:hAnsi="仿宋_GB2312" w:eastAsia="仿宋_GB2312" w:cs="仿宋_GB2312"/>
                <w:kern w:val="0"/>
                <w:sz w:val="22"/>
              </w:rPr>
              <w:t>10分；如若非控股型项目，但具有较大话语权，并且书面承诺</w:t>
            </w:r>
            <w:r>
              <w:rPr>
                <w:rFonts w:hint="eastAsia" w:ascii="仿宋_GB2312" w:hAnsi="仿宋_GB2312" w:eastAsia="仿宋_GB2312" w:cs="仿宋_GB2312"/>
                <w:kern w:val="0"/>
                <w:sz w:val="22"/>
              </w:rPr>
              <w:t>协助融资方与其签订战略合作协议</w:t>
            </w:r>
            <w:r>
              <w:rPr>
                <w:rFonts w:ascii="仿宋_GB2312" w:hAnsi="仿宋_GB2312" w:eastAsia="仿宋_GB2312" w:cs="仿宋_GB2312"/>
                <w:kern w:val="0"/>
                <w:sz w:val="22"/>
              </w:rPr>
              <w:t>，提高</w:t>
            </w:r>
            <w:r>
              <w:rPr>
                <w:rFonts w:hint="eastAsia" w:ascii="仿宋_GB2312" w:hAnsi="仿宋_GB2312" w:eastAsia="仿宋_GB2312" w:cs="仿宋_GB2312"/>
                <w:kern w:val="0"/>
                <w:sz w:val="22"/>
              </w:rPr>
              <w:t>融资方</w:t>
            </w:r>
            <w:r>
              <w:rPr>
                <w:rFonts w:ascii="仿宋_GB2312" w:hAnsi="仿宋_GB2312" w:eastAsia="仿宋_GB2312" w:cs="仿宋_GB2312"/>
                <w:kern w:val="0"/>
                <w:sz w:val="22"/>
              </w:rPr>
              <w:t>市场销售额</w:t>
            </w:r>
            <w:r>
              <w:rPr>
                <w:rFonts w:hint="eastAsia" w:ascii="仿宋_GB2312" w:hAnsi="仿宋_GB2312" w:eastAsia="仿宋_GB2312" w:cs="仿宋_GB2312"/>
                <w:kern w:val="0"/>
                <w:sz w:val="22"/>
              </w:rPr>
              <w:t>的，</w:t>
            </w:r>
            <w:r>
              <w:rPr>
                <w:rFonts w:ascii="仿宋_GB2312" w:hAnsi="仿宋_GB2312" w:eastAsia="仿宋_GB2312" w:cs="仿宋_GB2312"/>
                <w:kern w:val="0"/>
                <w:sz w:val="22"/>
              </w:rPr>
              <w:t>加5分；其他情况不得分</w:t>
            </w:r>
            <w:r>
              <w:rPr>
                <w:rFonts w:hint="eastAsia" w:ascii="仿宋_GB2312" w:hAnsi="仿宋_GB2312" w:eastAsia="仿宋_GB2312" w:cs="仿宋_GB2312"/>
                <w:kern w:val="0"/>
                <w:sz w:val="22"/>
              </w:rPr>
              <w:t>。（</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2、持续为融资方整合相关产业链：联合体中任何一方在疫苗领域拥有投资经验，并且书面承诺协助融资方在疫苗佐剂、新型疫苗技术等方面与其对接合作的，得5分；联合体中任何一方在反刍业务领域拥有融资方认可的直接战略资源，并且书面承诺协助融资方对接战略资源，提高融资方在反刍业务领域深化品牌影响力及销售渗透率的，得5分；（</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3、</w:t>
            </w:r>
            <w:r>
              <w:rPr>
                <w:rFonts w:ascii="仿宋_GB2312" w:hAnsi="仿宋_GB2312" w:eastAsia="仿宋_GB2312" w:cs="仿宋_GB2312"/>
                <w:kern w:val="0"/>
                <w:sz w:val="22"/>
              </w:rPr>
              <w:t>助力海正动保分拆上市的能力：联合体中任何一方有对A股上市公司子公司投资案例，该子公司已完成A股分拆上市申报且已过会的，每个案例加3分，有完成该类投资但未完成上市过会的，加1分，前述合计总体不高于7分；联合体中任何一方的投资团队主要成员具有丰富的证券行业从业经验及分拆上市或IPO实操案例，且历任对应机构高管职位</w:t>
            </w:r>
            <w:r>
              <w:rPr>
                <w:rFonts w:hint="eastAsia" w:ascii="仿宋_GB2312" w:hAnsi="仿宋_GB2312" w:eastAsia="仿宋_GB2312" w:cs="仿宋_GB2312"/>
                <w:kern w:val="0"/>
                <w:sz w:val="22"/>
              </w:rPr>
              <w:t>的</w:t>
            </w:r>
            <w:r>
              <w:rPr>
                <w:rFonts w:ascii="仿宋_GB2312" w:hAnsi="仿宋_GB2312" w:eastAsia="仿宋_GB2312" w:cs="仿宋_GB2312"/>
                <w:kern w:val="0"/>
                <w:sz w:val="22"/>
              </w:rPr>
              <w:t>，得3分；（10分）</w:t>
            </w:r>
          </w:p>
        </w:tc>
      </w:tr>
    </w:tbl>
    <w:p>
      <w:pPr>
        <w:pStyle w:val="2"/>
        <w:spacing w:line="360" w:lineRule="auto"/>
        <w:ind w:left="0" w:leftChars="0" w:firstLine="480"/>
        <w:rPr>
          <w:rFonts w:ascii="仿宋_GB2312" w:hAnsi="仿宋_GB2312" w:cs="仿宋_GB2312"/>
          <w:sz w:val="24"/>
          <w:szCs w:val="28"/>
        </w:rPr>
      </w:pPr>
      <w:r>
        <w:rPr>
          <w:rFonts w:hint="eastAsia" w:ascii="仿宋_GB2312" w:hAnsi="仿宋_GB2312" w:cs="仿宋_GB2312"/>
          <w:sz w:val="24"/>
          <w:szCs w:val="28"/>
        </w:rPr>
        <w:t>谈判小组成员按评分标准各自打分，意向投资方的得分为评判小组成员评分结果的平均值。（谈判小组评分结果每项保留1位小数，第2位四舍五入；平均值小数点后保留2位，第3位四舍五入）</w:t>
      </w:r>
    </w:p>
    <w:p>
      <w:pPr>
        <w:pStyle w:val="2"/>
        <w:spacing w:line="360" w:lineRule="auto"/>
        <w:ind w:left="0" w:leftChars="0" w:firstLine="480"/>
        <w:rPr>
          <w:rFonts w:ascii="仿宋_GB2312" w:hAnsi="仿宋_GB2312" w:cs="仿宋_GB2312"/>
          <w:sz w:val="24"/>
          <w:szCs w:val="28"/>
        </w:rPr>
      </w:pPr>
    </w:p>
    <w:p>
      <w:pPr>
        <w:widowControl/>
        <w:jc w:val="left"/>
        <w:rPr>
          <w:rFonts w:ascii="仿宋_GB2312" w:hAnsi="仿宋_GB2312" w:cs="仿宋_GB2312"/>
          <w:sz w:val="24"/>
          <w:szCs w:val="28"/>
        </w:rPr>
      </w:pPr>
      <w:r>
        <w:rPr>
          <w:rFonts w:ascii="仿宋_GB2312" w:hAnsi="仿宋_GB2312" w:cs="仿宋_GB2312"/>
          <w:sz w:val="24"/>
          <w:szCs w:val="28"/>
        </w:rPr>
        <w:br w:type="page"/>
      </w:r>
    </w:p>
    <w:p>
      <w:pPr>
        <w:spacing w:line="360" w:lineRule="auto"/>
        <w:jc w:val="left"/>
        <w:rPr>
          <w:rFonts w:ascii="黑体" w:hAnsi="黑体" w:eastAsia="黑体" w:cs="黑体"/>
          <w:sz w:val="24"/>
          <w:szCs w:val="28"/>
        </w:rPr>
      </w:pPr>
      <w:r>
        <w:rPr>
          <w:rFonts w:hint="eastAsia" w:ascii="黑体" w:hAnsi="黑体" w:eastAsia="黑体" w:cs="黑体"/>
          <w:sz w:val="24"/>
          <w:szCs w:val="28"/>
        </w:rPr>
        <w:t>附件4</w:t>
      </w:r>
    </w:p>
    <w:p>
      <w:pPr>
        <w:pStyle w:val="2"/>
        <w:spacing w:line="360" w:lineRule="auto"/>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竞争性谈判评分表</w:t>
      </w:r>
    </w:p>
    <w:p>
      <w:pPr>
        <w:pStyle w:val="2"/>
        <w:spacing w:line="360" w:lineRule="auto"/>
        <w:ind w:left="0" w:leftChars="0" w:firstLine="0" w:firstLineChars="0"/>
        <w:rPr>
          <w:rFonts w:ascii="方正小标宋简体" w:hAnsi="方正小标宋简体" w:eastAsia="方正小标宋简体" w:cs="方正小标宋简体"/>
          <w:sz w:val="24"/>
          <w:u w:val="single"/>
        </w:rPr>
      </w:pPr>
      <w:r>
        <w:rPr>
          <w:rFonts w:hint="eastAsia" w:ascii="方正小标宋简体" w:hAnsi="方正小标宋简体" w:eastAsia="方正小标宋简体" w:cs="方正小标宋简体"/>
          <w:sz w:val="24"/>
        </w:rPr>
        <w:t>意向投资人：</w:t>
      </w:r>
      <w:r>
        <w:rPr>
          <w:rFonts w:hint="eastAsia" w:ascii="方正小标宋简体" w:hAnsi="方正小标宋简体" w:eastAsia="方正小标宋简体" w:cs="方正小标宋简体"/>
          <w:sz w:val="24"/>
          <w:u w:val="single"/>
        </w:rPr>
        <w:t xml:space="preserve"> </w:t>
      </w:r>
      <w:r>
        <w:rPr>
          <w:rFonts w:ascii="方正小标宋简体" w:hAnsi="方正小标宋简体" w:eastAsia="方正小标宋简体" w:cs="方正小标宋简体"/>
          <w:sz w:val="24"/>
          <w:u w:val="single"/>
        </w:rPr>
        <w:t xml:space="preserve">            </w:t>
      </w:r>
      <w:r>
        <w:rPr>
          <w:rFonts w:ascii="方正小标宋简体" w:hAnsi="方正小标宋简体" w:eastAsia="方正小标宋简体" w:cs="方正小标宋简体"/>
          <w:sz w:val="24"/>
        </w:rPr>
        <w:t xml:space="preserve">  </w:t>
      </w:r>
      <w:r>
        <w:rPr>
          <w:rFonts w:hint="eastAsia" w:ascii="方正小标宋简体" w:hAnsi="方正小标宋简体" w:eastAsia="方正小标宋简体" w:cs="方正小标宋简体"/>
          <w:sz w:val="24"/>
        </w:rPr>
        <w:t>评分人：</w:t>
      </w:r>
      <w:r>
        <w:rPr>
          <w:rFonts w:hint="eastAsia" w:ascii="方正小标宋简体" w:hAnsi="方正小标宋简体" w:eastAsia="方正小标宋简体" w:cs="方正小标宋简体"/>
          <w:sz w:val="24"/>
          <w:u w:val="single"/>
        </w:rPr>
        <w:t xml:space="preserve"> </w:t>
      </w:r>
      <w:r>
        <w:rPr>
          <w:rFonts w:ascii="方正小标宋简体" w:hAnsi="方正小标宋简体" w:eastAsia="方正小标宋简体" w:cs="方正小标宋简体"/>
          <w:sz w:val="24"/>
          <w:u w:val="single"/>
        </w:rPr>
        <w:t xml:space="preserve">            </w:t>
      </w:r>
      <w:r>
        <w:rPr>
          <w:rFonts w:ascii="方正小标宋简体" w:hAnsi="方正小标宋简体" w:eastAsia="方正小标宋简体" w:cs="方正小标宋简体"/>
          <w:sz w:val="24"/>
        </w:rPr>
        <w:t xml:space="preserve">  </w:t>
      </w:r>
      <w:r>
        <w:rPr>
          <w:rFonts w:hint="eastAsia" w:ascii="方正小标宋简体" w:hAnsi="方正小标宋简体" w:eastAsia="方正小标宋简体" w:cs="方正小标宋简体"/>
          <w:sz w:val="24"/>
        </w:rPr>
        <w:t>日期</w:t>
      </w:r>
      <w:r>
        <w:rPr>
          <w:rFonts w:hint="eastAsia" w:ascii="方正小标宋简体" w:hAnsi="方正小标宋简体" w:eastAsia="方正小标宋简体" w:cs="方正小标宋简体"/>
          <w:sz w:val="24"/>
          <w:u w:val="single"/>
        </w:rPr>
        <w:t xml:space="preserve"> </w:t>
      </w:r>
      <w:r>
        <w:rPr>
          <w:rFonts w:ascii="方正小标宋简体" w:hAnsi="方正小标宋简体" w:eastAsia="方正小标宋简体" w:cs="方正小标宋简体"/>
          <w:sz w:val="24"/>
          <w:u w:val="single"/>
        </w:rPr>
        <w:t xml:space="preserve">         </w:t>
      </w:r>
    </w:p>
    <w:tbl>
      <w:tblPr>
        <w:tblStyle w:val="13"/>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695"/>
        <w:gridCol w:w="1125"/>
        <w:gridCol w:w="780"/>
        <w:gridCol w:w="4400"/>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443"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序号</w:t>
            </w:r>
          </w:p>
        </w:tc>
        <w:tc>
          <w:tcPr>
            <w:tcW w:w="695"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评审条款</w:t>
            </w:r>
          </w:p>
        </w:tc>
        <w:tc>
          <w:tcPr>
            <w:tcW w:w="1125"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评审因素</w:t>
            </w:r>
          </w:p>
        </w:tc>
        <w:tc>
          <w:tcPr>
            <w:tcW w:w="780"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权重分值</w:t>
            </w:r>
          </w:p>
        </w:tc>
        <w:tc>
          <w:tcPr>
            <w:tcW w:w="4400" w:type="dxa"/>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具体要求和评分标准</w:t>
            </w:r>
          </w:p>
        </w:tc>
        <w:tc>
          <w:tcPr>
            <w:tcW w:w="1100" w:type="dxa"/>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trPr>
        <w:tc>
          <w:tcPr>
            <w:tcW w:w="443"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一</w:t>
            </w:r>
          </w:p>
        </w:tc>
        <w:tc>
          <w:tcPr>
            <w:tcW w:w="695"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增资金额</w:t>
            </w:r>
          </w:p>
        </w:tc>
        <w:tc>
          <w:tcPr>
            <w:tcW w:w="1125"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增资报价</w:t>
            </w:r>
          </w:p>
        </w:tc>
        <w:tc>
          <w:tcPr>
            <w:tcW w:w="780" w:type="dxa"/>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2</w:t>
            </w:r>
            <w:r>
              <w:rPr>
                <w:rFonts w:ascii="仿宋_GB2312" w:hAnsi="仿宋_GB2312" w:eastAsia="仿宋_GB2312" w:cs="仿宋_GB2312"/>
                <w:kern w:val="0"/>
                <w:sz w:val="22"/>
              </w:rPr>
              <w:t>0</w:t>
            </w:r>
          </w:p>
        </w:tc>
        <w:tc>
          <w:tcPr>
            <w:tcW w:w="4400"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1、投资者报价在基础报价6.2857元/股的，得分为</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分；为便于计算，加价基数按照四舍五入调整为6.29元/股，此后每增加0.</w:t>
            </w:r>
            <w:r>
              <w:rPr>
                <w:rFonts w:ascii="仿宋_GB2312" w:hAnsi="仿宋_GB2312" w:eastAsia="仿宋_GB2312" w:cs="仿宋_GB2312"/>
                <w:kern w:val="0"/>
                <w:sz w:val="22"/>
              </w:rPr>
              <w:t>1</w:t>
            </w:r>
            <w:r>
              <w:rPr>
                <w:rFonts w:hint="eastAsia" w:ascii="仿宋_GB2312" w:hAnsi="仿宋_GB2312" w:eastAsia="仿宋_GB2312" w:cs="仿宋_GB2312"/>
                <w:kern w:val="0"/>
                <w:sz w:val="22"/>
              </w:rPr>
              <w:t>元/股，加一分（即6.</w:t>
            </w:r>
            <w:r>
              <w:rPr>
                <w:rFonts w:ascii="仿宋_GB2312" w:hAnsi="仿宋_GB2312" w:eastAsia="仿宋_GB2312" w:cs="仿宋_GB2312"/>
                <w:kern w:val="0"/>
                <w:sz w:val="22"/>
              </w:rPr>
              <w:t>39</w:t>
            </w:r>
            <w:r>
              <w:rPr>
                <w:rFonts w:hint="eastAsia" w:ascii="仿宋_GB2312" w:hAnsi="仿宋_GB2312" w:eastAsia="仿宋_GB2312" w:cs="仿宋_GB2312"/>
                <w:kern w:val="0"/>
                <w:sz w:val="22"/>
              </w:rPr>
              <w:t>元/股报价得分</w:t>
            </w:r>
            <w:r>
              <w:rPr>
                <w:rFonts w:ascii="仿宋_GB2312" w:hAnsi="仿宋_GB2312" w:eastAsia="仿宋_GB2312" w:cs="仿宋_GB2312"/>
                <w:kern w:val="0"/>
                <w:sz w:val="22"/>
              </w:rPr>
              <w:t>6</w:t>
            </w:r>
            <w:r>
              <w:rPr>
                <w:rFonts w:hint="eastAsia" w:ascii="仿宋_GB2312" w:hAnsi="仿宋_GB2312" w:eastAsia="仿宋_GB2312" w:cs="仿宋_GB2312"/>
                <w:kern w:val="0"/>
                <w:sz w:val="22"/>
              </w:rPr>
              <w:t>分，以此类推），累加总分不超过2</w:t>
            </w:r>
            <w:r>
              <w:rPr>
                <w:rFonts w:ascii="仿宋_GB2312" w:hAnsi="仿宋_GB2312" w:eastAsia="仿宋_GB2312" w:cs="仿宋_GB2312"/>
                <w:kern w:val="0"/>
                <w:sz w:val="22"/>
              </w:rPr>
              <w:t>0</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3"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二</w:t>
            </w:r>
          </w:p>
        </w:tc>
        <w:tc>
          <w:tcPr>
            <w:tcW w:w="695"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综合实力</w:t>
            </w:r>
          </w:p>
        </w:tc>
        <w:tc>
          <w:tcPr>
            <w:tcW w:w="1125"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管理规模和投资经验、行业地位</w:t>
            </w:r>
          </w:p>
        </w:tc>
        <w:tc>
          <w:tcPr>
            <w:tcW w:w="780" w:type="dxa"/>
            <w:vMerge w:val="restart"/>
            <w:shd w:val="clear" w:color="auto" w:fill="auto"/>
            <w:noWrap/>
            <w:vAlign w:val="center"/>
          </w:tcPr>
          <w:p>
            <w:pPr>
              <w:widowControl/>
              <w:jc w:val="center"/>
              <w:rPr>
                <w:rFonts w:ascii="仿宋_GB2312" w:hAnsi="仿宋_GB2312" w:eastAsia="仿宋_GB2312" w:cs="仿宋_GB2312"/>
                <w:kern w:val="0"/>
                <w:sz w:val="22"/>
              </w:rPr>
            </w:pPr>
            <w:r>
              <w:rPr>
                <w:rFonts w:ascii="仿宋_GB2312" w:hAnsi="仿宋_GB2312" w:eastAsia="仿宋_GB2312" w:cs="仿宋_GB2312"/>
                <w:kern w:val="0"/>
                <w:sz w:val="22"/>
              </w:rPr>
              <w:t>20</w:t>
            </w:r>
          </w:p>
        </w:tc>
        <w:tc>
          <w:tcPr>
            <w:tcW w:w="4400" w:type="dxa"/>
            <w:shd w:val="clear" w:color="auto" w:fill="auto"/>
            <w:vAlign w:val="center"/>
          </w:tcPr>
          <w:p>
            <w:pPr>
              <w:widowControl/>
              <w:numPr>
                <w:ilvl w:val="0"/>
                <w:numId w:val="2"/>
              </w:numPr>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意向投资者资产管理规模；（</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3"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69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112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780"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4400" w:type="dxa"/>
            <w:shd w:val="clear" w:color="auto" w:fill="auto"/>
            <w:vAlign w:val="center"/>
          </w:tcPr>
          <w:p>
            <w:pPr>
              <w:widowControl/>
              <w:numPr>
                <w:ilvl w:val="0"/>
                <w:numId w:val="2"/>
              </w:numPr>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意向投资者的投资经验；（</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443"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69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112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780"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4400" w:type="dxa"/>
            <w:shd w:val="clear" w:color="auto" w:fill="auto"/>
            <w:vAlign w:val="center"/>
          </w:tcPr>
          <w:p>
            <w:pPr>
              <w:widowControl/>
              <w:numPr>
                <w:ilvl w:val="0"/>
                <w:numId w:val="2"/>
              </w:numPr>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意向投资者行业地位、行业资质、行业声誉等；（</w:t>
            </w:r>
            <w:r>
              <w:rPr>
                <w:rFonts w:ascii="仿宋_GB2312" w:hAnsi="仿宋_GB2312" w:eastAsia="仿宋_GB2312" w:cs="仿宋_GB2312"/>
                <w:kern w:val="0"/>
                <w:sz w:val="22"/>
              </w:rPr>
              <w:t>5</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43"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三</w:t>
            </w:r>
          </w:p>
        </w:tc>
        <w:tc>
          <w:tcPr>
            <w:tcW w:w="695"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战略契合</w:t>
            </w:r>
          </w:p>
        </w:tc>
        <w:tc>
          <w:tcPr>
            <w:tcW w:w="1125"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战略方向、产业布局和总部战略</w:t>
            </w:r>
          </w:p>
        </w:tc>
        <w:tc>
          <w:tcPr>
            <w:tcW w:w="780" w:type="dxa"/>
            <w:vMerge w:val="restart"/>
            <w:shd w:val="clear" w:color="auto" w:fill="auto"/>
            <w:noWrap/>
            <w:vAlign w:val="center"/>
          </w:tcPr>
          <w:p>
            <w:pPr>
              <w:widowControl/>
              <w:jc w:val="center"/>
              <w:rPr>
                <w:rFonts w:ascii="仿宋_GB2312" w:hAnsi="仿宋_GB2312" w:eastAsia="仿宋_GB2312" w:cs="仿宋_GB2312"/>
                <w:kern w:val="0"/>
                <w:sz w:val="22"/>
              </w:rPr>
            </w:pPr>
            <w:r>
              <w:rPr>
                <w:rFonts w:ascii="仿宋_GB2312" w:hAnsi="仿宋_GB2312" w:eastAsia="仿宋_GB2312" w:cs="仿宋_GB2312"/>
                <w:kern w:val="0"/>
                <w:sz w:val="22"/>
              </w:rPr>
              <w:t>30</w:t>
            </w:r>
          </w:p>
        </w:tc>
        <w:tc>
          <w:tcPr>
            <w:tcW w:w="4400"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1、意向投资者战略布局方向、产业资源与融资方所处行业契合程度；（</w:t>
            </w:r>
            <w:r>
              <w:rPr>
                <w:rFonts w:ascii="仿宋_GB2312" w:hAnsi="仿宋_GB2312" w:eastAsia="仿宋_GB2312" w:cs="仿宋_GB2312"/>
                <w:kern w:val="0"/>
                <w:sz w:val="22"/>
              </w:rPr>
              <w:t>15</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443"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69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112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780"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4400"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3、意向投资者对融资方总部布局战略方向认可程度；（</w:t>
            </w:r>
            <w:r>
              <w:rPr>
                <w:rFonts w:ascii="仿宋_GB2312" w:hAnsi="仿宋_GB2312" w:eastAsia="仿宋_GB2312" w:cs="仿宋_GB2312"/>
                <w:kern w:val="0"/>
                <w:sz w:val="22"/>
              </w:rPr>
              <w:t>15</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43"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四</w:t>
            </w:r>
          </w:p>
        </w:tc>
        <w:tc>
          <w:tcPr>
            <w:tcW w:w="695"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支持能力</w:t>
            </w:r>
          </w:p>
        </w:tc>
        <w:tc>
          <w:tcPr>
            <w:tcW w:w="1125" w:type="dxa"/>
            <w:vMerge w:val="restart"/>
            <w:shd w:val="clear" w:color="auto" w:fill="auto"/>
            <w:noWrap/>
            <w:vAlign w:val="center"/>
          </w:tcPr>
          <w:p>
            <w:pPr>
              <w:widowControl/>
              <w:jc w:val="center"/>
              <w:rPr>
                <w:rFonts w:ascii="仿宋_GB2312" w:hAnsi="仿宋_GB2312" w:eastAsia="仿宋_GB2312" w:cs="仿宋_GB2312"/>
                <w:kern w:val="0"/>
                <w:sz w:val="22"/>
              </w:rPr>
            </w:pPr>
            <w:r>
              <w:rPr>
                <w:rFonts w:hint="eastAsia" w:ascii="仿宋_GB2312" w:hAnsi="仿宋_GB2312" w:eastAsia="仿宋_GB2312" w:cs="仿宋_GB2312"/>
                <w:kern w:val="0"/>
                <w:sz w:val="22"/>
              </w:rPr>
              <w:t>市场渠道、产业整合和资本运作</w:t>
            </w:r>
          </w:p>
        </w:tc>
        <w:tc>
          <w:tcPr>
            <w:tcW w:w="780" w:type="dxa"/>
            <w:vMerge w:val="restart"/>
            <w:shd w:val="clear" w:color="auto" w:fill="auto"/>
            <w:noWrap/>
            <w:vAlign w:val="center"/>
          </w:tcPr>
          <w:p>
            <w:pPr>
              <w:widowControl/>
              <w:jc w:val="center"/>
              <w:rPr>
                <w:rFonts w:ascii="仿宋_GB2312" w:hAnsi="仿宋_GB2312" w:eastAsia="仿宋_GB2312" w:cs="仿宋_GB2312"/>
                <w:kern w:val="0"/>
                <w:sz w:val="22"/>
              </w:rPr>
            </w:pPr>
            <w:r>
              <w:rPr>
                <w:rFonts w:ascii="仿宋_GB2312" w:hAnsi="仿宋_GB2312" w:eastAsia="仿宋_GB2312" w:cs="仿宋_GB2312"/>
                <w:kern w:val="0"/>
                <w:sz w:val="22"/>
              </w:rPr>
              <w:t>30</w:t>
            </w:r>
          </w:p>
        </w:tc>
        <w:tc>
          <w:tcPr>
            <w:tcW w:w="4400"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1、意向投资者具有宠物市场渠道能力；（</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43"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69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112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780"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4400"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2、持续为融资方整合相关产业链；（</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43"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69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1125"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780" w:type="dxa"/>
            <w:vMerge w:val="continue"/>
            <w:shd w:val="clear" w:color="auto" w:fill="auto"/>
            <w:noWrap/>
            <w:vAlign w:val="center"/>
          </w:tcPr>
          <w:p>
            <w:pPr>
              <w:widowControl/>
              <w:jc w:val="center"/>
              <w:rPr>
                <w:rFonts w:ascii="仿宋_GB2312" w:hAnsi="仿宋_GB2312" w:eastAsia="仿宋_GB2312" w:cs="仿宋_GB2312"/>
                <w:kern w:val="0"/>
                <w:sz w:val="22"/>
              </w:rPr>
            </w:pPr>
          </w:p>
        </w:tc>
        <w:tc>
          <w:tcPr>
            <w:tcW w:w="4400" w:type="dxa"/>
            <w:shd w:val="clear" w:color="auto" w:fill="auto"/>
            <w:vAlign w:val="center"/>
          </w:tcPr>
          <w:p>
            <w:pPr>
              <w:widowControl/>
              <w:jc w:val="left"/>
              <w:rPr>
                <w:rFonts w:ascii="仿宋_GB2312" w:hAnsi="仿宋_GB2312" w:eastAsia="仿宋_GB2312" w:cs="仿宋_GB2312"/>
                <w:kern w:val="0"/>
                <w:sz w:val="22"/>
              </w:rPr>
            </w:pPr>
            <w:r>
              <w:rPr>
                <w:rFonts w:hint="eastAsia" w:ascii="仿宋_GB2312" w:hAnsi="仿宋_GB2312" w:eastAsia="仿宋_GB2312" w:cs="仿宋_GB2312"/>
                <w:kern w:val="0"/>
                <w:sz w:val="22"/>
              </w:rPr>
              <w:t>3、助力海正动保分拆上市的能力；（</w:t>
            </w:r>
            <w:r>
              <w:rPr>
                <w:rFonts w:ascii="仿宋_GB2312" w:hAnsi="仿宋_GB2312" w:eastAsia="仿宋_GB2312" w:cs="仿宋_GB2312"/>
                <w:kern w:val="0"/>
                <w:sz w:val="22"/>
              </w:rPr>
              <w:t>10</w:t>
            </w:r>
            <w:r>
              <w:rPr>
                <w:rFonts w:hint="eastAsia" w:ascii="仿宋_GB2312" w:hAnsi="仿宋_GB2312" w:eastAsia="仿宋_GB2312" w:cs="仿宋_GB2312"/>
                <w:kern w:val="0"/>
                <w:sz w:val="22"/>
              </w:rPr>
              <w:t>分）</w:t>
            </w:r>
          </w:p>
        </w:tc>
        <w:tc>
          <w:tcPr>
            <w:tcW w:w="1100" w:type="dxa"/>
          </w:tcPr>
          <w:p>
            <w:pPr>
              <w:widowControl/>
              <w:jc w:val="left"/>
              <w:rPr>
                <w:rFonts w:ascii="仿宋_GB2312" w:hAnsi="仿宋_GB2312" w:eastAsia="仿宋_GB2312" w:cs="仿宋_GB2312"/>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2263" w:type="dxa"/>
            <w:gridSpan w:val="3"/>
            <w:shd w:val="clear" w:color="auto" w:fill="auto"/>
            <w:noWrap/>
            <w:vAlign w:val="center"/>
          </w:tcPr>
          <w:p>
            <w:pPr>
              <w:widowControl/>
              <w:jc w:val="center"/>
              <w:rPr>
                <w:rFonts w:ascii="仿宋_GB2312" w:hAnsi="仿宋_GB2312" w:eastAsia="仿宋_GB2312" w:cs="仿宋_GB2312"/>
                <w:b/>
                <w:bCs/>
                <w:kern w:val="0"/>
                <w:sz w:val="22"/>
              </w:rPr>
            </w:pPr>
            <w:r>
              <w:rPr>
                <w:rFonts w:hint="eastAsia" w:ascii="仿宋_GB2312" w:hAnsi="仿宋_GB2312" w:eastAsia="仿宋_GB2312" w:cs="仿宋_GB2312"/>
                <w:b/>
                <w:bCs/>
                <w:kern w:val="0"/>
                <w:sz w:val="22"/>
              </w:rPr>
              <w:t>合计（总得分）</w:t>
            </w:r>
          </w:p>
        </w:tc>
        <w:tc>
          <w:tcPr>
            <w:tcW w:w="780" w:type="dxa"/>
            <w:shd w:val="clear" w:color="auto" w:fill="auto"/>
            <w:noWrap/>
            <w:vAlign w:val="center"/>
          </w:tcPr>
          <w:p>
            <w:pPr>
              <w:widowControl/>
              <w:jc w:val="center"/>
              <w:rPr>
                <w:rFonts w:ascii="仿宋_GB2312" w:hAnsi="仿宋_GB2312" w:eastAsia="仿宋_GB2312" w:cs="仿宋_GB2312"/>
                <w:kern w:val="0"/>
                <w:sz w:val="22"/>
              </w:rPr>
            </w:pPr>
          </w:p>
        </w:tc>
        <w:tc>
          <w:tcPr>
            <w:tcW w:w="4400" w:type="dxa"/>
            <w:shd w:val="clear" w:color="auto" w:fill="auto"/>
            <w:vAlign w:val="center"/>
          </w:tcPr>
          <w:p>
            <w:pPr>
              <w:widowControl/>
              <w:jc w:val="left"/>
              <w:rPr>
                <w:rFonts w:ascii="仿宋_GB2312" w:hAnsi="仿宋_GB2312" w:eastAsia="仿宋_GB2312" w:cs="仿宋_GB2312"/>
                <w:kern w:val="0"/>
                <w:sz w:val="22"/>
              </w:rPr>
            </w:pPr>
          </w:p>
        </w:tc>
        <w:tc>
          <w:tcPr>
            <w:tcW w:w="1100" w:type="dxa"/>
          </w:tcPr>
          <w:p>
            <w:pPr>
              <w:widowControl/>
              <w:jc w:val="left"/>
              <w:rPr>
                <w:rFonts w:ascii="仿宋_GB2312" w:hAnsi="仿宋_GB2312" w:eastAsia="仿宋_GB2312" w:cs="仿宋_GB2312"/>
                <w:kern w:val="0"/>
                <w:sz w:val="22"/>
              </w:rPr>
            </w:pPr>
          </w:p>
        </w:tc>
      </w:tr>
    </w:tbl>
    <w:p>
      <w:pPr>
        <w:pStyle w:val="2"/>
        <w:ind w:left="0" w:leftChars="0" w:firstLine="0" w:firstLineChars="0"/>
      </w:pPr>
    </w:p>
    <w:p>
      <w:pPr>
        <w:pStyle w:val="2"/>
        <w:spacing w:line="360" w:lineRule="auto"/>
        <w:ind w:left="0" w:leftChars="0" w:firstLine="0" w:firstLineChars="0"/>
        <w:rPr>
          <w:b/>
          <w:bCs/>
          <w:sz w:val="28"/>
          <w:szCs w:val="22"/>
        </w:rPr>
      </w:pPr>
      <w:r>
        <w:rPr>
          <w:rFonts w:hint="eastAsia"/>
          <w:b/>
          <w:bCs/>
          <w:sz w:val="28"/>
          <w:szCs w:val="22"/>
        </w:rPr>
        <w:t>专家评审意见：</w:t>
      </w:r>
    </w:p>
    <w:p>
      <w:pPr>
        <w:pStyle w:val="2"/>
        <w:ind w:left="0" w:leftChars="0" w:firstLine="0" w:firstLineChars="0"/>
      </w:pPr>
      <w:r>
        <w:br w:type="page"/>
      </w:r>
    </w:p>
    <w:p>
      <w:pPr>
        <w:spacing w:line="360" w:lineRule="auto"/>
        <w:jc w:val="left"/>
        <w:rPr>
          <w:rFonts w:ascii="黑体" w:hAnsi="黑体" w:eastAsia="黑体" w:cs="黑体"/>
          <w:sz w:val="24"/>
          <w:szCs w:val="28"/>
        </w:rPr>
      </w:pPr>
      <w:r>
        <w:rPr>
          <w:rFonts w:hint="eastAsia" w:ascii="黑体" w:hAnsi="黑体" w:eastAsia="黑体" w:cs="黑体"/>
          <w:sz w:val="24"/>
          <w:szCs w:val="28"/>
        </w:rPr>
        <w:t>附件</w:t>
      </w:r>
      <w:r>
        <w:rPr>
          <w:rFonts w:ascii="黑体" w:hAnsi="黑体" w:eastAsia="黑体" w:cs="黑体"/>
          <w:sz w:val="24"/>
          <w:szCs w:val="28"/>
        </w:rPr>
        <w:t>5</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浙江海正动物保健品有限公司增资项目</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谈判小组评审报告</w:t>
      </w:r>
    </w:p>
    <w:p>
      <w:pPr>
        <w:spacing w:line="276" w:lineRule="auto"/>
        <w:jc w:val="center"/>
        <w:rPr>
          <w:rFonts w:ascii="黑体" w:eastAsia="黑体"/>
          <w:sz w:val="36"/>
          <w:szCs w:val="36"/>
        </w:rPr>
      </w:pPr>
    </w:p>
    <w:p>
      <w:pPr>
        <w:spacing w:line="276" w:lineRule="auto"/>
        <w:rPr>
          <w:rFonts w:eastAsia="仿宋_GB2312"/>
          <w:sz w:val="32"/>
          <w:szCs w:val="32"/>
        </w:rPr>
      </w:pPr>
      <w:r>
        <w:rPr>
          <w:rFonts w:eastAsia="仿宋_GB2312"/>
          <w:b/>
          <w:sz w:val="32"/>
          <w:szCs w:val="32"/>
        </w:rPr>
        <w:t>日</w:t>
      </w:r>
      <w:r>
        <w:rPr>
          <w:rFonts w:hint="eastAsia" w:eastAsia="仿宋_GB2312"/>
          <w:b/>
          <w:sz w:val="32"/>
          <w:szCs w:val="32"/>
        </w:rPr>
        <w:t xml:space="preserve">    </w:t>
      </w:r>
      <w:r>
        <w:rPr>
          <w:rFonts w:eastAsia="仿宋_GB2312"/>
          <w:b/>
          <w:sz w:val="32"/>
          <w:szCs w:val="32"/>
        </w:rPr>
        <w:t>期：</w:t>
      </w:r>
      <w:r>
        <w:rPr>
          <w:rFonts w:hint="eastAsia" w:eastAsia="仿宋_GB2312"/>
          <w:b/>
          <w:sz w:val="32"/>
          <w:szCs w:val="32"/>
        </w:rPr>
        <w:t>202</w:t>
      </w:r>
      <w:r>
        <w:rPr>
          <w:rFonts w:eastAsia="仿宋_GB2312"/>
          <w:b/>
          <w:sz w:val="32"/>
          <w:szCs w:val="32"/>
        </w:rPr>
        <w:t>2</w:t>
      </w:r>
      <w:r>
        <w:rPr>
          <w:rFonts w:hint="eastAsia" w:eastAsia="仿宋_GB2312"/>
          <w:b/>
          <w:sz w:val="32"/>
          <w:szCs w:val="32"/>
        </w:rPr>
        <w:t>年  月  日</w:t>
      </w:r>
    </w:p>
    <w:p>
      <w:pPr>
        <w:spacing w:line="276" w:lineRule="auto"/>
        <w:rPr>
          <w:rFonts w:eastAsia="仿宋_GB2312"/>
          <w:b/>
          <w:sz w:val="32"/>
          <w:szCs w:val="32"/>
        </w:rPr>
      </w:pPr>
      <w:r>
        <w:rPr>
          <w:rFonts w:hint="eastAsia" w:eastAsia="仿宋_GB2312"/>
          <w:b/>
          <w:sz w:val="32"/>
          <w:szCs w:val="32"/>
        </w:rPr>
        <w:t>谈判</w:t>
      </w:r>
      <w:r>
        <w:rPr>
          <w:rFonts w:eastAsia="仿宋_GB2312"/>
          <w:b/>
          <w:sz w:val="32"/>
          <w:szCs w:val="32"/>
        </w:rPr>
        <w:t>地点：</w:t>
      </w:r>
    </w:p>
    <w:p>
      <w:pPr>
        <w:spacing w:line="276" w:lineRule="auto"/>
        <w:rPr>
          <w:rFonts w:eastAsia="仿宋_GB2312"/>
          <w:sz w:val="28"/>
          <w:szCs w:val="32"/>
        </w:rPr>
      </w:pPr>
      <w:r>
        <w:rPr>
          <w:rFonts w:eastAsia="仿宋_GB2312"/>
          <w:b/>
          <w:sz w:val="32"/>
          <w:szCs w:val="32"/>
        </w:rPr>
        <w:t>项目编号：</w:t>
      </w:r>
    </w:p>
    <w:p>
      <w:pPr>
        <w:spacing w:line="276" w:lineRule="auto"/>
        <w:rPr>
          <w:rFonts w:eastAsia="仿宋_GB2312"/>
          <w:sz w:val="32"/>
          <w:szCs w:val="32"/>
          <w:lang w:val="zh-CN"/>
        </w:rPr>
      </w:pPr>
      <w:r>
        <w:rPr>
          <w:rFonts w:eastAsia="仿宋_GB2312"/>
          <w:b/>
          <w:sz w:val="32"/>
          <w:szCs w:val="32"/>
        </w:rPr>
        <w:t>项目名称：</w:t>
      </w:r>
    </w:p>
    <w:p>
      <w:pPr>
        <w:spacing w:line="276" w:lineRule="auto"/>
        <w:rPr>
          <w:rFonts w:eastAsia="仿宋_GB2312"/>
          <w:sz w:val="32"/>
          <w:szCs w:val="32"/>
          <w:lang w:val="zh-CN"/>
        </w:rPr>
      </w:pPr>
      <w:r>
        <w:rPr>
          <w:rFonts w:hint="eastAsia" w:eastAsia="仿宋_GB2312"/>
          <w:b/>
          <w:sz w:val="32"/>
          <w:szCs w:val="32"/>
          <w:lang w:val="zh-CN"/>
        </w:rPr>
        <w:t>谈判小组人员</w:t>
      </w:r>
      <w:r>
        <w:rPr>
          <w:rFonts w:eastAsia="仿宋_GB2312"/>
          <w:b/>
          <w:sz w:val="32"/>
          <w:szCs w:val="32"/>
          <w:lang w:val="zh-CN"/>
        </w:rPr>
        <w:t>：</w:t>
      </w:r>
    </w:p>
    <w:p>
      <w:pPr>
        <w:rPr>
          <w:rFonts w:eastAsia="仿宋_GB2312"/>
          <w:sz w:val="32"/>
          <w:szCs w:val="32"/>
          <w:lang w:val="zh-CN"/>
        </w:rPr>
      </w:pPr>
      <w:r>
        <w:rPr>
          <w:rFonts w:hint="eastAsia" w:eastAsia="仿宋_GB2312"/>
          <w:b/>
          <w:sz w:val="32"/>
          <w:szCs w:val="32"/>
          <w:lang w:val="zh-CN"/>
        </w:rPr>
        <w:t>评审</w:t>
      </w:r>
      <w:r>
        <w:rPr>
          <w:rFonts w:eastAsia="仿宋_GB2312"/>
          <w:b/>
          <w:sz w:val="32"/>
          <w:szCs w:val="32"/>
          <w:lang w:val="zh-CN"/>
        </w:rPr>
        <w:t>结果：</w:t>
      </w:r>
      <w:r>
        <w:rPr>
          <w:rFonts w:hint="eastAsia" w:eastAsia="仿宋_GB2312"/>
          <w:sz w:val="32"/>
          <w:szCs w:val="32"/>
          <w:lang w:val="zh-CN"/>
        </w:rPr>
        <w:t>本项目</w:t>
      </w:r>
      <w:r>
        <w:rPr>
          <w:rFonts w:eastAsia="仿宋_GB2312"/>
          <w:sz w:val="32"/>
          <w:szCs w:val="32"/>
          <w:lang w:val="zh-CN"/>
        </w:rPr>
        <w:t>共有</w:t>
      </w:r>
      <w:r>
        <w:rPr>
          <w:rFonts w:hint="eastAsia" w:eastAsia="仿宋_GB2312"/>
          <w:sz w:val="32"/>
          <w:szCs w:val="32"/>
        </w:rPr>
        <w:t>*</w:t>
      </w:r>
      <w:r>
        <w:rPr>
          <w:rFonts w:eastAsia="仿宋_GB2312"/>
          <w:sz w:val="32"/>
          <w:szCs w:val="32"/>
          <w:lang w:val="zh-CN"/>
        </w:rPr>
        <w:t>家</w:t>
      </w:r>
      <w:r>
        <w:rPr>
          <w:rFonts w:hint="eastAsia" w:eastAsia="仿宋_GB2312"/>
          <w:sz w:val="32"/>
          <w:szCs w:val="32"/>
          <w:lang w:val="zh-CN"/>
        </w:rPr>
        <w:t>意向投资人参与竞争性谈判。经最终谈判评审，排名如下：</w:t>
      </w:r>
    </w:p>
    <w:p>
      <w:pPr>
        <w:pStyle w:val="2"/>
        <w:ind w:firstLine="640"/>
        <w:rPr>
          <w:lang w:val="zh-CN"/>
        </w:rPr>
      </w:pPr>
    </w:p>
    <w:p>
      <w:pPr>
        <w:spacing w:line="480" w:lineRule="auto"/>
        <w:ind w:firstLine="630"/>
        <w:rPr>
          <w:rFonts w:eastAsia="仿宋_GB2312"/>
          <w:sz w:val="32"/>
          <w:szCs w:val="32"/>
          <w:lang w:val="zh-CN"/>
        </w:rPr>
      </w:pPr>
      <w:r>
        <w:rPr>
          <w:rFonts w:hint="eastAsia" w:eastAsia="仿宋_GB2312"/>
          <w:sz w:val="32"/>
          <w:szCs w:val="32"/>
          <w:lang w:val="zh-CN"/>
        </w:rPr>
        <w:t>第一名为</w:t>
      </w:r>
      <w:r>
        <w:rPr>
          <w:rFonts w:hint="eastAsia" w:eastAsia="仿宋_GB2312"/>
          <w:sz w:val="32"/>
          <w:szCs w:val="32"/>
          <w:u w:val="single"/>
        </w:rPr>
        <w:t xml:space="preserve">                  </w:t>
      </w:r>
      <w:r>
        <w:rPr>
          <w:rFonts w:hint="eastAsia" w:eastAsia="仿宋_GB2312"/>
          <w:sz w:val="32"/>
          <w:szCs w:val="32"/>
          <w:lang w:val="zh-CN"/>
        </w:rPr>
        <w:t>。</w:t>
      </w:r>
    </w:p>
    <w:p>
      <w:pPr>
        <w:spacing w:line="480" w:lineRule="auto"/>
        <w:ind w:firstLine="630"/>
        <w:rPr>
          <w:rFonts w:eastAsia="仿宋_GB2312"/>
          <w:sz w:val="32"/>
          <w:szCs w:val="32"/>
          <w:lang w:val="zh-CN"/>
        </w:rPr>
      </w:pPr>
      <w:r>
        <w:rPr>
          <w:rFonts w:hint="eastAsia" w:eastAsia="仿宋_GB2312"/>
          <w:sz w:val="32"/>
          <w:szCs w:val="32"/>
          <w:lang w:val="zh-CN"/>
        </w:rPr>
        <w:t>第二名为</w:t>
      </w:r>
      <w:r>
        <w:rPr>
          <w:rFonts w:hint="eastAsia" w:eastAsia="仿宋_GB2312"/>
          <w:sz w:val="32"/>
          <w:szCs w:val="32"/>
          <w:u w:val="single"/>
        </w:rPr>
        <w:t xml:space="preserve">                  </w:t>
      </w:r>
      <w:r>
        <w:rPr>
          <w:rFonts w:hint="eastAsia" w:eastAsia="仿宋_GB2312"/>
          <w:sz w:val="32"/>
          <w:szCs w:val="32"/>
          <w:lang w:val="zh-CN"/>
        </w:rPr>
        <w:t>。</w:t>
      </w:r>
    </w:p>
    <w:p>
      <w:pPr>
        <w:spacing w:line="480" w:lineRule="auto"/>
        <w:rPr>
          <w:rFonts w:hint="eastAsia" w:eastAsia="仿宋_GB2312"/>
          <w:sz w:val="32"/>
          <w:szCs w:val="32"/>
          <w:lang w:val="zh-CN"/>
        </w:rPr>
      </w:pPr>
    </w:p>
    <w:p>
      <w:pPr>
        <w:rPr>
          <w:rFonts w:eastAsia="仿宋_GB2312"/>
          <w:sz w:val="32"/>
          <w:szCs w:val="32"/>
          <w:lang w:val="zh-CN"/>
        </w:rPr>
      </w:pPr>
      <w:r>
        <w:rPr>
          <w:rFonts w:hint="eastAsia" w:eastAsia="仿宋_GB2312"/>
          <w:sz w:val="32"/>
          <w:szCs w:val="32"/>
          <w:lang w:val="zh-CN"/>
        </w:rPr>
        <w:t>谈判小组人员签字：</w:t>
      </w:r>
    </w:p>
    <w:p>
      <w:pPr>
        <w:pStyle w:val="2"/>
        <w:ind w:firstLine="640"/>
        <w:rPr>
          <w:lang w:val="zh-CN"/>
        </w:rPr>
      </w:pPr>
    </w:p>
    <w:p>
      <w:pPr>
        <w:pStyle w:val="2"/>
        <w:ind w:firstLine="640"/>
        <w:rPr>
          <w:lang w:val="zh-CN"/>
        </w:rPr>
      </w:pPr>
    </w:p>
    <w:p>
      <w:pPr>
        <w:pStyle w:val="2"/>
        <w:ind w:left="0" w:leftChars="0" w:firstLine="0" w:firstLineChars="0"/>
        <w:rPr>
          <w:lang w:val="zh-CN"/>
        </w:rPr>
      </w:pPr>
      <w:r>
        <w:rPr>
          <w:rFonts w:hint="eastAsia"/>
          <w:lang w:val="zh-CN"/>
        </w:rPr>
        <w:t>纪检人员签字：</w:t>
      </w:r>
    </w:p>
    <w:p>
      <w:pPr>
        <w:pStyle w:val="2"/>
        <w:spacing w:line="360" w:lineRule="auto"/>
        <w:ind w:left="0" w:leftChars="0" w:firstLine="480"/>
        <w:rPr>
          <w:rFonts w:ascii="仿宋_GB2312" w:hAnsi="仿宋_GB2312" w:cs="仿宋_GB2312"/>
          <w:sz w:val="24"/>
          <w:szCs w:val="28"/>
        </w:rPr>
      </w:pPr>
    </w:p>
    <w:sectPr>
      <w:footerReference r:id="rId3" w:type="default"/>
      <w:pgSz w:w="11906" w:h="16838"/>
      <w:pgMar w:top="1440" w:right="1800" w:bottom="1440" w:left="180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228BE"/>
    <w:multiLevelType w:val="singleLevel"/>
    <w:tmpl w:val="454228BE"/>
    <w:lvl w:ilvl="0" w:tentative="0">
      <w:start w:val="1"/>
      <w:numFmt w:val="decimal"/>
      <w:suff w:val="nothing"/>
      <w:lvlText w:val="%1、"/>
      <w:lvlJc w:val="left"/>
    </w:lvl>
  </w:abstractNum>
  <w:abstractNum w:abstractNumId="1">
    <w:nsid w:val="75141A8A"/>
    <w:multiLevelType w:val="singleLevel"/>
    <w:tmpl w:val="75141A8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ViMTI3ZmZiNDQzMDZhMTAzMDYxNmY5MTQ5YTIwYWMifQ=="/>
  </w:docVars>
  <w:rsids>
    <w:rsidRoot w:val="00034679"/>
    <w:rsid w:val="00005869"/>
    <w:rsid w:val="00034679"/>
    <w:rsid w:val="00043550"/>
    <w:rsid w:val="00044994"/>
    <w:rsid w:val="000D6A00"/>
    <w:rsid w:val="000E4EE2"/>
    <w:rsid w:val="000F6029"/>
    <w:rsid w:val="00113144"/>
    <w:rsid w:val="001374CD"/>
    <w:rsid w:val="001534E2"/>
    <w:rsid w:val="00153ACA"/>
    <w:rsid w:val="001954C1"/>
    <w:rsid w:val="001C4F5A"/>
    <w:rsid w:val="00203696"/>
    <w:rsid w:val="00205E57"/>
    <w:rsid w:val="002125D7"/>
    <w:rsid w:val="00271C21"/>
    <w:rsid w:val="00283860"/>
    <w:rsid w:val="002B6AC2"/>
    <w:rsid w:val="003125DD"/>
    <w:rsid w:val="00371D8D"/>
    <w:rsid w:val="0037451F"/>
    <w:rsid w:val="00377E6F"/>
    <w:rsid w:val="00384FF8"/>
    <w:rsid w:val="003E1309"/>
    <w:rsid w:val="003F3A83"/>
    <w:rsid w:val="0044697A"/>
    <w:rsid w:val="00452277"/>
    <w:rsid w:val="00473906"/>
    <w:rsid w:val="004B2569"/>
    <w:rsid w:val="004B53F8"/>
    <w:rsid w:val="004F76A9"/>
    <w:rsid w:val="00500DE9"/>
    <w:rsid w:val="00516537"/>
    <w:rsid w:val="005174FC"/>
    <w:rsid w:val="00525062"/>
    <w:rsid w:val="005547B3"/>
    <w:rsid w:val="005A3990"/>
    <w:rsid w:val="005A6C71"/>
    <w:rsid w:val="005B1286"/>
    <w:rsid w:val="005B1EFF"/>
    <w:rsid w:val="005C0655"/>
    <w:rsid w:val="006A2F9B"/>
    <w:rsid w:val="006D4E1C"/>
    <w:rsid w:val="006E0935"/>
    <w:rsid w:val="006E6AEE"/>
    <w:rsid w:val="00733D91"/>
    <w:rsid w:val="0074117F"/>
    <w:rsid w:val="007577E1"/>
    <w:rsid w:val="00781B71"/>
    <w:rsid w:val="00790D51"/>
    <w:rsid w:val="007A5C51"/>
    <w:rsid w:val="00815ADB"/>
    <w:rsid w:val="00823083"/>
    <w:rsid w:val="008315B8"/>
    <w:rsid w:val="008457C2"/>
    <w:rsid w:val="00875B36"/>
    <w:rsid w:val="008F23F6"/>
    <w:rsid w:val="00926720"/>
    <w:rsid w:val="00927542"/>
    <w:rsid w:val="009406D6"/>
    <w:rsid w:val="00986407"/>
    <w:rsid w:val="0099361A"/>
    <w:rsid w:val="009C7EE4"/>
    <w:rsid w:val="009E2FB6"/>
    <w:rsid w:val="00A017B8"/>
    <w:rsid w:val="00A16414"/>
    <w:rsid w:val="00A34562"/>
    <w:rsid w:val="00A468C0"/>
    <w:rsid w:val="00A73A1A"/>
    <w:rsid w:val="00A8354E"/>
    <w:rsid w:val="00AC429B"/>
    <w:rsid w:val="00AC7CD5"/>
    <w:rsid w:val="00B01DD4"/>
    <w:rsid w:val="00B45D82"/>
    <w:rsid w:val="00B51589"/>
    <w:rsid w:val="00B5591E"/>
    <w:rsid w:val="00B659E9"/>
    <w:rsid w:val="00BC79E9"/>
    <w:rsid w:val="00C12804"/>
    <w:rsid w:val="00C238BB"/>
    <w:rsid w:val="00C77F26"/>
    <w:rsid w:val="00C916B6"/>
    <w:rsid w:val="00CB1B0F"/>
    <w:rsid w:val="00CE619D"/>
    <w:rsid w:val="00CE7D39"/>
    <w:rsid w:val="00D214AB"/>
    <w:rsid w:val="00D4590D"/>
    <w:rsid w:val="00D46A70"/>
    <w:rsid w:val="00D57370"/>
    <w:rsid w:val="00D67C7F"/>
    <w:rsid w:val="00D7428E"/>
    <w:rsid w:val="00D84FF8"/>
    <w:rsid w:val="00DC3F26"/>
    <w:rsid w:val="00E129CA"/>
    <w:rsid w:val="00E14B41"/>
    <w:rsid w:val="00E35415"/>
    <w:rsid w:val="00E537AE"/>
    <w:rsid w:val="00E627F9"/>
    <w:rsid w:val="00E82F02"/>
    <w:rsid w:val="00E90F59"/>
    <w:rsid w:val="00EA54B8"/>
    <w:rsid w:val="00EE2AD2"/>
    <w:rsid w:val="00F20D50"/>
    <w:rsid w:val="00F60803"/>
    <w:rsid w:val="00F61535"/>
    <w:rsid w:val="00F844F8"/>
    <w:rsid w:val="00F9792B"/>
    <w:rsid w:val="00FB2C10"/>
    <w:rsid w:val="00FD303B"/>
    <w:rsid w:val="00FE7BE9"/>
    <w:rsid w:val="01053E95"/>
    <w:rsid w:val="036B37B6"/>
    <w:rsid w:val="03C668C7"/>
    <w:rsid w:val="0405771B"/>
    <w:rsid w:val="07510C64"/>
    <w:rsid w:val="087F4471"/>
    <w:rsid w:val="094D3CEB"/>
    <w:rsid w:val="0B1D5D7A"/>
    <w:rsid w:val="0B3D7B6D"/>
    <w:rsid w:val="0B4E0DDC"/>
    <w:rsid w:val="0B5B570D"/>
    <w:rsid w:val="0B905AC7"/>
    <w:rsid w:val="0C4D1B2A"/>
    <w:rsid w:val="0CDC606C"/>
    <w:rsid w:val="0D997979"/>
    <w:rsid w:val="0F22379A"/>
    <w:rsid w:val="0F2D2E7B"/>
    <w:rsid w:val="10DA48AA"/>
    <w:rsid w:val="118104B1"/>
    <w:rsid w:val="124C0BBD"/>
    <w:rsid w:val="12B07583"/>
    <w:rsid w:val="135573A7"/>
    <w:rsid w:val="155A2A3F"/>
    <w:rsid w:val="15F502F3"/>
    <w:rsid w:val="164F3CFC"/>
    <w:rsid w:val="165779D5"/>
    <w:rsid w:val="166B75B8"/>
    <w:rsid w:val="16E661C3"/>
    <w:rsid w:val="174F6F43"/>
    <w:rsid w:val="17841E51"/>
    <w:rsid w:val="17C24743"/>
    <w:rsid w:val="193B0CF5"/>
    <w:rsid w:val="1A9E7E47"/>
    <w:rsid w:val="1AA9651A"/>
    <w:rsid w:val="1AC57AC5"/>
    <w:rsid w:val="1B9E1602"/>
    <w:rsid w:val="1C7C2862"/>
    <w:rsid w:val="1DCC309C"/>
    <w:rsid w:val="2033565F"/>
    <w:rsid w:val="217C17DD"/>
    <w:rsid w:val="21A460DB"/>
    <w:rsid w:val="21BD57B9"/>
    <w:rsid w:val="229A4B54"/>
    <w:rsid w:val="24642FAB"/>
    <w:rsid w:val="24A813EF"/>
    <w:rsid w:val="24D24390"/>
    <w:rsid w:val="251351C1"/>
    <w:rsid w:val="275A646F"/>
    <w:rsid w:val="29AF4C85"/>
    <w:rsid w:val="29DB1572"/>
    <w:rsid w:val="2AAC6A7E"/>
    <w:rsid w:val="2BCA3611"/>
    <w:rsid w:val="2C342DC4"/>
    <w:rsid w:val="2C7515AF"/>
    <w:rsid w:val="2C876181"/>
    <w:rsid w:val="2D6313E9"/>
    <w:rsid w:val="2D8634AC"/>
    <w:rsid w:val="2DC867AA"/>
    <w:rsid w:val="2F124E51"/>
    <w:rsid w:val="303F3BB7"/>
    <w:rsid w:val="30E03F42"/>
    <w:rsid w:val="31775ADE"/>
    <w:rsid w:val="32612937"/>
    <w:rsid w:val="32BD7E3B"/>
    <w:rsid w:val="32C739AB"/>
    <w:rsid w:val="32E93B15"/>
    <w:rsid w:val="32FB3C3D"/>
    <w:rsid w:val="34BA4463"/>
    <w:rsid w:val="35242091"/>
    <w:rsid w:val="37183FFF"/>
    <w:rsid w:val="37587260"/>
    <w:rsid w:val="377D2730"/>
    <w:rsid w:val="37C919E7"/>
    <w:rsid w:val="3B392F9B"/>
    <w:rsid w:val="3B4A6A9A"/>
    <w:rsid w:val="3C5738CA"/>
    <w:rsid w:val="3DE944CF"/>
    <w:rsid w:val="3DF902BA"/>
    <w:rsid w:val="41065270"/>
    <w:rsid w:val="411E6BCA"/>
    <w:rsid w:val="414B1AB2"/>
    <w:rsid w:val="415370DE"/>
    <w:rsid w:val="423B719C"/>
    <w:rsid w:val="43605CF6"/>
    <w:rsid w:val="437F2BDE"/>
    <w:rsid w:val="439D27DD"/>
    <w:rsid w:val="43C21550"/>
    <w:rsid w:val="43EA3082"/>
    <w:rsid w:val="46072613"/>
    <w:rsid w:val="470D4E2D"/>
    <w:rsid w:val="47645658"/>
    <w:rsid w:val="48D459A1"/>
    <w:rsid w:val="49EF0119"/>
    <w:rsid w:val="4AB27A19"/>
    <w:rsid w:val="4D84279B"/>
    <w:rsid w:val="4E4307AA"/>
    <w:rsid w:val="4EBB6865"/>
    <w:rsid w:val="4FE25169"/>
    <w:rsid w:val="503275FD"/>
    <w:rsid w:val="5115092A"/>
    <w:rsid w:val="51841CD4"/>
    <w:rsid w:val="56540C1C"/>
    <w:rsid w:val="569A6B8C"/>
    <w:rsid w:val="570D46AF"/>
    <w:rsid w:val="57352EFC"/>
    <w:rsid w:val="574515C6"/>
    <w:rsid w:val="57E25552"/>
    <w:rsid w:val="580F4869"/>
    <w:rsid w:val="58C838B7"/>
    <w:rsid w:val="59580CD9"/>
    <w:rsid w:val="5A037DBC"/>
    <w:rsid w:val="5AAF422B"/>
    <w:rsid w:val="5B0B3F23"/>
    <w:rsid w:val="5B0E511E"/>
    <w:rsid w:val="5C962035"/>
    <w:rsid w:val="5C99494B"/>
    <w:rsid w:val="5CCC2F22"/>
    <w:rsid w:val="5FB979C8"/>
    <w:rsid w:val="60EF5C8F"/>
    <w:rsid w:val="61E01BAA"/>
    <w:rsid w:val="62023A50"/>
    <w:rsid w:val="6279431C"/>
    <w:rsid w:val="63805B9F"/>
    <w:rsid w:val="64A704A5"/>
    <w:rsid w:val="68CA7425"/>
    <w:rsid w:val="69D4421F"/>
    <w:rsid w:val="6A15399A"/>
    <w:rsid w:val="6A9F40A7"/>
    <w:rsid w:val="6B95409A"/>
    <w:rsid w:val="6B9B1861"/>
    <w:rsid w:val="6BCC1AEC"/>
    <w:rsid w:val="6C836629"/>
    <w:rsid w:val="6CBB43C6"/>
    <w:rsid w:val="6DED33BC"/>
    <w:rsid w:val="6E307C60"/>
    <w:rsid w:val="6E8F37DC"/>
    <w:rsid w:val="6F173E63"/>
    <w:rsid w:val="6FD477E0"/>
    <w:rsid w:val="71474155"/>
    <w:rsid w:val="71686A19"/>
    <w:rsid w:val="7206158D"/>
    <w:rsid w:val="72F33421"/>
    <w:rsid w:val="72F5709D"/>
    <w:rsid w:val="73432F4C"/>
    <w:rsid w:val="742E2C36"/>
    <w:rsid w:val="74572738"/>
    <w:rsid w:val="74CB5E55"/>
    <w:rsid w:val="76974E27"/>
    <w:rsid w:val="78971BC4"/>
    <w:rsid w:val="79C91F18"/>
    <w:rsid w:val="7A5E2936"/>
    <w:rsid w:val="7ABD0F17"/>
    <w:rsid w:val="7B590CCC"/>
    <w:rsid w:val="7D1235FE"/>
    <w:rsid w:val="7D660D8E"/>
    <w:rsid w:val="7DAF0C8C"/>
    <w:rsid w:val="7EA3639E"/>
    <w:rsid w:val="7F127358"/>
    <w:rsid w:val="7FF80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tabs>
        <w:tab w:val="left" w:pos="720"/>
        <w:tab w:val="left" w:pos="1260"/>
        <w:tab w:val="left" w:pos="2160"/>
        <w:tab w:val="left" w:pos="2880"/>
        <w:tab w:val="left" w:pos="3600"/>
        <w:tab w:val="left" w:pos="4320"/>
        <w:tab w:val="left" w:pos="5040"/>
        <w:tab w:val="left" w:pos="5760"/>
      </w:tabs>
      <w:spacing w:after="120"/>
      <w:ind w:left="420" w:leftChars="200" w:firstLine="420"/>
    </w:pPr>
  </w:style>
  <w:style w:type="paragraph" w:styleId="3">
    <w:name w:val="Body Text Indent"/>
    <w:basedOn w:val="1"/>
    <w:qFormat/>
    <w:uiPriority w:val="0"/>
    <w:pPr>
      <w:ind w:firstLine="640" w:firstLineChars="200"/>
    </w:pPr>
    <w:rPr>
      <w:rFonts w:eastAsia="仿宋_GB2312"/>
      <w:sz w:val="32"/>
      <w:szCs w:val="24"/>
    </w:rPr>
  </w:style>
  <w:style w:type="paragraph" w:styleId="5">
    <w:name w:val="annotation text"/>
    <w:basedOn w:val="1"/>
    <w:link w:val="24"/>
    <w:semiHidden/>
    <w:unhideWhenUsed/>
    <w:qFormat/>
    <w:uiPriority w:val="99"/>
    <w:pPr>
      <w:jc w:val="left"/>
    </w:pPr>
  </w:style>
  <w:style w:type="paragraph" w:styleId="6">
    <w:name w:val="Body Text"/>
    <w:basedOn w:val="1"/>
    <w:next w:val="7"/>
    <w:unhideWhenUsed/>
    <w:qFormat/>
    <w:uiPriority w:val="1"/>
    <w:pPr>
      <w:spacing w:before="57"/>
      <w:ind w:left="118"/>
    </w:pPr>
    <w:rPr>
      <w:rFonts w:hint="eastAsia" w:ascii="华文仿宋" w:hAnsi="华文仿宋" w:eastAsia="华文仿宋"/>
      <w:sz w:val="24"/>
    </w:rPr>
  </w:style>
  <w:style w:type="paragraph" w:styleId="7">
    <w:name w:val="Body Text First Indent"/>
    <w:basedOn w:val="6"/>
    <w:next w:val="8"/>
    <w:qFormat/>
    <w:uiPriority w:val="0"/>
    <w:pPr>
      <w:ind w:firstLine="420" w:firstLineChars="100"/>
    </w:pPr>
    <w:rPr>
      <w:rFonts w:ascii="Calibri" w:hAnsi="Calibri"/>
      <w:sz w:val="21"/>
    </w:rPr>
  </w:style>
  <w:style w:type="paragraph" w:styleId="8">
    <w:name w:val="toc 6"/>
    <w:basedOn w:val="1"/>
    <w:next w:val="1"/>
    <w:qFormat/>
    <w:uiPriority w:val="0"/>
    <w:pPr>
      <w:ind w:left="2100" w:leftChars="1000"/>
    </w:pPr>
    <w:rPr>
      <w:rFonts w:ascii="Calibri" w:hAnsi="Calibri" w:cs="黑体"/>
    </w:rPr>
  </w:style>
  <w:style w:type="paragraph" w:styleId="9">
    <w:name w:val="Body Text Indent 2"/>
    <w:basedOn w:val="1"/>
    <w:qFormat/>
    <w:uiPriority w:val="0"/>
    <w:pPr>
      <w:spacing w:after="120" w:line="480" w:lineRule="auto"/>
      <w:ind w:left="420" w:leftChars="200"/>
    </w:pPr>
    <w:rPr>
      <w:szCs w:val="24"/>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annotation subject"/>
    <w:basedOn w:val="5"/>
    <w:next w:val="5"/>
    <w:link w:val="25"/>
    <w:semiHidden/>
    <w:unhideWhenUsed/>
    <w:qFormat/>
    <w:uiPriority w:val="99"/>
    <w:rPr>
      <w:b/>
      <w:bCs/>
    </w:rPr>
  </w:style>
  <w:style w:type="table" w:styleId="14">
    <w:name w:val="Table Grid"/>
    <w:basedOn w:val="13"/>
    <w:qFormat/>
    <w:uiPriority w:val="39"/>
    <w:rPr>
      <w:rFonts w:ascii="等线" w:hAnsi="等线"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11"/>
    <w:qFormat/>
    <w:uiPriority w:val="99"/>
    <w:rPr>
      <w:sz w:val="18"/>
      <w:szCs w:val="18"/>
    </w:rPr>
  </w:style>
  <w:style w:type="character" w:customStyle="1" w:styleId="19">
    <w:name w:val="页脚 字符"/>
    <w:basedOn w:val="15"/>
    <w:link w:val="10"/>
    <w:qFormat/>
    <w:uiPriority w:val="99"/>
    <w:rPr>
      <w:sz w:val="18"/>
      <w:szCs w:val="18"/>
    </w:rPr>
  </w:style>
  <w:style w:type="character" w:customStyle="1" w:styleId="20">
    <w:name w:val="未处理的提及1"/>
    <w:basedOn w:val="15"/>
    <w:semiHidden/>
    <w:unhideWhenUsed/>
    <w:qFormat/>
    <w:uiPriority w:val="99"/>
    <w:rPr>
      <w:color w:val="605E5C"/>
      <w:shd w:val="clear" w:color="auto" w:fill="E1DFDD"/>
    </w:rPr>
  </w:style>
  <w:style w:type="paragraph" w:customStyle="1" w:styleId="21">
    <w:name w:val="Table Paragraph"/>
    <w:basedOn w:val="1"/>
    <w:qFormat/>
    <w:uiPriority w:val="1"/>
    <w:pPr>
      <w:autoSpaceDE w:val="0"/>
      <w:autoSpaceDN w:val="0"/>
      <w:jc w:val="left"/>
    </w:pPr>
    <w:rPr>
      <w:rFonts w:ascii="宋体" w:hAnsi="宋体" w:cs="宋体"/>
      <w:kern w:val="0"/>
      <w:sz w:val="22"/>
    </w:rPr>
  </w:style>
  <w:style w:type="table" w:customStyle="1" w:styleId="22">
    <w:name w:val="Table Normal"/>
    <w:semiHidden/>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styleId="23">
    <w:name w:val="List Paragraph"/>
    <w:basedOn w:val="1"/>
    <w:qFormat/>
    <w:uiPriority w:val="1"/>
    <w:pPr>
      <w:ind w:firstLine="420" w:firstLineChars="200"/>
    </w:pPr>
  </w:style>
  <w:style w:type="character" w:customStyle="1" w:styleId="24">
    <w:name w:val="批注文字 字符"/>
    <w:basedOn w:val="15"/>
    <w:link w:val="5"/>
    <w:semiHidden/>
    <w:qFormat/>
    <w:uiPriority w:val="99"/>
    <w:rPr>
      <w:kern w:val="2"/>
      <w:sz w:val="21"/>
      <w:szCs w:val="22"/>
    </w:rPr>
  </w:style>
  <w:style w:type="character" w:customStyle="1" w:styleId="25">
    <w:name w:val="批注主题 字符"/>
    <w:basedOn w:val="24"/>
    <w:link w:val="12"/>
    <w:semiHidden/>
    <w:qFormat/>
    <w:uiPriority w:val="99"/>
    <w:rPr>
      <w:b/>
      <w:bCs/>
      <w:kern w:val="2"/>
      <w:sz w:val="21"/>
      <w:szCs w:val="22"/>
    </w:rPr>
  </w:style>
  <w:style w:type="paragraph" w:customStyle="1" w:styleId="2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7">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8">
    <w:name w:val="修订3"/>
    <w:hidden/>
    <w:semiHidden/>
    <w:uiPriority w:val="99"/>
    <w:rPr>
      <w:rFonts w:asciiTheme="minorHAnsi" w:hAnsiTheme="minorHAnsi" w:eastAsiaTheme="minorEastAsia" w:cstheme="minorBidi"/>
      <w:kern w:val="2"/>
      <w:sz w:val="21"/>
      <w:szCs w:val="22"/>
      <w:lang w:val="en-US" w:eastAsia="zh-CN" w:bidi="ar-SA"/>
    </w:rPr>
  </w:style>
  <w:style w:type="paragraph" w:customStyle="1" w:styleId="29">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267A2-A851-49B8-AE74-CAC0D294FDA4}">
  <ds:schemaRefs/>
</ds:datastoreItem>
</file>

<file path=docProps/app.xml><?xml version="1.0" encoding="utf-8"?>
<Properties xmlns="http://schemas.openxmlformats.org/officeDocument/2006/extended-properties" xmlns:vt="http://schemas.openxmlformats.org/officeDocument/2006/docPropsVTypes">
  <Template>Normal</Template>
  <Pages>15</Pages>
  <Words>841</Words>
  <Characters>4795</Characters>
  <Lines>39</Lines>
  <Paragraphs>11</Paragraphs>
  <TotalTime>27</TotalTime>
  <ScaleCrop>false</ScaleCrop>
  <LinksUpToDate>false</LinksUpToDate>
  <CharactersWithSpaces>5625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2021-09-13T06:25:00Z</dcterms:created>
  <dc:creator>秉金 叶</dc:creator>
  <cp:lastModifiedBy>多年以后</cp:lastModifiedBy>
  <cp:lastPrinted>2022-06-09T03:13:00Z</cp:lastPrinted>
  <dcterms:modified xsi:type="dcterms:W3CDTF">2022-06-27T01:23:18Z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DBC208397803472785E73C4B0CC70311</vt:lpwstr>
  </property>
</Properties>
</file>