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spacing w:line="360" w:lineRule="auto"/>
        <w:jc w:val="center"/>
        <w:rPr>
          <w:rFonts w:ascii="黑体" w:eastAsia="黑体"/>
          <w:b/>
          <w:spacing w:val="4"/>
          <w:sz w:val="46"/>
          <w:szCs w:val="46"/>
        </w:rPr>
      </w:pPr>
      <w:bookmarkStart w:id="0" w:name="_Hlk527636170"/>
      <w:r>
        <w:rPr>
          <w:rFonts w:hint="eastAsia" w:ascii="黑体" w:eastAsia="黑体"/>
          <w:b/>
          <w:spacing w:val="4"/>
          <w:sz w:val="46"/>
          <w:szCs w:val="46"/>
        </w:rPr>
        <w:t>浙江海晟药业有限公司</w:t>
      </w:r>
    </w:p>
    <w:p>
      <w:pPr>
        <w:spacing w:line="360" w:lineRule="auto"/>
        <w:jc w:val="center"/>
        <w:rPr>
          <w:rFonts w:ascii="黑体" w:eastAsia="黑体"/>
          <w:b/>
          <w:spacing w:val="4"/>
          <w:sz w:val="46"/>
          <w:szCs w:val="46"/>
        </w:rPr>
      </w:pPr>
      <w:r>
        <w:rPr>
          <w:rFonts w:hint="eastAsia" w:ascii="黑体" w:eastAsia="黑体"/>
          <w:b/>
          <w:spacing w:val="4"/>
          <w:sz w:val="46"/>
          <w:szCs w:val="46"/>
        </w:rPr>
        <w:t>新增12631.5789万元注册资本</w:t>
      </w:r>
      <w:bookmarkEnd w:id="0"/>
    </w:p>
    <w:p/>
    <w:p/>
    <w:p>
      <w:pPr>
        <w:spacing w:line="360" w:lineRule="auto"/>
        <w:jc w:val="center"/>
        <w:rPr>
          <w:rFonts w:ascii="黑体" w:eastAsia="黑体"/>
          <w:b/>
          <w:spacing w:val="4"/>
          <w:sz w:val="46"/>
          <w:szCs w:val="46"/>
        </w:rPr>
      </w:pPr>
    </w:p>
    <w:p>
      <w:pPr>
        <w:spacing w:line="360" w:lineRule="auto"/>
        <w:jc w:val="center"/>
        <w:rPr>
          <w:rFonts w:ascii="黑体" w:eastAsia="黑体"/>
          <w:b/>
          <w:sz w:val="2"/>
          <w:szCs w:val="52"/>
        </w:rPr>
      </w:pPr>
    </w:p>
    <w:p>
      <w:pPr>
        <w:spacing w:line="360" w:lineRule="auto"/>
        <w:jc w:val="center"/>
        <w:rPr>
          <w:rFonts w:ascii="黑体" w:eastAsia="黑体"/>
          <w:b/>
          <w:sz w:val="68"/>
          <w:szCs w:val="52"/>
        </w:rPr>
      </w:pPr>
      <w:r>
        <w:rPr>
          <w:rFonts w:hint="eastAsia" w:ascii="黑体" w:eastAsia="黑体"/>
          <w:b/>
          <w:sz w:val="68"/>
          <w:szCs w:val="52"/>
        </w:rPr>
        <w:t>增资文件</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台交所挂〔2018〕30号</w:t>
      </w:r>
    </w:p>
    <w:p/>
    <w:p/>
    <w:p/>
    <w:p/>
    <w:p/>
    <w:p/>
    <w:p/>
    <w:p/>
    <w:p/>
    <w:p/>
    <w:p>
      <w:pPr>
        <w:ind w:left="-540" w:leftChars="-257" w:right="-693" w:rightChars="-330"/>
        <w:rPr>
          <w:b/>
          <w:sz w:val="18"/>
          <w:szCs w:val="18"/>
        </w:rPr>
      </w:pPr>
      <w:r>
        <w:rPr>
          <w:rFonts w:hint="eastAsia"/>
          <w:b/>
          <w:sz w:val="18"/>
          <w:szCs w:val="18"/>
        </w:rPr>
        <w:t>◎台州市产权交易所有限公司◎地址：台州市市府大道777号浙江民泰商业银行五楼◎电话：</w:t>
      </w:r>
      <w:r>
        <w:rPr>
          <w:b/>
          <w:sz w:val="18"/>
          <w:szCs w:val="18"/>
        </w:rPr>
        <w:t xml:space="preserve"> 8868518088685177</w:t>
      </w:r>
      <w:r>
        <w:rPr>
          <w:rFonts w:hint="eastAsia"/>
          <w:b/>
          <w:sz w:val="18"/>
          <w:szCs w:val="18"/>
        </w:rPr>
        <w:t>◎</w:t>
      </w:r>
    </w:p>
    <w:p>
      <w:pPr>
        <w:ind w:left="-540" w:leftChars="-257" w:right="-693" w:rightChars="-330"/>
        <w:rPr>
          <w:b/>
          <w:sz w:val="18"/>
          <w:szCs w:val="18"/>
        </w:rPr>
      </w:pPr>
      <w:r>
        <w:rPr>
          <w:rFonts w:hint="eastAsia"/>
          <w:b/>
          <w:sz w:val="18"/>
          <w:szCs w:val="18"/>
        </w:rPr>
        <w:t>网址：</w:t>
      </w:r>
      <w:r>
        <w:fldChar w:fldCharType="begin"/>
      </w:r>
      <w:r>
        <w:instrText xml:space="preserve"> HYPERLINK "http://www.tzpre.com" </w:instrText>
      </w:r>
      <w:r>
        <w:fldChar w:fldCharType="separate"/>
      </w:r>
      <w:r>
        <w:rPr>
          <w:rStyle w:val="17"/>
          <w:rFonts w:ascii="Calibri" w:hAnsi="Calibri" w:eastAsia="宋体" w:cs="Times New Roman"/>
          <w:b/>
          <w:color w:val="auto"/>
          <w:kern w:val="2"/>
          <w:sz w:val="18"/>
          <w:szCs w:val="18"/>
          <w:lang w:eastAsia="zh-CN"/>
        </w:rPr>
        <w:t>www.tzpre.com</w:t>
      </w:r>
      <w:r>
        <w:rPr>
          <w:rStyle w:val="17"/>
          <w:rFonts w:ascii="Calibri" w:hAnsi="Calibri" w:eastAsia="宋体" w:cs="Times New Roman"/>
          <w:b/>
          <w:color w:val="auto"/>
          <w:kern w:val="2"/>
          <w:sz w:val="18"/>
          <w:szCs w:val="18"/>
          <w:lang w:eastAsia="zh-CN"/>
        </w:rPr>
        <w:fldChar w:fldCharType="end"/>
      </w:r>
    </w:p>
    <w:p>
      <w:pPr>
        <w:widowControl/>
        <w:jc w:val="left"/>
        <w:rPr>
          <w:b/>
          <w:sz w:val="18"/>
          <w:szCs w:val="18"/>
        </w:rPr>
      </w:pPr>
      <w:r>
        <w:rPr>
          <w:b/>
          <w:sz w:val="18"/>
          <w:szCs w:val="18"/>
        </w:rPr>
        <w:br w:type="page"/>
      </w:r>
    </w:p>
    <w:p>
      <w:pPr>
        <w:ind w:left="-540" w:leftChars="-257" w:right="-693" w:rightChars="-330"/>
        <w:rPr>
          <w:b/>
          <w:sz w:val="18"/>
          <w:szCs w:val="18"/>
        </w:rPr>
      </w:pPr>
    </w:p>
    <w:p>
      <w:pPr>
        <w:pStyle w:val="32"/>
        <w:jc w:val="center"/>
        <w:rPr>
          <w:color w:val="auto"/>
          <w:sz w:val="52"/>
          <w:szCs w:val="52"/>
        </w:rPr>
      </w:pPr>
      <w:r>
        <w:rPr>
          <w:rFonts w:hint="eastAsia"/>
          <w:color w:val="auto"/>
          <w:sz w:val="52"/>
          <w:szCs w:val="52"/>
          <w:lang w:val="zh-CN"/>
        </w:rPr>
        <w:t>目  录</w:t>
      </w:r>
    </w:p>
    <w:p>
      <w:pPr>
        <w:pStyle w:val="11"/>
        <w:spacing w:before="100" w:beforeAutospacing="1" w:after="100" w:afterAutospacing="1" w:line="360" w:lineRule="auto"/>
        <w:rPr>
          <w:rFonts w:asciiTheme="minorHAnsi" w:hAnsiTheme="minorHAnsi" w:eastAsiaTheme="minorEastAsia" w:cstheme="minorBidi"/>
          <w:sz w:val="32"/>
          <w:szCs w:val="32"/>
        </w:rPr>
      </w:pPr>
      <w:r>
        <w:rPr>
          <w:rStyle w:val="17"/>
          <w:sz w:val="32"/>
          <w:szCs w:val="32"/>
        </w:rPr>
        <w:fldChar w:fldCharType="begin"/>
      </w:r>
      <w:r>
        <w:rPr>
          <w:rStyle w:val="17"/>
          <w:sz w:val="32"/>
          <w:szCs w:val="32"/>
        </w:rPr>
        <w:instrText xml:space="preserve"> TOC \o "1-3" \h \z \u </w:instrText>
      </w:r>
      <w:r>
        <w:rPr>
          <w:rStyle w:val="17"/>
          <w:sz w:val="32"/>
          <w:szCs w:val="32"/>
        </w:rPr>
        <w:fldChar w:fldCharType="separate"/>
      </w:r>
      <w:r>
        <w:fldChar w:fldCharType="begin"/>
      </w:r>
      <w:r>
        <w:instrText xml:space="preserve"> HYPERLINK \l "_Toc528760898" </w:instrText>
      </w:r>
      <w:r>
        <w:fldChar w:fldCharType="separate"/>
      </w:r>
      <w:r>
        <w:rPr>
          <w:rStyle w:val="17"/>
          <w:rFonts w:hint="eastAsia"/>
          <w:sz w:val="32"/>
          <w:szCs w:val="32"/>
        </w:rPr>
        <w:t>增资公告</w:t>
      </w:r>
      <w:r>
        <w:rPr>
          <w:sz w:val="32"/>
          <w:szCs w:val="32"/>
        </w:rPr>
        <w:tab/>
      </w:r>
      <w:r>
        <w:rPr>
          <w:sz w:val="32"/>
          <w:szCs w:val="32"/>
        </w:rPr>
        <w:fldChar w:fldCharType="begin"/>
      </w:r>
      <w:r>
        <w:rPr>
          <w:sz w:val="32"/>
          <w:szCs w:val="32"/>
        </w:rPr>
        <w:instrText xml:space="preserve"> PAGEREF _Toc528760898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"_Toc528760899" </w:instrText>
      </w:r>
      <w:r>
        <w:fldChar w:fldCharType="separate"/>
      </w:r>
      <w:r>
        <w:rPr>
          <w:rStyle w:val="17"/>
          <w:rFonts w:hint="eastAsia"/>
          <w:sz w:val="32"/>
          <w:szCs w:val="32"/>
        </w:rPr>
        <w:t>须知及相关说明</w:t>
      </w:r>
      <w:r>
        <w:rPr>
          <w:sz w:val="32"/>
          <w:szCs w:val="32"/>
        </w:rPr>
        <w:tab/>
      </w:r>
      <w:r>
        <w:rPr>
          <w:sz w:val="32"/>
          <w:szCs w:val="32"/>
        </w:rPr>
        <w:fldChar w:fldCharType="begin"/>
      </w:r>
      <w:r>
        <w:rPr>
          <w:sz w:val="32"/>
          <w:szCs w:val="32"/>
        </w:rPr>
        <w:instrText xml:space="preserve"> PAGEREF _Toc528760899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"_Toc528760900" </w:instrText>
      </w:r>
      <w:r>
        <w:fldChar w:fldCharType="separate"/>
      </w:r>
      <w:r>
        <w:rPr>
          <w:rStyle w:val="17"/>
          <w:rFonts w:hint="eastAsia"/>
          <w:sz w:val="32"/>
          <w:szCs w:val="32"/>
        </w:rPr>
        <w:t>增资扩股投资申请书</w:t>
      </w:r>
      <w:r>
        <w:rPr>
          <w:sz w:val="32"/>
          <w:szCs w:val="32"/>
        </w:rPr>
        <w:tab/>
      </w:r>
      <w:r>
        <w:rPr>
          <w:sz w:val="32"/>
          <w:szCs w:val="32"/>
        </w:rPr>
        <w:fldChar w:fldCharType="begin"/>
      </w:r>
      <w:r>
        <w:rPr>
          <w:sz w:val="32"/>
          <w:szCs w:val="32"/>
        </w:rPr>
        <w:instrText xml:space="preserve"> PAGEREF _Toc528760900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"_Toc528760901" </w:instrText>
      </w:r>
      <w:r>
        <w:fldChar w:fldCharType="separate"/>
      </w:r>
      <w:r>
        <w:rPr>
          <w:rStyle w:val="17"/>
          <w:rFonts w:hint="eastAsia"/>
          <w:sz w:val="32"/>
          <w:szCs w:val="32"/>
        </w:rPr>
        <w:t>认购风险告知书</w:t>
      </w:r>
      <w:r>
        <w:rPr>
          <w:sz w:val="32"/>
          <w:szCs w:val="32"/>
        </w:rPr>
        <w:tab/>
      </w:r>
      <w:r>
        <w:rPr>
          <w:sz w:val="32"/>
          <w:szCs w:val="32"/>
        </w:rPr>
        <w:fldChar w:fldCharType="begin"/>
      </w:r>
      <w:r>
        <w:rPr>
          <w:sz w:val="32"/>
          <w:szCs w:val="32"/>
        </w:rPr>
        <w:instrText xml:space="preserve"> PAGEREF _Toc528760901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"_Toc528760902" </w:instrText>
      </w:r>
      <w:r>
        <w:fldChar w:fldCharType="separate"/>
      </w:r>
      <w:r>
        <w:rPr>
          <w:rStyle w:val="17"/>
          <w:rFonts w:hint="eastAsia"/>
          <w:sz w:val="32"/>
          <w:szCs w:val="32"/>
        </w:rPr>
        <w:t>意向投资方资格确认通知书</w:t>
      </w:r>
      <w:r>
        <w:rPr>
          <w:sz w:val="32"/>
          <w:szCs w:val="32"/>
        </w:rPr>
        <w:tab/>
      </w:r>
      <w:r>
        <w:rPr>
          <w:sz w:val="32"/>
          <w:szCs w:val="32"/>
        </w:rPr>
        <w:fldChar w:fldCharType="begin"/>
      </w:r>
      <w:r>
        <w:rPr>
          <w:sz w:val="32"/>
          <w:szCs w:val="32"/>
        </w:rPr>
        <w:instrText xml:space="preserve"> PAGEREF _Toc528760902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"_Toc528760903" </w:instrText>
      </w:r>
      <w:r>
        <w:fldChar w:fldCharType="separate"/>
      </w:r>
      <w:r>
        <w:rPr>
          <w:rStyle w:val="17"/>
          <w:rFonts w:hint="eastAsia"/>
          <w:sz w:val="32"/>
          <w:szCs w:val="32"/>
        </w:rPr>
        <w:t>增资认购报价单</w:t>
      </w:r>
      <w:r>
        <w:rPr>
          <w:sz w:val="32"/>
          <w:szCs w:val="32"/>
        </w:rPr>
        <w:tab/>
      </w:r>
      <w:r>
        <w:rPr>
          <w:sz w:val="32"/>
          <w:szCs w:val="32"/>
        </w:rPr>
        <w:fldChar w:fldCharType="begin"/>
      </w:r>
      <w:r>
        <w:rPr>
          <w:sz w:val="32"/>
          <w:szCs w:val="32"/>
        </w:rPr>
        <w:instrText xml:space="preserve"> PAGEREF _Toc528760903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"_Toc528760904" </w:instrText>
      </w:r>
      <w:r>
        <w:fldChar w:fldCharType="separate"/>
      </w:r>
      <w:r>
        <w:rPr>
          <w:rStyle w:val="17"/>
          <w:rFonts w:hint="eastAsia"/>
          <w:sz w:val="32"/>
          <w:szCs w:val="32"/>
        </w:rPr>
        <w:t>书面竞价规则</w:t>
      </w:r>
      <w:r>
        <w:rPr>
          <w:sz w:val="32"/>
          <w:szCs w:val="32"/>
        </w:rPr>
        <w:tab/>
      </w:r>
      <w:r>
        <w:rPr>
          <w:sz w:val="32"/>
          <w:szCs w:val="32"/>
        </w:rPr>
        <w:fldChar w:fldCharType="begin"/>
      </w:r>
      <w:r>
        <w:rPr>
          <w:sz w:val="32"/>
          <w:szCs w:val="32"/>
        </w:rPr>
        <w:instrText xml:space="preserve"> PAGEREF _Toc528760904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"_Toc528760905" </w:instrText>
      </w:r>
      <w:r>
        <w:fldChar w:fldCharType="separate"/>
      </w:r>
      <w:r>
        <w:rPr>
          <w:rStyle w:val="17"/>
          <w:rFonts w:hint="eastAsia"/>
          <w:sz w:val="32"/>
          <w:szCs w:val="32"/>
        </w:rPr>
        <w:t>竞价报价单</w:t>
      </w:r>
      <w:r>
        <w:rPr>
          <w:sz w:val="32"/>
          <w:szCs w:val="32"/>
        </w:rPr>
        <w:tab/>
      </w:r>
      <w:r>
        <w:rPr>
          <w:sz w:val="32"/>
          <w:szCs w:val="32"/>
        </w:rPr>
        <w:fldChar w:fldCharType="begin"/>
      </w:r>
      <w:r>
        <w:rPr>
          <w:sz w:val="32"/>
          <w:szCs w:val="32"/>
        </w:rPr>
        <w:instrText xml:space="preserve"> PAGEREF _Toc528760905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"_Toc528760906" </w:instrText>
      </w:r>
      <w:r>
        <w:fldChar w:fldCharType="separate"/>
      </w:r>
      <w:r>
        <w:rPr>
          <w:rStyle w:val="17"/>
          <w:rFonts w:hint="eastAsia"/>
          <w:sz w:val="32"/>
          <w:szCs w:val="32"/>
        </w:rPr>
        <w:t>增资确认书</w:t>
      </w:r>
      <w:r>
        <w:rPr>
          <w:sz w:val="32"/>
          <w:szCs w:val="32"/>
        </w:rPr>
        <w:tab/>
      </w:r>
      <w:r>
        <w:rPr>
          <w:sz w:val="32"/>
          <w:szCs w:val="32"/>
        </w:rPr>
        <w:fldChar w:fldCharType="begin"/>
      </w:r>
      <w:r>
        <w:rPr>
          <w:sz w:val="32"/>
          <w:szCs w:val="32"/>
        </w:rPr>
        <w:instrText xml:space="preserve"> PAGEREF _Toc528760906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1"/>
        <w:spacing w:before="100" w:beforeAutospacing="1" w:after="100" w:afterAutospacing="1" w:line="360" w:lineRule="auto"/>
        <w:rPr>
          <w:rFonts w:asciiTheme="minorHAnsi" w:hAnsiTheme="minorHAnsi" w:eastAsiaTheme="minorEastAsia" w:cstheme="minorBidi"/>
          <w:sz w:val="32"/>
          <w:szCs w:val="32"/>
        </w:rPr>
      </w:pPr>
      <w:r>
        <w:fldChar w:fldCharType="begin"/>
      </w:r>
      <w:r>
        <w:instrText xml:space="preserve"> HYPERLINK \l "_Toc528760907" </w:instrText>
      </w:r>
      <w:r>
        <w:fldChar w:fldCharType="separate"/>
      </w:r>
      <w:r>
        <w:rPr>
          <w:rStyle w:val="17"/>
          <w:rFonts w:hint="eastAsia"/>
          <w:sz w:val="32"/>
          <w:szCs w:val="32"/>
        </w:rPr>
        <w:t>增资扩股协议</w:t>
      </w:r>
      <w:r>
        <w:rPr>
          <w:sz w:val="32"/>
          <w:szCs w:val="32"/>
        </w:rPr>
        <w:tab/>
      </w:r>
      <w:r>
        <w:rPr>
          <w:sz w:val="32"/>
          <w:szCs w:val="32"/>
        </w:rPr>
        <w:fldChar w:fldCharType="begin"/>
      </w:r>
      <w:r>
        <w:rPr>
          <w:sz w:val="32"/>
          <w:szCs w:val="32"/>
        </w:rPr>
        <w:instrText xml:space="preserve"> PAGEREF _Toc528760907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1"/>
        <w:spacing w:before="100" w:beforeAutospacing="1" w:after="100" w:afterAutospacing="1" w:line="360" w:lineRule="auto"/>
      </w:pPr>
      <w:r>
        <w:rPr>
          <w:rStyle w:val="17"/>
          <w:sz w:val="32"/>
          <w:szCs w:val="32"/>
        </w:rPr>
        <w:fldChar w:fldCharType="end"/>
      </w:r>
    </w:p>
    <w:p>
      <w:pPr>
        <w:widowControl/>
        <w:jc w:val="left"/>
        <w:rPr>
          <w:b/>
          <w:bCs/>
          <w:kern w:val="44"/>
          <w:sz w:val="32"/>
          <w:szCs w:val="32"/>
        </w:rPr>
      </w:pPr>
      <w:r>
        <w:rPr>
          <w:sz w:val="32"/>
          <w:szCs w:val="32"/>
        </w:rPr>
        <w:br w:type="page"/>
      </w:r>
    </w:p>
    <w:p>
      <w:pPr>
        <w:pStyle w:val="2"/>
        <w:jc w:val="center"/>
        <w:rPr>
          <w:sz w:val="32"/>
          <w:szCs w:val="32"/>
        </w:rPr>
      </w:pPr>
      <w:bookmarkStart w:id="1" w:name="_Toc528760898"/>
      <w:r>
        <w:rPr>
          <w:rFonts w:hint="eastAsia"/>
          <w:sz w:val="32"/>
          <w:szCs w:val="32"/>
        </w:rPr>
        <w:t>增资公告</w:t>
      </w:r>
      <w:bookmarkEnd w:id="1"/>
    </w:p>
    <w:p>
      <w:pPr>
        <w:spacing w:line="500" w:lineRule="atLeast"/>
        <w:jc w:val="center"/>
        <w:rPr>
          <w:rFonts w:ascii="宋体" w:hAnsi="宋体" w:cs="Tahoma"/>
          <w:bCs/>
          <w:kern w:val="0"/>
          <w:sz w:val="24"/>
        </w:rPr>
      </w:pPr>
      <w:r>
        <w:rPr>
          <w:rFonts w:hint="eastAsia" w:ascii="宋体" w:hAnsi="宋体" w:cs="Tahoma"/>
          <w:bCs/>
          <w:kern w:val="0"/>
          <w:sz w:val="24"/>
        </w:rPr>
        <w:t>台交所挂【</w:t>
      </w:r>
      <w:r>
        <w:rPr>
          <w:rFonts w:ascii="宋体" w:hAnsi="宋体" w:cs="Tahoma"/>
          <w:bCs/>
          <w:kern w:val="0"/>
          <w:sz w:val="24"/>
        </w:rPr>
        <w:t>2018</w:t>
      </w:r>
      <w:r>
        <w:rPr>
          <w:rFonts w:hint="eastAsia" w:ascii="宋体" w:hAnsi="宋体" w:cs="Tahoma"/>
          <w:bCs/>
          <w:kern w:val="0"/>
          <w:sz w:val="24"/>
        </w:rPr>
        <w:t>】30号</w:t>
      </w:r>
    </w:p>
    <w:p>
      <w:pPr>
        <w:spacing w:line="480" w:lineRule="atLeast"/>
        <w:ind w:right="105" w:rightChars="50" w:firstLine="480" w:firstLineChars="200"/>
        <w:rPr>
          <w:rFonts w:ascii="宋体" w:hAnsi="宋体"/>
          <w:sz w:val="24"/>
          <w:szCs w:val="24"/>
        </w:rPr>
      </w:pPr>
      <w:r>
        <w:rPr>
          <w:rFonts w:hint="eastAsia" w:ascii="宋体" w:hAnsi="宋体"/>
          <w:sz w:val="24"/>
          <w:szCs w:val="24"/>
        </w:rPr>
        <w:t>受有关单位委托，通过挂牌方式对浙江海晟药业有限公司新增12631.5789万元注册资本项目公开引进一家投资方（</w:t>
      </w:r>
      <w:r>
        <w:rPr>
          <w:rFonts w:hint="eastAsia" w:ascii="宋体"/>
          <w:sz w:val="24"/>
          <w:szCs w:val="24"/>
        </w:rPr>
        <w:t>联合投标体作为1家）</w:t>
      </w:r>
      <w:r>
        <w:rPr>
          <w:rFonts w:hint="eastAsia" w:ascii="宋体" w:hAnsi="宋体"/>
          <w:sz w:val="24"/>
          <w:szCs w:val="24"/>
        </w:rPr>
        <w:t>，具体事宜公告如下：</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一、标的、底价及保证金</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本次增资标的为浙江海晟药业有限公司新增12631.5789万元</w:t>
      </w:r>
      <w:bookmarkStart w:id="2" w:name="_Hlk527706025"/>
      <w:r>
        <w:rPr>
          <w:rFonts w:hint="eastAsia" w:ascii="宋体" w:hAnsi="宋体"/>
          <w:sz w:val="24"/>
          <w:szCs w:val="24"/>
        </w:rPr>
        <w:t>注册资本</w:t>
      </w:r>
      <w:bookmarkEnd w:id="2"/>
      <w:r>
        <w:rPr>
          <w:rFonts w:hint="eastAsia" w:ascii="宋体" w:hAnsi="宋体"/>
          <w:sz w:val="24"/>
          <w:szCs w:val="24"/>
        </w:rPr>
        <w:t>，每注册资本不低于</w:t>
      </w:r>
      <w:r>
        <w:rPr>
          <w:rFonts w:ascii="宋体" w:hAnsi="宋体"/>
          <w:sz w:val="24"/>
          <w:szCs w:val="24"/>
        </w:rPr>
        <w:t>6.3333</w:t>
      </w:r>
      <w:r>
        <w:rPr>
          <w:rFonts w:hint="eastAsia" w:ascii="宋体" w:hAnsi="宋体"/>
          <w:sz w:val="24"/>
          <w:szCs w:val="24"/>
        </w:rPr>
        <w:t>元人民币，总投资额不低于</w:t>
      </w:r>
      <w:r>
        <w:rPr>
          <w:rFonts w:ascii="宋体" w:hAnsi="宋体"/>
          <w:sz w:val="24"/>
          <w:szCs w:val="24"/>
        </w:rPr>
        <w:t>8</w:t>
      </w:r>
      <w:r>
        <w:rPr>
          <w:rFonts w:hint="eastAsia" w:ascii="宋体" w:hAnsi="宋体"/>
          <w:sz w:val="24"/>
          <w:szCs w:val="24"/>
        </w:rPr>
        <w:t>亿元人民币，报名时交纳8000万元竞买保证金。</w:t>
      </w:r>
    </w:p>
    <w:p>
      <w:pPr>
        <w:spacing w:line="480" w:lineRule="atLeast"/>
        <w:ind w:right="105" w:rightChars="50" w:firstLine="480" w:firstLineChars="200"/>
        <w:jc w:val="left"/>
        <w:rPr>
          <w:rFonts w:ascii="宋体" w:hAnsi="宋体"/>
          <w:sz w:val="24"/>
          <w:szCs w:val="24"/>
        </w:rPr>
      </w:pPr>
      <w:r>
        <w:rPr>
          <w:rFonts w:hint="eastAsia" w:ascii="宋体" w:hAnsi="宋体"/>
          <w:sz w:val="24"/>
        </w:rPr>
        <w:t>二、增资方式：</w:t>
      </w:r>
      <w:r>
        <w:rPr>
          <w:rFonts w:hint="eastAsia" w:ascii="宋体" w:hAnsi="宋体"/>
          <w:sz w:val="24"/>
          <w:szCs w:val="24"/>
        </w:rPr>
        <w:t>报名截止日仅一家报名的，经确认后转让给该投资方；有两家或两家以上的，采取竞价方式确定投资方。（具体详见竞价规则）</w:t>
      </w:r>
    </w:p>
    <w:p>
      <w:pPr>
        <w:spacing w:line="500" w:lineRule="atLeast"/>
        <w:ind w:firstLine="480" w:firstLineChars="200"/>
        <w:rPr>
          <w:rFonts w:ascii="宋体" w:hAnsi="宋体"/>
          <w:sz w:val="24"/>
          <w:szCs w:val="24"/>
        </w:rPr>
      </w:pPr>
      <w:r>
        <w:rPr>
          <w:rFonts w:hint="eastAsia" w:ascii="宋体" w:hAnsi="宋体"/>
          <w:sz w:val="24"/>
        </w:rPr>
        <w:t>三、付款方式</w:t>
      </w:r>
    </w:p>
    <w:p>
      <w:pPr>
        <w:spacing w:line="480" w:lineRule="atLeast"/>
        <w:ind w:right="105" w:rightChars="50" w:firstLine="600" w:firstLineChars="250"/>
        <w:jc w:val="left"/>
        <w:rPr>
          <w:rFonts w:ascii="宋体" w:hAnsi="宋体"/>
          <w:sz w:val="28"/>
          <w:szCs w:val="28"/>
        </w:rPr>
      </w:pPr>
      <w:r>
        <w:rPr>
          <w:rFonts w:hint="eastAsia" w:ascii="宋体" w:hAnsi="宋体"/>
          <w:sz w:val="24"/>
          <w:szCs w:val="24"/>
        </w:rPr>
        <w:t>增资协议签订后，投资方应在《增资协议》生效后二</w:t>
      </w:r>
      <w:r>
        <w:rPr>
          <w:rFonts w:ascii="宋体" w:hAnsi="宋体"/>
          <w:sz w:val="24"/>
          <w:szCs w:val="24"/>
        </w:rPr>
        <w:t>个工作日</w:t>
      </w:r>
      <w:r>
        <w:rPr>
          <w:rFonts w:hint="eastAsia" w:ascii="宋体" w:hAnsi="宋体"/>
          <w:sz w:val="24"/>
          <w:szCs w:val="24"/>
        </w:rPr>
        <w:t>内一次性支付全部投资款。</w:t>
      </w:r>
    </w:p>
    <w:p>
      <w:pPr>
        <w:tabs>
          <w:tab w:val="left" w:pos="900"/>
        </w:tabs>
        <w:spacing w:line="480" w:lineRule="atLeast"/>
        <w:ind w:left="420" w:right="105" w:rightChars="50"/>
        <w:jc w:val="left"/>
        <w:rPr>
          <w:rFonts w:ascii="宋体" w:hAnsi="宋体"/>
          <w:sz w:val="24"/>
        </w:rPr>
      </w:pPr>
      <w:r>
        <w:rPr>
          <w:rFonts w:hint="eastAsia" w:ascii="宋体" w:hAnsi="宋体"/>
          <w:sz w:val="24"/>
        </w:rPr>
        <w:t>四、投资方条件</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（1）具有良好的财务状况和支付能力及良好的商业信用的境内企业法人或其他组织，包括境内企业法人组成的竞标联合体（组织形式符合法律规定）；</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（2）应当专注于医疗健康领域的投资及运营，具有医学、药学、生物学专业人士或医药、医疗产业背景人员；</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（3）有管理政府40亿元以上规模政府产业投资基金的经验（以政府文件或省级媒体以上（含）报道为准）；</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w:t>
      </w:r>
      <w:r>
        <w:rPr>
          <w:rFonts w:ascii="宋体" w:hAnsi="宋体"/>
          <w:sz w:val="24"/>
          <w:szCs w:val="24"/>
        </w:rPr>
        <w:t>4）具备投资运营医疗健康类企业（尤其是生物医药企业）能力和经验，并有过投资成功医药企业的案例</w:t>
      </w:r>
      <w:r>
        <w:rPr>
          <w:rFonts w:hint="eastAsia" w:ascii="宋体" w:hAnsi="宋体"/>
          <w:sz w:val="24"/>
          <w:szCs w:val="24"/>
        </w:rPr>
        <w:t>。</w:t>
      </w:r>
    </w:p>
    <w:p>
      <w:pPr>
        <w:numPr>
          <w:ilvl w:val="0"/>
          <w:numId w:val="1"/>
        </w:numPr>
        <w:spacing w:line="480" w:lineRule="atLeast"/>
        <w:ind w:right="105" w:rightChars="50"/>
        <w:jc w:val="left"/>
        <w:rPr>
          <w:rFonts w:ascii="宋体"/>
          <w:sz w:val="24"/>
        </w:rPr>
      </w:pPr>
      <w:r>
        <w:rPr>
          <w:rFonts w:hint="eastAsia" w:ascii="宋体" w:hAnsi="宋体"/>
          <w:sz w:val="24"/>
        </w:rPr>
        <w:t>报名须知</w:t>
      </w:r>
    </w:p>
    <w:p>
      <w:pPr>
        <w:spacing w:line="480" w:lineRule="atLeast"/>
        <w:ind w:right="105" w:rightChars="50" w:firstLine="480" w:firstLineChars="200"/>
        <w:jc w:val="left"/>
        <w:rPr>
          <w:rFonts w:ascii="宋体"/>
          <w:sz w:val="24"/>
        </w:rPr>
      </w:pPr>
      <w:r>
        <w:rPr>
          <w:rFonts w:hint="eastAsia" w:ascii="宋体" w:hAnsi="宋体"/>
          <w:sz w:val="24"/>
        </w:rPr>
        <w:t>1、新投资方或</w:t>
      </w:r>
      <w:r>
        <w:rPr>
          <w:rFonts w:ascii="宋体" w:hAnsi="宋体"/>
          <w:sz w:val="24"/>
        </w:rPr>
        <w:t>联合投标体</w:t>
      </w:r>
      <w:r>
        <w:rPr>
          <w:rFonts w:hint="eastAsia" w:ascii="宋体" w:hAnsi="宋体"/>
          <w:sz w:val="24"/>
        </w:rPr>
        <w:t>认购金额不低于</w:t>
      </w:r>
      <w:r>
        <w:rPr>
          <w:rFonts w:ascii="宋体" w:hAnsi="宋体"/>
          <w:sz w:val="24"/>
          <w:szCs w:val="24"/>
        </w:rPr>
        <w:t>8</w:t>
      </w:r>
      <w:r>
        <w:rPr>
          <w:rFonts w:hint="eastAsia" w:ascii="宋体" w:hAnsi="宋体"/>
          <w:sz w:val="24"/>
          <w:szCs w:val="24"/>
        </w:rPr>
        <w:t>亿元人民币</w:t>
      </w:r>
      <w:r>
        <w:rPr>
          <w:rFonts w:hint="eastAsia" w:ascii="宋体" w:hAnsi="宋体"/>
          <w:sz w:val="24"/>
        </w:rPr>
        <w:t>。</w:t>
      </w:r>
    </w:p>
    <w:p>
      <w:pPr>
        <w:spacing w:line="480" w:lineRule="atLeast"/>
        <w:ind w:right="105" w:rightChars="50" w:firstLine="480" w:firstLineChars="200"/>
        <w:rPr>
          <w:rFonts w:ascii="宋体" w:hAnsi="宋体"/>
          <w:bCs/>
          <w:sz w:val="24"/>
        </w:rPr>
      </w:pPr>
      <w:r>
        <w:rPr>
          <w:rFonts w:hint="eastAsia" w:ascii="宋体" w:hAnsi="宋体"/>
          <w:bCs/>
          <w:sz w:val="24"/>
        </w:rPr>
        <w:t>2、</w:t>
      </w:r>
      <w:r>
        <w:rPr>
          <w:rFonts w:hint="eastAsia" w:ascii="宋体" w:hAnsi="宋体"/>
          <w:sz w:val="24"/>
          <w:szCs w:val="24"/>
        </w:rPr>
        <w:t>凡报名者企业</w:t>
      </w:r>
      <w:r>
        <w:rPr>
          <w:rFonts w:hint="eastAsia" w:ascii="宋体" w:hAnsi="宋体"/>
          <w:bCs/>
          <w:sz w:val="24"/>
        </w:rPr>
        <w:t>法人须持营业执照（或者其他注册证明文件）复印件、公章、《增资扩股投资申请书》、法人代表身份证（委托书、委托人身份证、受托人身份证）、公司章程、相关决议、投资方条件要求的相关材料。报名时须足额缴付保证金。开户单位：台州市产权交易所有限公司，开户行：浙江民泰商业银行台州椒江支行，帐号：</w:t>
      </w:r>
      <w:r>
        <w:rPr>
          <w:rFonts w:ascii="宋体" w:hAnsi="宋体"/>
          <w:bCs/>
          <w:sz w:val="24"/>
        </w:rPr>
        <w:t>583016260800015</w:t>
      </w:r>
      <w:r>
        <w:rPr>
          <w:rFonts w:hint="eastAsia" w:ascii="宋体" w:hAnsi="宋体"/>
          <w:bCs/>
          <w:sz w:val="24"/>
        </w:rPr>
        <w:t>。</w:t>
      </w:r>
    </w:p>
    <w:p>
      <w:pPr>
        <w:numPr>
          <w:ilvl w:val="0"/>
          <w:numId w:val="1"/>
        </w:numPr>
        <w:spacing w:line="480" w:lineRule="atLeast"/>
        <w:ind w:right="105" w:rightChars="50"/>
        <w:jc w:val="left"/>
        <w:rPr>
          <w:rFonts w:ascii="宋体" w:hAnsi="宋体"/>
          <w:bCs/>
          <w:sz w:val="24"/>
        </w:rPr>
      </w:pPr>
      <w:r>
        <w:rPr>
          <w:rFonts w:hint="eastAsia" w:ascii="宋体" w:hAnsi="宋体"/>
          <w:bCs/>
          <w:sz w:val="24"/>
        </w:rPr>
        <w:t>报名及资格确认时间：自公告日起至</w:t>
      </w:r>
      <w:r>
        <w:rPr>
          <w:rFonts w:ascii="宋体" w:hAnsi="宋体"/>
          <w:bCs/>
          <w:sz w:val="24"/>
        </w:rPr>
        <w:t>2018</w:t>
      </w:r>
      <w:r>
        <w:rPr>
          <w:rFonts w:hint="eastAsia" w:ascii="宋体" w:hAnsi="宋体"/>
          <w:bCs/>
          <w:sz w:val="24"/>
        </w:rPr>
        <w:t>年</w:t>
      </w:r>
      <w:r>
        <w:rPr>
          <w:rFonts w:ascii="宋体" w:hAnsi="宋体"/>
          <w:bCs/>
          <w:sz w:val="24"/>
        </w:rPr>
        <w:t>12月</w:t>
      </w:r>
      <w:r>
        <w:rPr>
          <w:rFonts w:hint="eastAsia" w:ascii="宋体" w:hAnsi="宋体"/>
          <w:bCs/>
          <w:sz w:val="24"/>
        </w:rPr>
        <w:t>26</w:t>
      </w:r>
      <w:r>
        <w:rPr>
          <w:rFonts w:ascii="宋体" w:hAnsi="宋体"/>
          <w:bCs/>
          <w:sz w:val="24"/>
        </w:rPr>
        <w:t>日16:00</w:t>
      </w:r>
      <w:r>
        <w:rPr>
          <w:rFonts w:hint="eastAsia" w:ascii="宋体" w:hAnsi="宋体"/>
          <w:bCs/>
          <w:sz w:val="24"/>
        </w:rPr>
        <w:t>时止（节假日除外）。</w:t>
      </w:r>
    </w:p>
    <w:p>
      <w:pPr>
        <w:numPr>
          <w:ilvl w:val="255"/>
          <w:numId w:val="0"/>
        </w:numPr>
        <w:spacing w:line="480" w:lineRule="atLeast"/>
        <w:ind w:right="105" w:rightChars="50" w:firstLine="840" w:firstLineChars="350"/>
        <w:rPr>
          <w:rFonts w:ascii="宋体" w:hAnsi="宋体"/>
          <w:bCs/>
          <w:sz w:val="24"/>
        </w:rPr>
      </w:pPr>
      <w:r>
        <w:rPr>
          <w:rFonts w:hint="eastAsia" w:ascii="宋体" w:hAnsi="宋体"/>
          <w:bCs/>
          <w:sz w:val="24"/>
        </w:rPr>
        <w:t>报名地点：</w:t>
      </w:r>
      <w:r>
        <w:rPr>
          <w:rFonts w:ascii="宋体" w:hAnsi="宋体"/>
          <w:bCs/>
          <w:sz w:val="24"/>
        </w:rPr>
        <w:t>台州市市府大道777号浙江民泰商业银行五楼511室</w:t>
      </w:r>
    </w:p>
    <w:p>
      <w:pPr>
        <w:spacing w:line="480" w:lineRule="atLeast"/>
        <w:ind w:right="105" w:rightChars="50" w:firstLine="840" w:firstLineChars="350"/>
        <w:rPr>
          <w:rFonts w:ascii="宋体" w:hAnsi="宋体"/>
          <w:bCs/>
          <w:sz w:val="24"/>
        </w:rPr>
      </w:pPr>
      <w:r>
        <w:rPr>
          <w:rFonts w:hint="eastAsia" w:ascii="宋体" w:hAnsi="宋体"/>
          <w:bCs/>
          <w:sz w:val="24"/>
        </w:rPr>
        <w:t>增资竞价时间：</w:t>
      </w:r>
      <w:r>
        <w:rPr>
          <w:rFonts w:ascii="宋体" w:hAnsi="宋体"/>
          <w:bCs/>
          <w:sz w:val="24"/>
        </w:rPr>
        <w:t>2018</w:t>
      </w:r>
      <w:r>
        <w:rPr>
          <w:rFonts w:hint="eastAsia" w:ascii="宋体" w:hAnsi="宋体"/>
          <w:bCs/>
          <w:sz w:val="24"/>
        </w:rPr>
        <w:t>年</w:t>
      </w:r>
      <w:r>
        <w:rPr>
          <w:rFonts w:ascii="宋体" w:hAnsi="宋体"/>
          <w:bCs/>
          <w:sz w:val="24"/>
        </w:rPr>
        <w:t>1</w:t>
      </w:r>
      <w:bookmarkStart w:id="25" w:name="_GoBack"/>
      <w:bookmarkEnd w:id="25"/>
      <w:r>
        <w:rPr>
          <w:rFonts w:hint="eastAsia" w:ascii="宋体" w:hAnsi="宋体"/>
          <w:bCs/>
          <w:sz w:val="24"/>
          <w:lang w:val="en-US" w:eastAsia="zh-CN"/>
        </w:rPr>
        <w:t>2</w:t>
      </w:r>
      <w:r>
        <w:rPr>
          <w:rFonts w:ascii="宋体" w:hAnsi="宋体"/>
          <w:bCs/>
          <w:sz w:val="24"/>
        </w:rPr>
        <w:t>月27日(</w:t>
      </w:r>
      <w:r>
        <w:rPr>
          <w:rFonts w:hint="eastAsia" w:ascii="宋体" w:hAnsi="宋体"/>
          <w:bCs/>
          <w:sz w:val="24"/>
        </w:rPr>
        <w:t>星期四</w:t>
      </w:r>
      <w:r>
        <w:rPr>
          <w:rFonts w:ascii="宋体" w:hAnsi="宋体"/>
          <w:bCs/>
          <w:sz w:val="24"/>
        </w:rPr>
        <w:t>)</w:t>
      </w:r>
      <w:r>
        <w:rPr>
          <w:rFonts w:hint="eastAsia" w:ascii="宋体" w:hAnsi="宋体"/>
          <w:bCs/>
          <w:sz w:val="24"/>
        </w:rPr>
        <w:t>上午9：3</w:t>
      </w:r>
      <w:r>
        <w:rPr>
          <w:rFonts w:ascii="宋体" w:hAnsi="宋体"/>
          <w:bCs/>
          <w:sz w:val="24"/>
        </w:rPr>
        <w:t>0时。</w:t>
      </w:r>
    </w:p>
    <w:p>
      <w:pPr>
        <w:spacing w:line="480" w:lineRule="atLeast"/>
        <w:ind w:right="105" w:rightChars="50" w:firstLine="840" w:firstLineChars="350"/>
        <w:rPr>
          <w:rFonts w:hint="eastAsia" w:ascii="宋体" w:hAnsi="宋体" w:eastAsia="宋体"/>
          <w:bCs/>
          <w:sz w:val="24"/>
          <w:lang w:eastAsia="zh-CN"/>
        </w:rPr>
      </w:pPr>
      <w:r>
        <w:rPr>
          <w:rFonts w:hint="eastAsia" w:ascii="宋体" w:hAnsi="宋体"/>
          <w:bCs/>
          <w:sz w:val="24"/>
        </w:rPr>
        <w:t>竞价地点：台州市市府大道777号浙江民泰商业银行三楼三号开标室</w:t>
      </w:r>
      <w:r>
        <w:rPr>
          <w:rFonts w:hint="eastAsia" w:ascii="宋体" w:hAnsi="宋体"/>
          <w:bCs/>
          <w:sz w:val="24"/>
          <w:lang w:eastAsia="zh-CN"/>
        </w:rPr>
        <w:t>。</w:t>
      </w:r>
    </w:p>
    <w:p>
      <w:pPr>
        <w:spacing w:line="480" w:lineRule="atLeast"/>
        <w:ind w:right="105" w:rightChars="50" w:firstLine="840" w:firstLineChars="350"/>
        <w:rPr>
          <w:rFonts w:hint="eastAsia" w:ascii="宋体" w:hAnsi="宋体" w:eastAsia="宋体"/>
          <w:bCs/>
          <w:sz w:val="24"/>
          <w:lang w:eastAsia="zh-CN"/>
        </w:rPr>
      </w:pPr>
      <w:r>
        <w:rPr>
          <w:rFonts w:hint="eastAsia" w:ascii="宋体" w:hAnsi="宋体"/>
          <w:bCs/>
          <w:sz w:val="24"/>
        </w:rPr>
        <w:t>报名地点：</w:t>
      </w:r>
      <w:r>
        <w:rPr>
          <w:rFonts w:ascii="宋体" w:hAnsi="宋体"/>
          <w:bCs/>
          <w:sz w:val="24"/>
        </w:rPr>
        <w:t>台州市市府大道777号浙江民泰商业银行五楼511室</w:t>
      </w:r>
      <w:r>
        <w:rPr>
          <w:rFonts w:hint="eastAsia" w:ascii="宋体" w:hAnsi="宋体"/>
          <w:bCs/>
          <w:sz w:val="24"/>
          <w:lang w:eastAsia="zh-CN"/>
        </w:rPr>
        <w:t>。</w:t>
      </w:r>
    </w:p>
    <w:p>
      <w:pPr>
        <w:spacing w:line="480" w:lineRule="atLeast"/>
        <w:ind w:right="105" w:rightChars="50" w:firstLine="840" w:firstLineChars="350"/>
        <w:jc w:val="left"/>
        <w:rPr>
          <w:rFonts w:ascii="宋体" w:hAnsi="宋体"/>
          <w:bCs/>
          <w:sz w:val="24"/>
        </w:rPr>
      </w:pPr>
      <w:r>
        <w:rPr>
          <w:rFonts w:hint="eastAsia" w:ascii="宋体" w:hAnsi="宋体"/>
          <w:bCs/>
          <w:sz w:val="24"/>
        </w:rPr>
        <w:t>联系人：小潘     电话：</w:t>
      </w:r>
      <w:r>
        <w:rPr>
          <w:rFonts w:ascii="宋体" w:hAnsi="宋体"/>
          <w:bCs/>
          <w:sz w:val="24"/>
        </w:rPr>
        <w:t xml:space="preserve">0576-88685180  </w:t>
      </w:r>
    </w:p>
    <w:p>
      <w:pPr>
        <w:spacing w:line="480" w:lineRule="atLeast"/>
        <w:ind w:right="105" w:rightChars="50" w:firstLine="720" w:firstLineChars="300"/>
        <w:jc w:val="left"/>
        <w:rPr>
          <w:rFonts w:ascii="宋体" w:hAnsi="宋体"/>
          <w:bCs/>
          <w:sz w:val="24"/>
        </w:rPr>
      </w:pPr>
      <w:r>
        <w:rPr>
          <w:rFonts w:ascii="宋体" w:hAnsi="宋体"/>
          <w:bCs/>
          <w:sz w:val="24"/>
        </w:rPr>
        <w:t xml:space="preserve"> </w:t>
      </w:r>
      <w:r>
        <w:rPr>
          <w:rFonts w:hint="eastAsia" w:ascii="宋体" w:hAnsi="宋体"/>
          <w:bCs/>
          <w:sz w:val="24"/>
        </w:rPr>
        <w:t>网址：</w:t>
      </w:r>
      <w:r>
        <w:fldChar w:fldCharType="begin"/>
      </w:r>
      <w:r>
        <w:instrText xml:space="preserve"> HYPERLINK "http://www.tzztb.com/tzcms/" </w:instrText>
      </w:r>
      <w:r>
        <w:fldChar w:fldCharType="separate"/>
      </w:r>
      <w:r>
        <w:rPr>
          <w:rStyle w:val="17"/>
          <w:rFonts w:ascii="宋体" w:hAnsi="Calibri" w:eastAsia="宋体" w:cs="Times New Roman"/>
          <w:bCs/>
          <w:kern w:val="2"/>
          <w:sz w:val="21"/>
          <w:lang w:eastAsia="zh-CN"/>
        </w:rPr>
        <w:t>http://www.tzztb.com/</w:t>
      </w:r>
      <w:bookmarkStart w:id="3" w:name="_Hlt435007981"/>
      <w:bookmarkStart w:id="4" w:name="_Hlt435007982"/>
      <w:r>
        <w:rPr>
          <w:rStyle w:val="17"/>
          <w:rFonts w:ascii="宋体" w:hAnsi="Calibri" w:eastAsia="宋体" w:cs="Times New Roman"/>
          <w:bCs/>
          <w:kern w:val="2"/>
          <w:sz w:val="21"/>
          <w:lang w:eastAsia="zh-CN"/>
        </w:rPr>
        <w:t>t</w:t>
      </w:r>
      <w:bookmarkEnd w:id="3"/>
      <w:bookmarkEnd w:id="4"/>
      <w:r>
        <w:rPr>
          <w:rStyle w:val="17"/>
          <w:rFonts w:ascii="宋体" w:hAnsi="Calibri" w:eastAsia="宋体" w:cs="Times New Roman"/>
          <w:bCs/>
          <w:kern w:val="2"/>
          <w:sz w:val="21"/>
          <w:lang w:eastAsia="zh-CN"/>
        </w:rPr>
        <w:t>zcms/</w:t>
      </w:r>
      <w:r>
        <w:rPr>
          <w:rStyle w:val="17"/>
          <w:rFonts w:ascii="宋体" w:hAnsi="Calibri" w:eastAsia="宋体" w:cs="Times New Roman"/>
          <w:bCs/>
          <w:kern w:val="2"/>
          <w:sz w:val="21"/>
          <w:lang w:eastAsia="zh-CN"/>
        </w:rPr>
        <w:fldChar w:fldCharType="end"/>
      </w:r>
      <w:r>
        <w:rPr>
          <w:rFonts w:ascii="宋体" w:hAnsi="宋体"/>
          <w:bCs/>
          <w:sz w:val="24"/>
        </w:rPr>
        <w:t xml:space="preserve">     </w:t>
      </w:r>
      <w:r>
        <w:fldChar w:fldCharType="begin"/>
      </w:r>
      <w:r>
        <w:instrText xml:space="preserve"> HYPERLINK "http://www.tzpre.com/" </w:instrText>
      </w:r>
      <w:r>
        <w:fldChar w:fldCharType="separate"/>
      </w:r>
      <w:r>
        <w:rPr>
          <w:rFonts w:ascii="宋体" w:hAnsi="宋体"/>
          <w:bCs/>
          <w:sz w:val="24"/>
        </w:rPr>
        <w:t>www.tzpre.com</w:t>
      </w:r>
      <w:r>
        <w:rPr>
          <w:rFonts w:ascii="宋体" w:hAnsi="宋体"/>
          <w:bCs/>
          <w:sz w:val="24"/>
        </w:rPr>
        <w:fldChar w:fldCharType="end"/>
      </w:r>
    </w:p>
    <w:p>
      <w:pPr>
        <w:spacing w:line="480" w:lineRule="atLeast"/>
        <w:ind w:right="105" w:rightChars="50" w:firstLine="5040" w:firstLineChars="2100"/>
        <w:rPr>
          <w:rFonts w:ascii="宋体" w:hAnsi="宋体"/>
          <w:bCs/>
          <w:sz w:val="24"/>
        </w:rPr>
      </w:pPr>
    </w:p>
    <w:p>
      <w:pPr>
        <w:spacing w:line="480" w:lineRule="atLeast"/>
        <w:ind w:right="105" w:rightChars="50" w:firstLine="5040" w:firstLineChars="2100"/>
        <w:rPr>
          <w:rFonts w:ascii="宋体"/>
          <w:sz w:val="24"/>
        </w:rPr>
      </w:pPr>
    </w:p>
    <w:p>
      <w:pPr>
        <w:spacing w:line="480" w:lineRule="atLeast"/>
        <w:ind w:right="105" w:rightChars="50" w:firstLine="5040" w:firstLineChars="2100"/>
        <w:rPr>
          <w:rFonts w:ascii="宋体" w:hAnsi="宋体"/>
          <w:sz w:val="24"/>
        </w:rPr>
      </w:pPr>
    </w:p>
    <w:p>
      <w:pPr>
        <w:spacing w:line="480" w:lineRule="atLeast"/>
        <w:ind w:right="105" w:rightChars="50" w:firstLine="5040" w:firstLineChars="2100"/>
        <w:rPr>
          <w:rFonts w:ascii="宋体" w:hAnsi="宋体"/>
          <w:sz w:val="24"/>
        </w:rPr>
      </w:pPr>
    </w:p>
    <w:p>
      <w:pPr>
        <w:spacing w:line="480" w:lineRule="atLeast"/>
        <w:ind w:right="105" w:rightChars="50" w:firstLine="5280" w:firstLineChars="2200"/>
        <w:rPr>
          <w:rFonts w:ascii="宋体" w:hAnsi="宋体"/>
          <w:bCs/>
          <w:sz w:val="24"/>
        </w:rPr>
      </w:pPr>
      <w:r>
        <w:rPr>
          <w:rFonts w:hint="eastAsia" w:ascii="宋体" w:hAnsi="宋体"/>
          <w:bCs/>
          <w:sz w:val="24"/>
        </w:rPr>
        <w:t>台州市产权交易所有限公司</w:t>
      </w:r>
    </w:p>
    <w:p>
      <w:pPr>
        <w:spacing w:line="480" w:lineRule="atLeast"/>
        <w:ind w:right="105" w:rightChars="50" w:firstLine="840" w:firstLineChars="350"/>
        <w:rPr>
          <w:rFonts w:ascii="宋体" w:hAnsi="宋体"/>
          <w:bCs/>
          <w:sz w:val="24"/>
        </w:rPr>
      </w:pPr>
      <w:r>
        <w:rPr>
          <w:rFonts w:hint="eastAsia" w:ascii="宋体" w:hAnsi="宋体"/>
          <w:bCs/>
          <w:sz w:val="24"/>
        </w:rPr>
        <w:t>　　　</w:t>
      </w:r>
      <w:r>
        <w:rPr>
          <w:rFonts w:ascii="宋体" w:hAnsi="宋体"/>
          <w:bCs/>
          <w:sz w:val="24"/>
        </w:rPr>
        <w:t xml:space="preserve">                                  </w:t>
      </w:r>
      <w:r>
        <w:rPr>
          <w:rFonts w:hint="eastAsia" w:ascii="宋体" w:hAnsi="宋体"/>
          <w:bCs/>
          <w:sz w:val="24"/>
        </w:rPr>
        <w:t>二〇一八年十一月一日</w:t>
      </w:r>
    </w:p>
    <w:p>
      <w:pPr>
        <w:widowControl/>
        <w:ind w:firstLine="480"/>
        <w:jc w:val="left"/>
        <w:rPr>
          <w:rFonts w:ascii="宋体" w:hAnsi="宋体"/>
          <w:sz w:val="24"/>
        </w:rPr>
      </w:pPr>
    </w:p>
    <w:p>
      <w:pPr>
        <w:widowControl/>
        <w:jc w:val="left"/>
        <w:rPr>
          <w:rFonts w:ascii="宋体" w:hAnsi="宋体"/>
          <w:b/>
          <w:sz w:val="24"/>
          <w:szCs w:val="24"/>
        </w:rPr>
      </w:pPr>
      <w:bookmarkStart w:id="5" w:name="_Hlk527706449"/>
      <w:r>
        <w:rPr>
          <w:rFonts w:ascii="宋体" w:hAnsi="宋体"/>
          <w:b/>
          <w:sz w:val="24"/>
          <w:szCs w:val="24"/>
        </w:rPr>
        <w:br w:type="page"/>
      </w:r>
    </w:p>
    <w:p>
      <w:pPr>
        <w:jc w:val="center"/>
        <w:rPr>
          <w:b/>
          <w:sz w:val="32"/>
          <w:szCs w:val="32"/>
        </w:rPr>
      </w:pPr>
      <w:r>
        <w:rPr>
          <w:rFonts w:hint="eastAsia"/>
          <w:b/>
          <w:sz w:val="32"/>
          <w:szCs w:val="32"/>
        </w:rPr>
        <w:t>浙江海晟药业有限公司</w:t>
      </w:r>
      <w:bookmarkEnd w:id="5"/>
      <w:r>
        <w:rPr>
          <w:rFonts w:hint="eastAsia"/>
          <w:b/>
          <w:sz w:val="32"/>
          <w:szCs w:val="32"/>
        </w:rPr>
        <w:t>新增</w:t>
      </w:r>
      <w:bookmarkStart w:id="6" w:name="_Hlk527706469"/>
      <w:r>
        <w:rPr>
          <w:rFonts w:hint="eastAsia"/>
          <w:b/>
          <w:sz w:val="32"/>
          <w:szCs w:val="32"/>
        </w:rPr>
        <w:t>12631.5789万元注册资本</w:t>
      </w:r>
      <w:bookmarkEnd w:id="6"/>
      <w:r>
        <w:rPr>
          <w:rFonts w:hint="eastAsia"/>
          <w:b/>
          <w:sz w:val="32"/>
          <w:szCs w:val="32"/>
        </w:rPr>
        <w:t>项目文件</w:t>
      </w:r>
    </w:p>
    <w:p>
      <w:pPr>
        <w:pStyle w:val="2"/>
        <w:jc w:val="center"/>
        <w:rPr>
          <w:sz w:val="32"/>
          <w:szCs w:val="32"/>
        </w:rPr>
      </w:pPr>
      <w:bookmarkStart w:id="7" w:name="_Toc528760899"/>
      <w:r>
        <w:rPr>
          <w:rFonts w:hint="eastAsia"/>
          <w:sz w:val="32"/>
          <w:szCs w:val="32"/>
        </w:rPr>
        <w:t>须知及相关说明</w:t>
      </w:r>
      <w:bookmarkEnd w:id="7"/>
    </w:p>
    <w:p>
      <w:pPr>
        <w:spacing w:line="500" w:lineRule="atLeast"/>
        <w:ind w:firstLine="482" w:firstLineChars="200"/>
        <w:jc w:val="center"/>
        <w:rPr>
          <w:rFonts w:ascii="宋体"/>
          <w:b/>
          <w:sz w:val="24"/>
          <w:szCs w:val="24"/>
        </w:rPr>
      </w:pPr>
    </w:p>
    <w:p>
      <w:pPr>
        <w:spacing w:line="500" w:lineRule="atLeast"/>
        <w:ind w:firstLine="480" w:firstLineChars="200"/>
        <w:rPr>
          <w:rFonts w:ascii="宋体"/>
          <w:sz w:val="24"/>
          <w:szCs w:val="24"/>
        </w:rPr>
      </w:pPr>
      <w:r>
        <w:rPr>
          <w:rFonts w:hint="eastAsia" w:ascii="宋体" w:hAnsi="宋体"/>
          <w:sz w:val="24"/>
          <w:szCs w:val="24"/>
        </w:rPr>
        <w:t>本公司（即台州市产权交易所有限公司）受浙江海晟药业有限公司的委托，</w:t>
      </w:r>
      <w:r>
        <w:rPr>
          <w:rFonts w:hint="eastAsia" w:ascii="宋体"/>
          <w:sz w:val="24"/>
          <w:szCs w:val="24"/>
        </w:rPr>
        <w:t>通过挂牌方式对其新增12631.5789万元注册资本项目公开引进一家投资方</w:t>
      </w:r>
      <w:r>
        <w:rPr>
          <w:rFonts w:hint="eastAsia" w:ascii="宋体" w:hAnsi="宋体"/>
          <w:sz w:val="24"/>
          <w:szCs w:val="24"/>
        </w:rPr>
        <w:t>（</w:t>
      </w:r>
      <w:r>
        <w:rPr>
          <w:rFonts w:hint="eastAsia" w:ascii="宋体"/>
          <w:sz w:val="24"/>
          <w:szCs w:val="24"/>
        </w:rPr>
        <w:t>联合投标体作为1家）。</w:t>
      </w:r>
      <w:r>
        <w:rPr>
          <w:rFonts w:hint="eastAsia" w:ascii="宋体" w:hAnsi="宋体"/>
          <w:sz w:val="24"/>
          <w:szCs w:val="24"/>
        </w:rPr>
        <w:t>为切实保障各参与当事人的权利和义务，根据《中华人民共和国合同法》、《中华人民共和国企业国有资产法》和《企业国有资产交易监督管理办法》（</w:t>
      </w:r>
      <w:r>
        <w:rPr>
          <w:rFonts w:ascii="宋体" w:hAnsi="宋体"/>
          <w:sz w:val="24"/>
          <w:szCs w:val="24"/>
        </w:rPr>
        <w:t>3</w:t>
      </w:r>
      <w:r>
        <w:rPr>
          <w:rFonts w:hint="eastAsia" w:ascii="宋体" w:hAnsi="宋体"/>
          <w:sz w:val="24"/>
          <w:szCs w:val="24"/>
        </w:rPr>
        <w:t>2号令），本着公开、公平、公正、诚实信用的原则，特制定须知及特别约定如下：</w:t>
      </w:r>
    </w:p>
    <w:p>
      <w:pPr>
        <w:numPr>
          <w:ilvl w:val="0"/>
          <w:numId w:val="2"/>
        </w:numPr>
        <w:spacing w:line="500" w:lineRule="atLeast"/>
        <w:ind w:left="0" w:firstLine="720"/>
        <w:rPr>
          <w:rFonts w:ascii="宋体"/>
          <w:b/>
          <w:sz w:val="24"/>
          <w:szCs w:val="24"/>
        </w:rPr>
      </w:pPr>
      <w:r>
        <w:rPr>
          <w:rFonts w:hint="eastAsia" w:ascii="宋体" w:hAnsi="宋体"/>
          <w:b/>
          <w:sz w:val="24"/>
          <w:szCs w:val="24"/>
        </w:rPr>
        <w:t>定义和释义</w:t>
      </w:r>
    </w:p>
    <w:p>
      <w:pPr>
        <w:spacing w:line="500" w:lineRule="atLeast"/>
        <w:ind w:firstLine="480" w:firstLineChars="200"/>
        <w:rPr>
          <w:rFonts w:ascii="宋体"/>
          <w:sz w:val="24"/>
          <w:szCs w:val="24"/>
        </w:rPr>
      </w:pPr>
      <w:r>
        <w:rPr>
          <w:rFonts w:hint="eastAsia" w:ascii="宋体" w:hAnsi="宋体"/>
          <w:sz w:val="24"/>
          <w:szCs w:val="24"/>
        </w:rPr>
        <w:t>（一）定义</w:t>
      </w:r>
    </w:p>
    <w:p>
      <w:pPr>
        <w:numPr>
          <w:ilvl w:val="0"/>
          <w:numId w:val="3"/>
        </w:numPr>
        <w:spacing w:line="500" w:lineRule="atLeast"/>
        <w:ind w:firstLine="480" w:firstLineChars="200"/>
        <w:rPr>
          <w:rFonts w:ascii="宋体"/>
          <w:sz w:val="24"/>
          <w:szCs w:val="24"/>
        </w:rPr>
      </w:pPr>
      <w:r>
        <w:rPr>
          <w:rFonts w:hint="eastAsia" w:ascii="宋体" w:hAnsi="宋体"/>
          <w:sz w:val="24"/>
          <w:szCs w:val="24"/>
        </w:rPr>
        <w:t>本项目：</w:t>
      </w:r>
      <w:bookmarkStart w:id="8" w:name="_Hlk527706537"/>
      <w:r>
        <w:rPr>
          <w:rFonts w:hint="eastAsia" w:ascii="宋体" w:hAnsi="宋体"/>
          <w:sz w:val="24"/>
          <w:szCs w:val="24"/>
        </w:rPr>
        <w:t>浙江</w:t>
      </w:r>
      <w:bookmarkStart w:id="9" w:name="_Hlk527706545"/>
      <w:r>
        <w:rPr>
          <w:rFonts w:hint="eastAsia" w:ascii="宋体" w:hAnsi="宋体"/>
          <w:sz w:val="24"/>
          <w:szCs w:val="24"/>
        </w:rPr>
        <w:t>海晟药业</w:t>
      </w:r>
      <w:bookmarkEnd w:id="9"/>
      <w:r>
        <w:rPr>
          <w:rFonts w:hint="eastAsia" w:ascii="宋体" w:hAnsi="宋体"/>
          <w:sz w:val="24"/>
          <w:szCs w:val="24"/>
        </w:rPr>
        <w:t>有限公司</w:t>
      </w:r>
      <w:bookmarkEnd w:id="8"/>
      <w:r>
        <w:rPr>
          <w:rFonts w:hint="eastAsia" w:ascii="宋体" w:hAnsi="宋体"/>
          <w:sz w:val="24"/>
          <w:szCs w:val="24"/>
        </w:rPr>
        <w:t>新增12631.5789万元注册资本。</w:t>
      </w:r>
    </w:p>
    <w:p>
      <w:pPr>
        <w:numPr>
          <w:ilvl w:val="0"/>
          <w:numId w:val="3"/>
        </w:numPr>
        <w:spacing w:line="500" w:lineRule="atLeast"/>
        <w:ind w:firstLine="480" w:firstLineChars="200"/>
        <w:rPr>
          <w:rFonts w:ascii="宋体"/>
          <w:sz w:val="24"/>
          <w:szCs w:val="24"/>
        </w:rPr>
      </w:pPr>
      <w:r>
        <w:rPr>
          <w:rFonts w:hint="eastAsia" w:ascii="宋体" w:hAnsi="宋体"/>
          <w:sz w:val="24"/>
          <w:szCs w:val="24"/>
        </w:rPr>
        <w:t>标的公司：浙江海晟药业有限公司（以下简称“海晟药业”）。</w:t>
      </w:r>
    </w:p>
    <w:p>
      <w:pPr>
        <w:numPr>
          <w:ilvl w:val="0"/>
          <w:numId w:val="3"/>
        </w:numPr>
        <w:spacing w:line="500" w:lineRule="atLeast"/>
        <w:ind w:firstLine="480" w:firstLineChars="200"/>
        <w:rPr>
          <w:rFonts w:ascii="宋体"/>
          <w:sz w:val="24"/>
          <w:szCs w:val="24"/>
        </w:rPr>
      </w:pPr>
      <w:r>
        <w:rPr>
          <w:rFonts w:hint="eastAsia" w:ascii="宋体" w:hAnsi="宋体"/>
          <w:sz w:val="24"/>
          <w:szCs w:val="24"/>
        </w:rPr>
        <w:t>申请方：浙江海晟药业有限公司（也称融资方）。</w:t>
      </w:r>
    </w:p>
    <w:p>
      <w:pPr>
        <w:numPr>
          <w:ilvl w:val="0"/>
          <w:numId w:val="3"/>
        </w:numPr>
        <w:spacing w:line="500" w:lineRule="atLeast"/>
        <w:ind w:firstLine="480" w:firstLineChars="200"/>
        <w:rPr>
          <w:rFonts w:ascii="宋体"/>
          <w:sz w:val="24"/>
          <w:szCs w:val="24"/>
        </w:rPr>
      </w:pPr>
      <w:r>
        <w:rPr>
          <w:rFonts w:hint="eastAsia" w:ascii="宋体" w:hAnsi="宋体"/>
          <w:sz w:val="24"/>
          <w:szCs w:val="24"/>
        </w:rPr>
        <w:t>组织人：指台州市产权交易所有限公司（以下简称“台交所”）。</w:t>
      </w:r>
    </w:p>
    <w:p>
      <w:pPr>
        <w:numPr>
          <w:ilvl w:val="0"/>
          <w:numId w:val="3"/>
        </w:numPr>
        <w:spacing w:line="500" w:lineRule="atLeast"/>
        <w:ind w:firstLine="480" w:firstLineChars="200"/>
        <w:rPr>
          <w:rFonts w:ascii="宋体" w:hAnsi="宋体"/>
          <w:sz w:val="24"/>
          <w:szCs w:val="24"/>
        </w:rPr>
      </w:pPr>
      <w:r>
        <w:rPr>
          <w:rFonts w:hint="eastAsia" w:ascii="宋体" w:hAnsi="宋体"/>
          <w:sz w:val="24"/>
          <w:szCs w:val="24"/>
        </w:rPr>
        <w:t>意向投资方：指经资格确认参与本项目并按时交纳足额保证金的意向投资主体；</w:t>
      </w:r>
      <w:r>
        <w:rPr>
          <w:rFonts w:ascii="宋体" w:hAnsi="宋体"/>
          <w:sz w:val="24"/>
          <w:szCs w:val="24"/>
        </w:rPr>
        <w:t>为免疑义，</w:t>
      </w:r>
      <w:r>
        <w:rPr>
          <w:rFonts w:hint="eastAsia" w:ascii="宋体" w:hAnsi="宋体"/>
          <w:sz w:val="24"/>
          <w:szCs w:val="24"/>
        </w:rPr>
        <w:t>意向</w:t>
      </w:r>
      <w:r>
        <w:rPr>
          <w:rFonts w:ascii="宋体" w:hAnsi="宋体"/>
          <w:sz w:val="24"/>
          <w:szCs w:val="24"/>
        </w:rPr>
        <w:t>投资方可为</w:t>
      </w:r>
      <w:r>
        <w:rPr>
          <w:rFonts w:hint="eastAsia" w:ascii="宋体" w:hAnsi="宋体"/>
          <w:sz w:val="24"/>
          <w:szCs w:val="24"/>
        </w:rPr>
        <w:t>单个</w:t>
      </w:r>
      <w:r>
        <w:rPr>
          <w:rFonts w:ascii="宋体" w:hAnsi="宋体"/>
          <w:sz w:val="24"/>
          <w:szCs w:val="24"/>
        </w:rPr>
        <w:t>主体或由</w:t>
      </w:r>
      <w:r>
        <w:rPr>
          <w:rFonts w:hint="eastAsia" w:ascii="宋体" w:hAnsi="宋体"/>
          <w:sz w:val="24"/>
          <w:szCs w:val="24"/>
        </w:rPr>
        <w:t>主要</w:t>
      </w:r>
      <w:r>
        <w:rPr>
          <w:rFonts w:ascii="宋体" w:hAnsi="宋体"/>
          <w:sz w:val="24"/>
          <w:szCs w:val="24"/>
        </w:rPr>
        <w:t>投资方和联合投资方组成的</w:t>
      </w:r>
      <w:r>
        <w:rPr>
          <w:rFonts w:hint="eastAsia" w:ascii="宋体" w:hAnsi="宋体"/>
          <w:sz w:val="24"/>
          <w:szCs w:val="24"/>
        </w:rPr>
        <w:t>联合投</w:t>
      </w:r>
      <w:r>
        <w:rPr>
          <w:rFonts w:ascii="宋体" w:hAnsi="宋体"/>
          <w:sz w:val="24"/>
          <w:szCs w:val="24"/>
        </w:rPr>
        <w:t>标体</w:t>
      </w:r>
      <w:r>
        <w:rPr>
          <w:rFonts w:hint="eastAsia" w:ascii="宋体" w:hAnsi="宋体"/>
          <w:sz w:val="24"/>
          <w:szCs w:val="24"/>
        </w:rPr>
        <w:t>。</w:t>
      </w:r>
    </w:p>
    <w:p>
      <w:pPr>
        <w:numPr>
          <w:ilvl w:val="0"/>
          <w:numId w:val="3"/>
        </w:numPr>
        <w:spacing w:line="500" w:lineRule="atLeast"/>
        <w:ind w:firstLine="480" w:firstLineChars="200"/>
        <w:rPr>
          <w:rFonts w:ascii="宋体"/>
          <w:sz w:val="24"/>
          <w:szCs w:val="24"/>
        </w:rPr>
      </w:pPr>
      <w:r>
        <w:rPr>
          <w:rFonts w:hint="eastAsia" w:ascii="宋体" w:hAnsi="宋体"/>
          <w:sz w:val="24"/>
          <w:szCs w:val="24"/>
        </w:rPr>
        <w:t>投资方：本项目最终确定的投资主体。</w:t>
      </w:r>
    </w:p>
    <w:p>
      <w:pPr>
        <w:numPr>
          <w:ilvl w:val="0"/>
          <w:numId w:val="3"/>
        </w:numPr>
        <w:spacing w:line="500" w:lineRule="atLeast"/>
        <w:ind w:firstLine="480" w:firstLineChars="200"/>
        <w:rPr>
          <w:rFonts w:ascii="宋体"/>
          <w:sz w:val="24"/>
          <w:szCs w:val="24"/>
        </w:rPr>
      </w:pPr>
      <w:r>
        <w:rPr>
          <w:rFonts w:hint="eastAsia" w:ascii="宋体" w:hAnsi="宋体"/>
          <w:sz w:val="24"/>
          <w:szCs w:val="24"/>
        </w:rPr>
        <w:t>增资协议：指申请方与投资方就本项目签订的《浙江海晟药业有限公司增资协议》。</w:t>
      </w:r>
    </w:p>
    <w:p>
      <w:pPr>
        <w:numPr>
          <w:ilvl w:val="0"/>
          <w:numId w:val="3"/>
        </w:numPr>
        <w:spacing w:line="500" w:lineRule="atLeast"/>
        <w:ind w:firstLine="480" w:firstLineChars="200"/>
        <w:rPr>
          <w:rFonts w:ascii="宋体"/>
          <w:sz w:val="24"/>
          <w:szCs w:val="24"/>
        </w:rPr>
      </w:pPr>
      <w:r>
        <w:rPr>
          <w:rFonts w:hint="eastAsia" w:ascii="宋体" w:hAnsi="宋体"/>
          <w:sz w:val="24"/>
          <w:szCs w:val="24"/>
        </w:rPr>
        <w:t>增资文件：指《浙江海晟药业有限公司增资扩股项目增资文件》。</w:t>
      </w:r>
    </w:p>
    <w:p>
      <w:pPr>
        <w:numPr>
          <w:ilvl w:val="0"/>
          <w:numId w:val="3"/>
        </w:numPr>
        <w:spacing w:line="500" w:lineRule="atLeast"/>
        <w:ind w:firstLine="480" w:firstLineChars="200"/>
        <w:rPr>
          <w:rFonts w:ascii="宋体"/>
          <w:sz w:val="24"/>
          <w:szCs w:val="24"/>
        </w:rPr>
      </w:pPr>
      <w:r>
        <w:rPr>
          <w:rFonts w:hint="eastAsia" w:ascii="宋体" w:hAnsi="宋体"/>
          <w:sz w:val="24"/>
          <w:szCs w:val="24"/>
        </w:rPr>
        <w:t>报名截止时间：</w:t>
      </w:r>
      <w:r>
        <w:rPr>
          <w:rFonts w:ascii="宋体" w:hAnsi="宋体"/>
          <w:sz w:val="24"/>
          <w:szCs w:val="24"/>
          <w:u w:val="single"/>
        </w:rPr>
        <w:t xml:space="preserve"> 2018</w:t>
      </w:r>
      <w:r>
        <w:rPr>
          <w:rFonts w:hint="eastAsia" w:ascii="宋体" w:hAnsi="宋体"/>
          <w:sz w:val="24"/>
          <w:szCs w:val="24"/>
        </w:rPr>
        <w:t>年</w:t>
      </w:r>
      <w:r>
        <w:rPr>
          <w:rFonts w:ascii="宋体" w:hAnsi="宋体"/>
          <w:sz w:val="24"/>
          <w:szCs w:val="24"/>
          <w:u w:val="single"/>
        </w:rPr>
        <w:t xml:space="preserve"> 1</w:t>
      </w:r>
      <w:r>
        <w:rPr>
          <w:rFonts w:hint="eastAsia" w:ascii="宋体" w:hAnsi="宋体"/>
          <w:sz w:val="24"/>
          <w:szCs w:val="24"/>
          <w:u w:val="single"/>
        </w:rPr>
        <w:t xml:space="preserve">2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u w:val="single"/>
        </w:rPr>
        <w:t>26</w:t>
      </w:r>
      <w:r>
        <w:rPr>
          <w:rFonts w:ascii="宋体" w:hAnsi="宋体"/>
          <w:sz w:val="24"/>
          <w:szCs w:val="24"/>
          <w:u w:val="single"/>
        </w:rPr>
        <w:t xml:space="preserve"> </w:t>
      </w:r>
      <w:r>
        <w:rPr>
          <w:rFonts w:hint="eastAsia" w:ascii="宋体" w:hAnsi="宋体"/>
          <w:sz w:val="24"/>
          <w:szCs w:val="24"/>
        </w:rPr>
        <w:t>日下午</w:t>
      </w:r>
      <w:r>
        <w:rPr>
          <w:rFonts w:ascii="宋体" w:hAnsi="宋体"/>
          <w:sz w:val="24"/>
          <w:szCs w:val="24"/>
        </w:rPr>
        <w:t>4</w:t>
      </w:r>
      <w:r>
        <w:rPr>
          <w:rFonts w:hint="eastAsia" w:ascii="宋体" w:hAnsi="宋体"/>
          <w:sz w:val="24"/>
          <w:szCs w:val="24"/>
        </w:rPr>
        <w:t>时整。</w:t>
      </w:r>
    </w:p>
    <w:p>
      <w:pPr>
        <w:spacing w:line="500" w:lineRule="atLeast"/>
        <w:ind w:firstLine="480" w:firstLineChars="200"/>
        <w:rPr>
          <w:rFonts w:ascii="宋体"/>
          <w:sz w:val="24"/>
          <w:szCs w:val="24"/>
        </w:rPr>
      </w:pPr>
      <w:r>
        <w:rPr>
          <w:rFonts w:ascii="宋体" w:hAnsi="宋体"/>
          <w:sz w:val="24"/>
          <w:szCs w:val="24"/>
        </w:rPr>
        <w:t>10.</w:t>
      </w:r>
      <w:r>
        <w:rPr>
          <w:rFonts w:hint="eastAsia" w:ascii="宋体" w:hAnsi="宋体"/>
          <w:sz w:val="24"/>
          <w:szCs w:val="24"/>
        </w:rPr>
        <w:t>保证金到账截止时间：指意向投资方的保证金到达组织人指定账户的截止时间，以银行到账为准。</w:t>
      </w:r>
    </w:p>
    <w:p>
      <w:pPr>
        <w:spacing w:line="500" w:lineRule="atLeast"/>
        <w:ind w:firstLine="480" w:firstLineChars="200"/>
        <w:rPr>
          <w:rFonts w:ascii="宋体"/>
          <w:sz w:val="24"/>
          <w:szCs w:val="24"/>
        </w:rPr>
      </w:pPr>
      <w:r>
        <w:rPr>
          <w:rFonts w:hint="eastAsia" w:ascii="宋体" w:hAnsi="宋体"/>
          <w:sz w:val="24"/>
          <w:szCs w:val="24"/>
        </w:rPr>
        <w:t>（二）释义</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除非上下文另有所指，所提及的条款指本增资文件的条款。</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本增资文件提及的时间皆为北京时间，货币指人民币。</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本增资文件提供中文文本。</w:t>
      </w:r>
    </w:p>
    <w:p>
      <w:pPr>
        <w:numPr>
          <w:ilvl w:val="0"/>
          <w:numId w:val="2"/>
        </w:numPr>
        <w:spacing w:line="500" w:lineRule="atLeast"/>
        <w:rPr>
          <w:rFonts w:ascii="宋体"/>
          <w:b/>
          <w:sz w:val="24"/>
          <w:szCs w:val="24"/>
        </w:rPr>
      </w:pPr>
      <w:r>
        <w:rPr>
          <w:rFonts w:hint="eastAsia" w:ascii="宋体" w:hAnsi="宋体"/>
          <w:b/>
          <w:sz w:val="24"/>
          <w:szCs w:val="24"/>
        </w:rPr>
        <w:t>须知</w:t>
      </w:r>
    </w:p>
    <w:p>
      <w:pPr>
        <w:spacing w:before="156" w:beforeLines="50" w:line="360" w:lineRule="auto"/>
        <w:ind w:firstLine="482" w:firstLineChars="200"/>
        <w:rPr>
          <w:rFonts w:ascii="宋体"/>
          <w:b/>
          <w:bCs/>
          <w:sz w:val="24"/>
          <w:szCs w:val="24"/>
        </w:rPr>
      </w:pPr>
      <w:r>
        <w:rPr>
          <w:rFonts w:hint="eastAsia" w:ascii="宋体" w:hAnsi="宋体"/>
          <w:b/>
          <w:bCs/>
          <w:sz w:val="24"/>
          <w:szCs w:val="24"/>
        </w:rPr>
        <w:t>（一）海晟药业基本情况</w:t>
      </w:r>
    </w:p>
    <w:p>
      <w:pPr>
        <w:autoSpaceDE w:val="0"/>
        <w:autoSpaceDN w:val="0"/>
        <w:adjustRightInd w:val="0"/>
        <w:spacing w:before="156" w:beforeLines="50" w:line="360" w:lineRule="auto"/>
        <w:ind w:firstLine="480" w:firstLineChars="200"/>
        <w:rPr>
          <w:rFonts w:ascii="宋体" w:hAnsi="宋体"/>
          <w:sz w:val="24"/>
          <w:szCs w:val="24"/>
        </w:rPr>
      </w:pPr>
      <w:r>
        <w:rPr>
          <w:rFonts w:hint="eastAsia" w:ascii="宋体" w:hAnsi="宋体"/>
          <w:sz w:val="24"/>
          <w:szCs w:val="24"/>
        </w:rPr>
        <w:t>海晟药业是一家专注于糖尿病领域的专业化公司。组建于2018年4月，注册资本3亿元，统一社会信用代码为91331002MA2AMRGN3Q，法定代表人白骅。海晟药业现有股权结构如下：</w:t>
      </w:r>
    </w:p>
    <w:tbl>
      <w:tblPr>
        <w:tblStyle w:val="19"/>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spacing w:line="360" w:lineRule="auto"/>
              <w:rPr>
                <w:rFonts w:ascii="宋体" w:hAnsi="宋体" w:cs="宋体"/>
                <w:bCs/>
                <w:kern w:val="0"/>
                <w:sz w:val="24"/>
              </w:rPr>
            </w:pPr>
            <w:r>
              <w:rPr>
                <w:rFonts w:hint="eastAsia" w:ascii="宋体" w:hAnsi="宋体" w:cs="宋体"/>
                <w:bCs/>
                <w:kern w:val="0"/>
                <w:sz w:val="24"/>
              </w:rPr>
              <w:t>股东名称</w:t>
            </w:r>
          </w:p>
        </w:tc>
        <w:tc>
          <w:tcPr>
            <w:tcW w:w="2551" w:type="dxa"/>
            <w:shd w:val="clear" w:color="auto" w:fill="auto"/>
            <w:vAlign w:val="center"/>
          </w:tcPr>
          <w:p>
            <w:pPr>
              <w:widowControl/>
              <w:spacing w:line="360" w:lineRule="auto"/>
              <w:rPr>
                <w:rFonts w:ascii="宋体" w:hAnsi="宋体" w:cs="宋体"/>
                <w:bCs/>
                <w:kern w:val="0"/>
                <w:sz w:val="24"/>
              </w:rPr>
            </w:pPr>
            <w:r>
              <w:rPr>
                <w:rFonts w:hint="eastAsia" w:ascii="宋体" w:hAnsi="宋体" w:cs="宋体"/>
                <w:bCs/>
                <w:kern w:val="0"/>
                <w:sz w:val="24"/>
              </w:rPr>
              <w:t>出资额（万元）</w:t>
            </w:r>
          </w:p>
        </w:tc>
        <w:tc>
          <w:tcPr>
            <w:tcW w:w="1966" w:type="dxa"/>
            <w:shd w:val="clear" w:color="auto" w:fill="auto"/>
            <w:vAlign w:val="center"/>
          </w:tcPr>
          <w:p>
            <w:pPr>
              <w:widowControl/>
              <w:spacing w:line="360" w:lineRule="auto"/>
              <w:rPr>
                <w:rFonts w:ascii="宋体" w:hAnsi="宋体" w:cs="宋体"/>
                <w:bCs/>
                <w:kern w:val="0"/>
                <w:sz w:val="24"/>
              </w:rPr>
            </w:pPr>
            <w:r>
              <w:rPr>
                <w:rFonts w:hint="eastAsia" w:ascii="宋体" w:hAnsi="宋体" w:cs="宋体"/>
                <w:bCs/>
                <w:kern w:val="0"/>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left"/>
              <w:rPr>
                <w:rFonts w:ascii="宋体" w:hAnsi="宋体"/>
                <w:sz w:val="24"/>
                <w:szCs w:val="24"/>
              </w:rPr>
            </w:pPr>
            <w:r>
              <w:rPr>
                <w:rFonts w:hint="eastAsia" w:ascii="宋体" w:hAnsi="宋体"/>
                <w:sz w:val="24"/>
                <w:szCs w:val="24"/>
              </w:rPr>
              <w:t>浙江海正药业股份有限公司</w:t>
            </w:r>
          </w:p>
        </w:tc>
        <w:tc>
          <w:tcPr>
            <w:tcW w:w="2551" w:type="dxa"/>
            <w:vAlign w:val="center"/>
          </w:tcPr>
          <w:p>
            <w:pPr>
              <w:jc w:val="center"/>
              <w:rPr>
                <w:rFonts w:ascii="宋体" w:hAnsi="宋体"/>
                <w:sz w:val="24"/>
                <w:szCs w:val="24"/>
              </w:rPr>
            </w:pPr>
            <w:r>
              <w:rPr>
                <w:rFonts w:ascii="宋体" w:hAnsi="宋体"/>
                <w:sz w:val="24"/>
                <w:szCs w:val="24"/>
              </w:rPr>
              <w:t>10,086.18</w:t>
            </w:r>
          </w:p>
        </w:tc>
        <w:tc>
          <w:tcPr>
            <w:tcW w:w="1966" w:type="dxa"/>
            <w:vAlign w:val="center"/>
          </w:tcPr>
          <w:p>
            <w:pPr>
              <w:jc w:val="center"/>
              <w:rPr>
                <w:rFonts w:ascii="宋体" w:hAnsi="宋体"/>
                <w:sz w:val="24"/>
                <w:szCs w:val="24"/>
              </w:rPr>
            </w:pPr>
            <w:r>
              <w:rPr>
                <w:rFonts w:ascii="宋体" w:hAnsi="宋体"/>
                <w:sz w:val="24"/>
                <w:szCs w:val="24"/>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left"/>
              <w:rPr>
                <w:rFonts w:ascii="宋体" w:hAnsi="宋体"/>
                <w:sz w:val="24"/>
                <w:szCs w:val="24"/>
              </w:rPr>
            </w:pPr>
            <w:r>
              <w:rPr>
                <w:rFonts w:hint="eastAsia" w:ascii="宋体" w:hAnsi="宋体"/>
                <w:sz w:val="24"/>
                <w:szCs w:val="24"/>
              </w:rPr>
              <w:t>海正药业（杭州）有限公司</w:t>
            </w:r>
          </w:p>
        </w:tc>
        <w:tc>
          <w:tcPr>
            <w:tcW w:w="2551" w:type="dxa"/>
            <w:vAlign w:val="center"/>
          </w:tcPr>
          <w:p>
            <w:pPr>
              <w:jc w:val="center"/>
              <w:rPr>
                <w:rFonts w:ascii="宋体" w:hAnsi="宋体"/>
                <w:sz w:val="24"/>
                <w:szCs w:val="24"/>
              </w:rPr>
            </w:pPr>
            <w:r>
              <w:rPr>
                <w:rFonts w:ascii="宋体" w:hAnsi="宋体"/>
                <w:sz w:val="24"/>
                <w:szCs w:val="24"/>
              </w:rPr>
              <w:t>19,913.82</w:t>
            </w:r>
          </w:p>
        </w:tc>
        <w:tc>
          <w:tcPr>
            <w:tcW w:w="1966" w:type="dxa"/>
            <w:vAlign w:val="center"/>
          </w:tcPr>
          <w:p>
            <w:pPr>
              <w:jc w:val="center"/>
              <w:rPr>
                <w:rFonts w:ascii="宋体" w:hAnsi="宋体"/>
                <w:sz w:val="24"/>
                <w:szCs w:val="24"/>
              </w:rPr>
            </w:pPr>
            <w:r>
              <w:rPr>
                <w:rFonts w:ascii="宋体" w:hAnsi="宋体"/>
                <w:sz w:val="24"/>
                <w:szCs w:val="24"/>
              </w:rPr>
              <w:t>66.4</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left"/>
              <w:rPr>
                <w:rFonts w:ascii="宋体" w:hAnsi="宋体"/>
                <w:sz w:val="24"/>
                <w:szCs w:val="24"/>
              </w:rPr>
            </w:pPr>
            <w:r>
              <w:rPr>
                <w:rFonts w:hint="eastAsia" w:ascii="宋体" w:hAnsi="宋体"/>
                <w:sz w:val="24"/>
                <w:szCs w:val="24"/>
              </w:rPr>
              <w:t>合计</w:t>
            </w:r>
          </w:p>
        </w:tc>
        <w:tc>
          <w:tcPr>
            <w:tcW w:w="2551" w:type="dxa"/>
            <w:vAlign w:val="center"/>
          </w:tcPr>
          <w:p>
            <w:pPr>
              <w:jc w:val="center"/>
              <w:rPr>
                <w:rFonts w:ascii="宋体" w:hAnsi="宋体"/>
                <w:sz w:val="24"/>
                <w:szCs w:val="24"/>
              </w:rPr>
            </w:pPr>
            <w:r>
              <w:rPr>
                <w:rFonts w:hint="eastAsia" w:ascii="宋体" w:hAnsi="宋体"/>
                <w:sz w:val="24"/>
                <w:szCs w:val="24"/>
              </w:rPr>
              <w:t>3</w:t>
            </w:r>
            <w:r>
              <w:rPr>
                <w:rFonts w:ascii="宋体" w:hAnsi="宋体"/>
                <w:sz w:val="24"/>
                <w:szCs w:val="24"/>
              </w:rPr>
              <w:t>0,000.00</w:t>
            </w:r>
          </w:p>
        </w:tc>
        <w:tc>
          <w:tcPr>
            <w:tcW w:w="1966" w:type="dxa"/>
            <w:vAlign w:val="center"/>
          </w:tcPr>
          <w:p>
            <w:pPr>
              <w:jc w:val="center"/>
              <w:rPr>
                <w:rFonts w:ascii="宋体" w:hAnsi="宋体"/>
                <w:sz w:val="24"/>
                <w:szCs w:val="24"/>
              </w:rPr>
            </w:pPr>
            <w:r>
              <w:rPr>
                <w:rFonts w:ascii="宋体" w:hAnsi="宋体" w:cs="宋体"/>
                <w:bCs/>
                <w:kern w:val="0"/>
                <w:sz w:val="24"/>
              </w:rPr>
              <w:t>100.00%</w:t>
            </w:r>
          </w:p>
        </w:tc>
      </w:tr>
    </w:tbl>
    <w:p>
      <w:pPr>
        <w:spacing w:line="480" w:lineRule="atLeast"/>
        <w:ind w:right="105" w:rightChars="50"/>
        <w:jc w:val="left"/>
        <w:rPr>
          <w:rFonts w:ascii="宋体" w:hAnsi="宋体"/>
          <w:sz w:val="24"/>
          <w:szCs w:val="24"/>
        </w:rPr>
      </w:pPr>
    </w:p>
    <w:p>
      <w:pPr>
        <w:spacing w:line="600" w:lineRule="auto"/>
        <w:ind w:right="105" w:rightChars="50" w:firstLine="480" w:firstLineChars="200"/>
        <w:jc w:val="left"/>
        <w:rPr>
          <w:rFonts w:ascii="宋体" w:hAnsi="宋体"/>
          <w:sz w:val="24"/>
          <w:szCs w:val="24"/>
        </w:rPr>
      </w:pPr>
      <w:r>
        <w:rPr>
          <w:rFonts w:hint="eastAsia" w:ascii="宋体" w:hAnsi="宋体"/>
          <w:sz w:val="24"/>
          <w:szCs w:val="24"/>
        </w:rPr>
        <w:t>海晟药业公司主要财务数据</w:t>
      </w:r>
    </w:p>
    <w:tbl>
      <w:tblPr>
        <w:tblStyle w:val="19"/>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840"/>
        <w:gridCol w:w="2100"/>
        <w:gridCol w:w="16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exact"/>
          <w:jc w:val="center"/>
        </w:trPr>
        <w:tc>
          <w:tcPr>
            <w:tcW w:w="1961" w:type="dxa"/>
            <w:vMerge w:val="restart"/>
            <w:vAlign w:val="center"/>
          </w:tcPr>
          <w:p>
            <w:pPr>
              <w:jc w:val="center"/>
              <w:rPr>
                <w:rFonts w:ascii="宋体" w:hAnsi="宋体"/>
                <w:b/>
                <w:sz w:val="24"/>
              </w:rPr>
            </w:pPr>
            <w:r>
              <w:rPr>
                <w:rFonts w:hint="eastAsia" w:ascii="宋体" w:hAnsi="宋体"/>
                <w:b/>
                <w:sz w:val="24"/>
              </w:rPr>
              <w:t>主要财务指标</w:t>
            </w:r>
          </w:p>
          <w:p>
            <w:pPr>
              <w:jc w:val="center"/>
              <w:rPr>
                <w:rFonts w:ascii="宋体" w:hAnsi="宋体"/>
                <w:b/>
                <w:sz w:val="24"/>
              </w:rPr>
            </w:pPr>
            <w:r>
              <w:rPr>
                <w:rFonts w:hint="eastAsia" w:ascii="宋体" w:hAnsi="宋体"/>
                <w:b/>
                <w:sz w:val="24"/>
              </w:rPr>
              <w:t>（单位：人民币万元）</w:t>
            </w:r>
          </w:p>
        </w:tc>
        <w:tc>
          <w:tcPr>
            <w:tcW w:w="7095" w:type="dxa"/>
            <w:gridSpan w:val="4"/>
            <w:vAlign w:val="center"/>
          </w:tcPr>
          <w:p>
            <w:pPr>
              <w:ind w:firstLine="480"/>
              <w:jc w:val="center"/>
              <w:rPr>
                <w:rFonts w:ascii="宋体" w:hAnsi="宋体"/>
                <w:sz w:val="24"/>
              </w:rPr>
            </w:pPr>
            <w:r>
              <w:rPr>
                <w:rFonts w:hint="eastAsia" w:ascii="宋体" w:hAnsi="宋体"/>
                <w:sz w:val="24"/>
              </w:rPr>
              <w:t>以下数据出自企业年度审计报告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rPr>
            </w:pPr>
          </w:p>
        </w:tc>
        <w:tc>
          <w:tcPr>
            <w:tcW w:w="1840" w:type="dxa"/>
            <w:vAlign w:val="center"/>
          </w:tcPr>
          <w:p>
            <w:pPr>
              <w:jc w:val="center"/>
              <w:rPr>
                <w:rFonts w:ascii="宋体" w:hAnsi="宋体"/>
                <w:b/>
                <w:sz w:val="24"/>
              </w:rPr>
            </w:pPr>
            <w:r>
              <w:rPr>
                <w:rFonts w:hint="eastAsia" w:ascii="宋体" w:hAnsi="宋体"/>
                <w:b/>
                <w:sz w:val="24"/>
              </w:rPr>
              <w:t>年度日期</w:t>
            </w:r>
          </w:p>
        </w:tc>
        <w:tc>
          <w:tcPr>
            <w:tcW w:w="2100" w:type="dxa"/>
            <w:vAlign w:val="center"/>
          </w:tcPr>
          <w:p>
            <w:pPr>
              <w:jc w:val="center"/>
              <w:rPr>
                <w:rFonts w:ascii="宋体" w:hAnsi="宋体"/>
                <w:b/>
                <w:sz w:val="24"/>
              </w:rPr>
            </w:pPr>
            <w:r>
              <w:rPr>
                <w:rFonts w:hint="eastAsia" w:ascii="宋体" w:hAnsi="宋体"/>
                <w:b/>
                <w:sz w:val="24"/>
              </w:rPr>
              <w:t>资产总计</w:t>
            </w:r>
          </w:p>
        </w:tc>
        <w:tc>
          <w:tcPr>
            <w:tcW w:w="1677" w:type="dxa"/>
            <w:vAlign w:val="center"/>
          </w:tcPr>
          <w:p>
            <w:pPr>
              <w:jc w:val="center"/>
              <w:rPr>
                <w:rFonts w:ascii="宋体" w:hAnsi="宋体"/>
                <w:b/>
                <w:sz w:val="24"/>
              </w:rPr>
            </w:pPr>
            <w:r>
              <w:rPr>
                <w:rFonts w:hint="eastAsia" w:ascii="宋体" w:hAnsi="宋体"/>
                <w:b/>
                <w:sz w:val="24"/>
              </w:rPr>
              <w:t>负债总计</w:t>
            </w:r>
          </w:p>
        </w:tc>
        <w:tc>
          <w:tcPr>
            <w:tcW w:w="1478" w:type="dxa"/>
            <w:vAlign w:val="center"/>
          </w:tcPr>
          <w:p>
            <w:pPr>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rPr>
            </w:pPr>
          </w:p>
        </w:tc>
        <w:tc>
          <w:tcPr>
            <w:tcW w:w="1840" w:type="dxa"/>
            <w:vMerge w:val="restart"/>
            <w:vAlign w:val="center"/>
          </w:tcPr>
          <w:p>
            <w:pPr>
              <w:jc w:val="center"/>
              <w:rPr>
                <w:rFonts w:ascii="宋体" w:hAnsi="宋体"/>
                <w:sz w:val="24"/>
                <w:u w:val="single"/>
              </w:rPr>
            </w:pPr>
            <w:r>
              <w:rPr>
                <w:rFonts w:hint="eastAsia" w:ascii="宋体" w:hAnsi="宋体"/>
                <w:sz w:val="24"/>
              </w:rPr>
              <w:t>201</w:t>
            </w:r>
            <w:r>
              <w:rPr>
                <w:rFonts w:ascii="宋体" w:hAnsi="宋体"/>
                <w:sz w:val="24"/>
              </w:rPr>
              <w:t>8</w:t>
            </w:r>
            <w:r>
              <w:rPr>
                <w:rFonts w:hint="eastAsia" w:ascii="宋体" w:hAnsi="宋体"/>
                <w:sz w:val="24"/>
              </w:rPr>
              <w:t>年</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vAlign w:val="center"/>
          </w:tcPr>
          <w:p>
            <w:pPr>
              <w:jc w:val="center"/>
              <w:rPr>
                <w:rFonts w:ascii="宋体" w:hAnsi="宋体"/>
                <w:bCs/>
                <w:sz w:val="24"/>
              </w:rPr>
            </w:pPr>
            <w:r>
              <w:rPr>
                <w:rFonts w:ascii="宋体" w:hAnsi="宋体" w:cs="宋体"/>
                <w:sz w:val="20"/>
                <w:szCs w:val="18"/>
              </w:rPr>
              <w:t>66,937.65</w:t>
            </w:r>
          </w:p>
        </w:tc>
        <w:tc>
          <w:tcPr>
            <w:tcW w:w="1677" w:type="dxa"/>
            <w:vAlign w:val="center"/>
          </w:tcPr>
          <w:p>
            <w:pPr>
              <w:jc w:val="center"/>
              <w:rPr>
                <w:rFonts w:ascii="宋体" w:hAnsi="宋体"/>
                <w:bCs/>
                <w:sz w:val="24"/>
              </w:rPr>
            </w:pPr>
            <w:r>
              <w:rPr>
                <w:rFonts w:ascii="宋体" w:hAnsi="宋体" w:cs="宋体"/>
                <w:sz w:val="20"/>
                <w:szCs w:val="18"/>
              </w:rPr>
              <w:t>8,118.22</w:t>
            </w:r>
          </w:p>
        </w:tc>
        <w:tc>
          <w:tcPr>
            <w:tcW w:w="1478" w:type="dxa"/>
            <w:vAlign w:val="center"/>
          </w:tcPr>
          <w:p>
            <w:pPr>
              <w:jc w:val="center"/>
              <w:rPr>
                <w:rFonts w:ascii="宋体" w:hAnsi="宋体"/>
                <w:bCs/>
                <w:sz w:val="24"/>
              </w:rPr>
            </w:pPr>
            <w:r>
              <w:rPr>
                <w:rFonts w:ascii="宋体" w:hAnsi="宋体" w:cs="宋体"/>
                <w:sz w:val="20"/>
                <w:szCs w:val="18"/>
              </w:rPr>
              <w:t>58,819.43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vMerge w:val="continue"/>
            <w:shd w:val="clear" w:color="auto" w:fill="auto"/>
            <w:vAlign w:val="center"/>
          </w:tcPr>
          <w:p>
            <w:pPr>
              <w:jc w:val="center"/>
              <w:rPr>
                <w:rFonts w:ascii="宋体" w:hAnsi="宋体"/>
                <w:sz w:val="24"/>
                <w:u w:val="single"/>
              </w:rPr>
            </w:pPr>
          </w:p>
        </w:tc>
        <w:tc>
          <w:tcPr>
            <w:tcW w:w="2100" w:type="dxa"/>
            <w:shd w:val="clear" w:color="auto" w:fill="auto"/>
            <w:vAlign w:val="center"/>
          </w:tcPr>
          <w:p>
            <w:pPr>
              <w:jc w:val="center"/>
              <w:rPr>
                <w:rFonts w:ascii="宋体" w:hAnsi="宋体"/>
                <w:b/>
                <w:sz w:val="24"/>
              </w:rPr>
            </w:pPr>
            <w:r>
              <w:rPr>
                <w:rFonts w:hint="eastAsia" w:ascii="宋体" w:hAnsi="宋体"/>
                <w:b/>
                <w:sz w:val="24"/>
              </w:rPr>
              <w:t>营业收入</w:t>
            </w:r>
          </w:p>
        </w:tc>
        <w:tc>
          <w:tcPr>
            <w:tcW w:w="1677" w:type="dxa"/>
            <w:shd w:val="clear" w:color="auto" w:fill="FFFFFF"/>
            <w:vAlign w:val="center"/>
          </w:tcPr>
          <w:p>
            <w:pPr>
              <w:jc w:val="center"/>
              <w:rPr>
                <w:rFonts w:ascii="宋体" w:hAnsi="宋体"/>
                <w:b/>
                <w:sz w:val="24"/>
              </w:rPr>
            </w:pPr>
            <w:r>
              <w:rPr>
                <w:rFonts w:hint="eastAsia" w:ascii="宋体" w:hAnsi="宋体"/>
                <w:b/>
                <w:sz w:val="24"/>
              </w:rPr>
              <w:t>利润总额</w:t>
            </w:r>
          </w:p>
        </w:tc>
        <w:tc>
          <w:tcPr>
            <w:tcW w:w="1478" w:type="dxa"/>
            <w:shd w:val="clear" w:color="auto" w:fill="FFFFFF"/>
            <w:vAlign w:val="center"/>
          </w:tcPr>
          <w:p>
            <w:pPr>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vMerge w:val="continue"/>
            <w:shd w:val="clear" w:color="auto" w:fill="auto"/>
            <w:vAlign w:val="center"/>
          </w:tcPr>
          <w:p>
            <w:pPr>
              <w:jc w:val="center"/>
              <w:rPr>
                <w:rFonts w:ascii="宋体" w:hAnsi="宋体"/>
                <w:sz w:val="24"/>
                <w:u w:val="single"/>
              </w:rPr>
            </w:pPr>
          </w:p>
        </w:tc>
        <w:tc>
          <w:tcPr>
            <w:tcW w:w="2100" w:type="dxa"/>
            <w:shd w:val="clear" w:color="auto" w:fill="auto"/>
            <w:vAlign w:val="center"/>
          </w:tcPr>
          <w:p>
            <w:pPr>
              <w:jc w:val="center"/>
              <w:rPr>
                <w:rFonts w:ascii="宋体" w:hAnsi="宋体"/>
                <w:sz w:val="24"/>
              </w:rPr>
            </w:pPr>
          </w:p>
        </w:tc>
        <w:tc>
          <w:tcPr>
            <w:tcW w:w="1677" w:type="dxa"/>
            <w:shd w:val="clear" w:color="auto" w:fill="FFFFFF"/>
          </w:tcPr>
          <w:p>
            <w:pPr>
              <w:jc w:val="center"/>
              <w:rPr>
                <w:rFonts w:ascii="宋体" w:hAnsi="宋体"/>
                <w:sz w:val="24"/>
              </w:rPr>
            </w:pPr>
            <w:r>
              <w:rPr>
                <w:rFonts w:ascii="宋体" w:hAnsi="宋体" w:cs="宋体"/>
                <w:sz w:val="20"/>
                <w:szCs w:val="18"/>
              </w:rPr>
              <w:t>-9.96</w:t>
            </w:r>
          </w:p>
        </w:tc>
        <w:tc>
          <w:tcPr>
            <w:tcW w:w="1478" w:type="dxa"/>
            <w:shd w:val="clear" w:color="auto" w:fill="FFFFFF"/>
          </w:tcPr>
          <w:p>
            <w:pPr>
              <w:jc w:val="center"/>
              <w:rPr>
                <w:rFonts w:ascii="宋体" w:hAnsi="宋体"/>
                <w:sz w:val="24"/>
              </w:rPr>
            </w:pPr>
            <w:r>
              <w:rPr>
                <w:rFonts w:ascii="宋体" w:hAnsi="宋体" w:cs="宋体"/>
                <w:sz w:val="20"/>
                <w:szCs w:val="18"/>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shd w:val="clear" w:color="auto" w:fill="auto"/>
            <w:vAlign w:val="center"/>
          </w:tcPr>
          <w:p>
            <w:pPr>
              <w:jc w:val="center"/>
              <w:rPr>
                <w:rFonts w:ascii="宋体" w:hAnsi="宋体"/>
                <w:b/>
                <w:sz w:val="24"/>
              </w:rPr>
            </w:pPr>
            <w:r>
              <w:rPr>
                <w:rFonts w:hint="eastAsia" w:ascii="宋体" w:hAnsi="宋体"/>
                <w:b/>
                <w:sz w:val="24"/>
              </w:rPr>
              <w:t>审计机构</w:t>
            </w:r>
          </w:p>
        </w:tc>
        <w:tc>
          <w:tcPr>
            <w:tcW w:w="5255" w:type="dxa"/>
            <w:gridSpan w:val="3"/>
            <w:shd w:val="clear" w:color="auto" w:fill="FFFFFF"/>
            <w:vAlign w:val="center"/>
          </w:tcPr>
          <w:p>
            <w:pPr>
              <w:jc w:val="center"/>
              <w:rPr>
                <w:rFonts w:ascii="宋体" w:hAnsi="宋体"/>
                <w:sz w:val="24"/>
              </w:rPr>
            </w:pPr>
            <w:r>
              <w:rPr>
                <w:rFonts w:hint="eastAsia" w:ascii="宋体" w:hAnsi="宋体"/>
                <w:sz w:val="24"/>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7095" w:type="dxa"/>
            <w:gridSpan w:val="4"/>
            <w:shd w:val="clear" w:color="auto" w:fill="FFFFFF"/>
            <w:vAlign w:val="center"/>
          </w:tcPr>
          <w:p>
            <w:pPr>
              <w:jc w:val="center"/>
              <w:rPr>
                <w:rFonts w:ascii="宋体" w:hAnsi="宋体"/>
                <w:sz w:val="24"/>
              </w:rPr>
            </w:pPr>
            <w:r>
              <w:rPr>
                <w:rFonts w:hint="eastAsia" w:ascii="宋体" w:hAnsi="宋体"/>
                <w:sz w:val="24"/>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jc w:val="center"/>
              <w:rPr>
                <w:rFonts w:ascii="宋体" w:hAnsi="宋体"/>
                <w:sz w:val="24"/>
              </w:rPr>
            </w:pPr>
          </w:p>
        </w:tc>
        <w:tc>
          <w:tcPr>
            <w:tcW w:w="1840" w:type="dxa"/>
            <w:shd w:val="clear" w:color="auto" w:fill="auto"/>
            <w:vAlign w:val="center"/>
          </w:tcPr>
          <w:p>
            <w:pPr>
              <w:jc w:val="center"/>
              <w:rPr>
                <w:rFonts w:ascii="宋体" w:hAnsi="宋体"/>
                <w:b/>
                <w:sz w:val="24"/>
              </w:rPr>
            </w:pPr>
            <w:r>
              <w:rPr>
                <w:rFonts w:hint="eastAsia" w:ascii="宋体" w:hAnsi="宋体"/>
                <w:b/>
                <w:sz w:val="24"/>
              </w:rPr>
              <w:t>报表日期</w:t>
            </w:r>
          </w:p>
        </w:tc>
        <w:tc>
          <w:tcPr>
            <w:tcW w:w="2100" w:type="dxa"/>
            <w:shd w:val="clear" w:color="auto" w:fill="auto"/>
            <w:vAlign w:val="center"/>
          </w:tcPr>
          <w:p>
            <w:pPr>
              <w:jc w:val="center"/>
              <w:rPr>
                <w:rFonts w:ascii="宋体" w:hAnsi="宋体"/>
                <w:b/>
                <w:sz w:val="24"/>
              </w:rPr>
            </w:pPr>
            <w:r>
              <w:rPr>
                <w:rFonts w:hint="eastAsia" w:ascii="宋体" w:hAnsi="宋体"/>
                <w:b/>
                <w:sz w:val="24"/>
              </w:rPr>
              <w:t>资产总计</w:t>
            </w:r>
          </w:p>
        </w:tc>
        <w:tc>
          <w:tcPr>
            <w:tcW w:w="1677" w:type="dxa"/>
            <w:shd w:val="clear" w:color="auto" w:fill="FFFFFF"/>
            <w:vAlign w:val="center"/>
          </w:tcPr>
          <w:p>
            <w:pPr>
              <w:jc w:val="center"/>
              <w:rPr>
                <w:rFonts w:ascii="宋体" w:hAnsi="宋体"/>
                <w:b/>
                <w:sz w:val="24"/>
              </w:rPr>
            </w:pPr>
            <w:r>
              <w:rPr>
                <w:rFonts w:hint="eastAsia" w:ascii="宋体" w:hAnsi="宋体"/>
                <w:b/>
                <w:sz w:val="24"/>
              </w:rPr>
              <w:t>负债总计</w:t>
            </w:r>
          </w:p>
        </w:tc>
        <w:tc>
          <w:tcPr>
            <w:tcW w:w="1478" w:type="dxa"/>
            <w:shd w:val="clear" w:color="auto" w:fill="FFFFFF"/>
            <w:vAlign w:val="center"/>
          </w:tcPr>
          <w:p>
            <w:pPr>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jc w:val="center"/>
              <w:rPr>
                <w:rFonts w:ascii="宋体" w:hAnsi="宋体"/>
                <w:sz w:val="24"/>
              </w:rPr>
            </w:pPr>
            <w:r>
              <w:rPr>
                <w:rFonts w:hint="eastAsia" w:ascii="宋体" w:hAnsi="宋体"/>
                <w:sz w:val="24"/>
              </w:rPr>
              <w:t xml:space="preserve">2018 年 </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shd w:val="clear" w:color="auto" w:fill="auto"/>
            <w:vAlign w:val="center"/>
          </w:tcPr>
          <w:p>
            <w:pPr>
              <w:jc w:val="center"/>
              <w:rPr>
                <w:rFonts w:ascii="宋体" w:hAnsi="宋体"/>
                <w:bCs/>
                <w:sz w:val="20"/>
              </w:rPr>
            </w:pPr>
            <w:r>
              <w:rPr>
                <w:rFonts w:ascii="宋体" w:hAnsi="宋体" w:cs="宋体"/>
                <w:sz w:val="20"/>
                <w:szCs w:val="18"/>
              </w:rPr>
              <w:t>66,937.65</w:t>
            </w:r>
          </w:p>
        </w:tc>
        <w:tc>
          <w:tcPr>
            <w:tcW w:w="1677" w:type="dxa"/>
            <w:shd w:val="clear" w:color="auto" w:fill="FFFFFF"/>
            <w:vAlign w:val="center"/>
          </w:tcPr>
          <w:p>
            <w:pPr>
              <w:jc w:val="center"/>
              <w:rPr>
                <w:rFonts w:ascii="宋体" w:hAnsi="宋体"/>
                <w:bCs/>
                <w:sz w:val="20"/>
              </w:rPr>
            </w:pPr>
            <w:r>
              <w:rPr>
                <w:rFonts w:ascii="宋体" w:hAnsi="宋体" w:cs="宋体"/>
                <w:sz w:val="20"/>
                <w:szCs w:val="18"/>
              </w:rPr>
              <w:t>8,118.22</w:t>
            </w:r>
          </w:p>
        </w:tc>
        <w:tc>
          <w:tcPr>
            <w:tcW w:w="1478" w:type="dxa"/>
            <w:shd w:val="clear" w:color="auto" w:fill="FFFFFF"/>
            <w:vAlign w:val="center"/>
          </w:tcPr>
          <w:p>
            <w:pPr>
              <w:jc w:val="center"/>
              <w:rPr>
                <w:rFonts w:ascii="宋体" w:hAnsi="宋体"/>
                <w:bCs/>
                <w:sz w:val="20"/>
              </w:rPr>
            </w:pPr>
            <w:r>
              <w:rPr>
                <w:rFonts w:ascii="宋体" w:hAnsi="宋体" w:cs="宋体"/>
                <w:sz w:val="20"/>
                <w:szCs w:val="18"/>
              </w:rPr>
              <w:t>58,819.43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jc w:val="center"/>
              <w:rPr>
                <w:rFonts w:ascii="宋体" w:hAnsi="宋体"/>
                <w:b/>
                <w:sz w:val="24"/>
              </w:rPr>
            </w:pPr>
            <w:r>
              <w:rPr>
                <w:rFonts w:hint="eastAsia" w:ascii="宋体" w:hAnsi="宋体"/>
                <w:b/>
                <w:sz w:val="24"/>
              </w:rPr>
              <w:t>报表类型</w:t>
            </w:r>
          </w:p>
        </w:tc>
        <w:tc>
          <w:tcPr>
            <w:tcW w:w="2100" w:type="dxa"/>
            <w:shd w:val="clear" w:color="auto" w:fill="auto"/>
            <w:vAlign w:val="center"/>
          </w:tcPr>
          <w:p>
            <w:pPr>
              <w:jc w:val="center"/>
              <w:rPr>
                <w:rFonts w:ascii="宋体" w:hAnsi="宋体"/>
                <w:b/>
                <w:sz w:val="24"/>
              </w:rPr>
            </w:pPr>
            <w:r>
              <w:rPr>
                <w:rFonts w:hint="eastAsia" w:ascii="宋体" w:hAnsi="宋体"/>
                <w:b/>
                <w:sz w:val="24"/>
              </w:rPr>
              <w:t>营业收入</w:t>
            </w:r>
          </w:p>
        </w:tc>
        <w:tc>
          <w:tcPr>
            <w:tcW w:w="1677" w:type="dxa"/>
            <w:shd w:val="clear" w:color="auto" w:fill="FFFFFF"/>
            <w:vAlign w:val="center"/>
          </w:tcPr>
          <w:p>
            <w:pPr>
              <w:jc w:val="center"/>
              <w:rPr>
                <w:rFonts w:ascii="宋体" w:hAnsi="宋体"/>
                <w:b/>
                <w:sz w:val="24"/>
              </w:rPr>
            </w:pPr>
            <w:r>
              <w:rPr>
                <w:rFonts w:hint="eastAsia" w:ascii="宋体" w:hAnsi="宋体"/>
                <w:b/>
                <w:sz w:val="24"/>
              </w:rPr>
              <w:t>利润总额</w:t>
            </w:r>
          </w:p>
        </w:tc>
        <w:tc>
          <w:tcPr>
            <w:tcW w:w="1478" w:type="dxa"/>
            <w:shd w:val="clear" w:color="auto" w:fill="FFFFFF"/>
            <w:vAlign w:val="center"/>
          </w:tcPr>
          <w:p>
            <w:pPr>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jc w:val="center"/>
              <w:rPr>
                <w:rFonts w:ascii="宋体" w:hAnsi="宋体"/>
                <w:sz w:val="24"/>
              </w:rPr>
            </w:pPr>
            <w:r>
              <w:rPr>
                <w:rFonts w:hint="eastAsia" w:ascii="宋体" w:hAnsi="宋体"/>
                <w:sz w:val="24"/>
              </w:rPr>
              <w:t>月报</w:t>
            </w:r>
            <w:r>
              <w:rPr>
                <w:rFonts w:hint="eastAsia" w:ascii="宋体" w:hAnsi="宋体"/>
              </w:rPr>
              <w:t>表</w:t>
            </w:r>
          </w:p>
        </w:tc>
        <w:tc>
          <w:tcPr>
            <w:tcW w:w="2100" w:type="dxa"/>
            <w:shd w:val="clear" w:color="auto" w:fill="auto"/>
            <w:vAlign w:val="center"/>
          </w:tcPr>
          <w:p>
            <w:pPr>
              <w:jc w:val="center"/>
              <w:rPr>
                <w:rFonts w:ascii="宋体" w:hAnsi="宋体"/>
                <w:sz w:val="24"/>
              </w:rPr>
            </w:pPr>
          </w:p>
        </w:tc>
        <w:tc>
          <w:tcPr>
            <w:tcW w:w="1677" w:type="dxa"/>
            <w:shd w:val="clear" w:color="auto" w:fill="FFFFFF"/>
          </w:tcPr>
          <w:p>
            <w:pPr>
              <w:jc w:val="center"/>
              <w:rPr>
                <w:rFonts w:ascii="宋体" w:hAnsi="宋体"/>
                <w:sz w:val="20"/>
              </w:rPr>
            </w:pPr>
            <w:r>
              <w:rPr>
                <w:rFonts w:ascii="宋体" w:hAnsi="宋体" w:cs="宋体"/>
                <w:sz w:val="20"/>
                <w:szCs w:val="18"/>
              </w:rPr>
              <w:t>-9.96</w:t>
            </w:r>
          </w:p>
        </w:tc>
        <w:tc>
          <w:tcPr>
            <w:tcW w:w="1478" w:type="dxa"/>
            <w:shd w:val="clear" w:color="auto" w:fill="FFFFFF"/>
          </w:tcPr>
          <w:p>
            <w:pPr>
              <w:jc w:val="center"/>
              <w:rPr>
                <w:rFonts w:ascii="宋体" w:hAnsi="宋体"/>
                <w:sz w:val="20"/>
              </w:rPr>
            </w:pPr>
            <w:r>
              <w:rPr>
                <w:rFonts w:ascii="宋体" w:hAnsi="宋体" w:cs="宋体"/>
                <w:sz w:val="20"/>
                <w:szCs w:val="18"/>
              </w:rPr>
              <w:t>-9.96</w:t>
            </w:r>
          </w:p>
        </w:tc>
      </w:tr>
    </w:tbl>
    <w:p>
      <w:pPr>
        <w:pStyle w:val="33"/>
        <w:spacing w:line="360" w:lineRule="auto"/>
        <w:ind w:left="562" w:firstLine="0" w:firstLineChars="0"/>
        <w:rPr>
          <w:rFonts w:ascii="宋体" w:hAnsi="宋体"/>
          <w:sz w:val="24"/>
          <w:szCs w:val="24"/>
        </w:rPr>
      </w:pPr>
    </w:p>
    <w:p>
      <w:pPr>
        <w:pStyle w:val="33"/>
        <w:spacing w:line="360" w:lineRule="auto"/>
        <w:ind w:left="562" w:firstLine="0" w:firstLineChars="0"/>
        <w:rPr>
          <w:rFonts w:ascii="宋体" w:hAnsi="宋体"/>
          <w:sz w:val="24"/>
          <w:szCs w:val="24"/>
        </w:rPr>
      </w:pPr>
    </w:p>
    <w:p>
      <w:pPr>
        <w:pStyle w:val="33"/>
        <w:spacing w:line="360" w:lineRule="auto"/>
        <w:ind w:left="562" w:firstLine="0" w:firstLineChars="0"/>
        <w:rPr>
          <w:rFonts w:ascii="宋体" w:hAnsi="宋体"/>
          <w:sz w:val="24"/>
          <w:szCs w:val="24"/>
        </w:rPr>
      </w:pPr>
    </w:p>
    <w:p>
      <w:pPr>
        <w:pStyle w:val="33"/>
        <w:spacing w:line="360" w:lineRule="auto"/>
        <w:ind w:left="562" w:firstLine="0" w:firstLineChars="0"/>
        <w:rPr>
          <w:rFonts w:ascii="宋体"/>
          <w:b/>
          <w:sz w:val="24"/>
          <w:szCs w:val="24"/>
        </w:rPr>
      </w:pPr>
      <w:r>
        <w:rPr>
          <w:rFonts w:ascii="宋体" w:hAnsi="宋体"/>
          <w:sz w:val="24"/>
          <w:szCs w:val="24"/>
        </w:rPr>
        <w:t xml:space="preserve"> (</w:t>
      </w:r>
      <w:r>
        <w:rPr>
          <w:rFonts w:hint="eastAsia" w:ascii="宋体" w:hAnsi="宋体"/>
          <w:sz w:val="24"/>
          <w:szCs w:val="24"/>
        </w:rPr>
        <w:t>二</w:t>
      </w:r>
      <w:r>
        <w:rPr>
          <w:rFonts w:ascii="宋体" w:hAnsi="宋体"/>
          <w:sz w:val="24"/>
          <w:szCs w:val="24"/>
        </w:rPr>
        <w:t>)</w:t>
      </w:r>
      <w:r>
        <w:rPr>
          <w:rFonts w:hint="eastAsia" w:ascii="宋体" w:hAnsi="宋体"/>
          <w:b/>
          <w:sz w:val="24"/>
          <w:szCs w:val="24"/>
        </w:rPr>
        <w:t>增资扩股及原股东转让股权后的股权结构</w:t>
      </w:r>
    </w:p>
    <w:p>
      <w:pPr>
        <w:spacing w:line="360" w:lineRule="auto"/>
        <w:ind w:firstLine="480"/>
        <w:jc w:val="right"/>
        <w:rPr>
          <w:rFonts w:ascii="微软雅黑" w:eastAsia="微软雅黑"/>
          <w:sz w:val="24"/>
        </w:rPr>
      </w:pPr>
      <w:r>
        <w:rPr>
          <w:rFonts w:hint="eastAsia" w:ascii="微软雅黑" w:hAnsi="微软雅黑"/>
          <w:sz w:val="24"/>
        </w:rPr>
        <w:t>单位：万元</w:t>
      </w:r>
    </w:p>
    <w:tbl>
      <w:tblPr>
        <w:tblStyle w:val="19"/>
        <w:tblW w:w="9090" w:type="dxa"/>
        <w:tblInd w:w="0" w:type="dxa"/>
        <w:tblLayout w:type="fixed"/>
        <w:tblCellMar>
          <w:top w:w="0" w:type="dxa"/>
          <w:left w:w="0" w:type="dxa"/>
          <w:bottom w:w="0" w:type="dxa"/>
          <w:right w:w="0" w:type="dxa"/>
        </w:tblCellMar>
      </w:tblPr>
      <w:tblGrid>
        <w:gridCol w:w="471"/>
        <w:gridCol w:w="2336"/>
        <w:gridCol w:w="1122"/>
        <w:gridCol w:w="707"/>
        <w:gridCol w:w="1209"/>
        <w:gridCol w:w="1269"/>
        <w:gridCol w:w="1122"/>
        <w:gridCol w:w="854"/>
      </w:tblGrid>
      <w:tr>
        <w:tblPrEx>
          <w:tblLayout w:type="fixed"/>
          <w:tblCellMar>
            <w:top w:w="0" w:type="dxa"/>
            <w:left w:w="0" w:type="dxa"/>
            <w:bottom w:w="0" w:type="dxa"/>
            <w:right w:w="0" w:type="dxa"/>
          </w:tblCellMar>
        </w:tblPrEx>
        <w:trPr>
          <w:trHeight w:val="317" w:hRule="atLeast"/>
        </w:trPr>
        <w:tc>
          <w:tcPr>
            <w:tcW w:w="471" w:type="dxa"/>
            <w:vMerge w:val="restart"/>
            <w:tcBorders>
              <w:top w:val="single" w:color="auto" w:sz="8" w:space="0"/>
              <w:left w:val="single" w:color="auto" w:sz="8" w:space="0"/>
              <w:bottom w:val="single" w:color="000000" w:sz="8" w:space="0"/>
              <w:right w:val="single" w:color="auto" w:sz="4"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序号</w:t>
            </w:r>
          </w:p>
        </w:tc>
        <w:tc>
          <w:tcPr>
            <w:tcW w:w="2336" w:type="dxa"/>
            <w:vMerge w:val="restart"/>
            <w:tcBorders>
              <w:top w:val="single" w:color="auto" w:sz="8" w:space="0"/>
              <w:left w:val="single" w:color="auto" w:sz="4" w:space="0"/>
              <w:bottom w:val="single" w:color="000000" w:sz="8" w:space="0"/>
              <w:right w:val="single" w:color="auto" w:sz="4"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股东名称或姓名</w:t>
            </w:r>
          </w:p>
        </w:tc>
        <w:tc>
          <w:tcPr>
            <w:tcW w:w="1829" w:type="dxa"/>
            <w:gridSpan w:val="2"/>
            <w:tcBorders>
              <w:top w:val="single" w:color="auto" w:sz="8" w:space="0"/>
              <w:left w:val="single" w:color="auto" w:sz="4" w:space="0"/>
              <w:bottom w:val="single" w:color="000000" w:sz="4" w:space="0"/>
              <w:right w:val="single" w:color="000000" w:sz="4"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公司设立时</w:t>
            </w:r>
          </w:p>
        </w:tc>
        <w:tc>
          <w:tcPr>
            <w:tcW w:w="2478" w:type="dxa"/>
            <w:gridSpan w:val="2"/>
            <w:tcBorders>
              <w:top w:val="single" w:color="auto" w:sz="8" w:space="0"/>
              <w:left w:val="nil"/>
              <w:bottom w:val="nil"/>
              <w:right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增资及转让股本</w:t>
            </w:r>
          </w:p>
        </w:tc>
        <w:tc>
          <w:tcPr>
            <w:tcW w:w="1976" w:type="dxa"/>
            <w:gridSpan w:val="2"/>
            <w:tcBorders>
              <w:top w:val="single" w:color="auto" w:sz="8" w:space="0"/>
              <w:left w:val="nil"/>
              <w:bottom w:val="single" w:color="auto" w:sz="4" w:space="0"/>
              <w:right w:val="single" w:color="000000" w:sz="8" w:space="0"/>
            </w:tcBorders>
            <w:shd w:val="clear" w:color="000000" w:fill="D9D9D9"/>
            <w:vAlign w:val="center"/>
          </w:tcPr>
          <w:p>
            <w:pPr>
              <w:widowControl/>
              <w:jc w:val="center"/>
              <w:rPr>
                <w:rFonts w:ascii="宋体" w:hAnsi="宋体" w:cs="宋体"/>
                <w:b/>
                <w:bCs/>
                <w:kern w:val="0"/>
                <w:szCs w:val="21"/>
              </w:rPr>
            </w:pPr>
            <w:r>
              <w:rPr>
                <w:rFonts w:hint="eastAsia" w:ascii="宋体" w:hAnsi="宋体" w:cs="宋体"/>
                <w:b/>
                <w:bCs/>
                <w:kern w:val="0"/>
                <w:szCs w:val="21"/>
              </w:rPr>
              <w:t>增资及转让后</w:t>
            </w:r>
          </w:p>
        </w:tc>
      </w:tr>
      <w:tr>
        <w:tblPrEx>
          <w:tblLayout w:type="fixed"/>
          <w:tblCellMar>
            <w:top w:w="0" w:type="dxa"/>
            <w:left w:w="0" w:type="dxa"/>
            <w:bottom w:w="0" w:type="dxa"/>
            <w:right w:w="0" w:type="dxa"/>
          </w:tblCellMar>
        </w:tblPrEx>
        <w:trPr>
          <w:trHeight w:val="317" w:hRule="atLeast"/>
        </w:trPr>
        <w:tc>
          <w:tcPr>
            <w:tcW w:w="471"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b/>
                <w:bCs/>
                <w:kern w:val="0"/>
                <w:szCs w:val="21"/>
              </w:rPr>
            </w:pPr>
          </w:p>
        </w:tc>
        <w:tc>
          <w:tcPr>
            <w:tcW w:w="2336"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b/>
                <w:bCs/>
                <w:kern w:val="0"/>
                <w:szCs w:val="21"/>
              </w:rPr>
            </w:pPr>
          </w:p>
        </w:tc>
        <w:tc>
          <w:tcPr>
            <w:tcW w:w="1122"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注册资本</w:t>
            </w:r>
          </w:p>
        </w:tc>
        <w:tc>
          <w:tcPr>
            <w:tcW w:w="707" w:type="dxa"/>
            <w:tcBorders>
              <w:top w:val="nil"/>
              <w:left w:val="nil"/>
              <w:bottom w:val="single" w:color="auto" w:sz="8" w:space="0"/>
              <w:right w:val="single" w:color="auto" w:sz="4"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比例</w:t>
            </w:r>
          </w:p>
        </w:tc>
        <w:tc>
          <w:tcPr>
            <w:tcW w:w="1209"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新增注册资本</w:t>
            </w:r>
          </w:p>
        </w:tc>
        <w:tc>
          <w:tcPr>
            <w:tcW w:w="1269"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转让注册资本</w:t>
            </w:r>
          </w:p>
        </w:tc>
        <w:tc>
          <w:tcPr>
            <w:tcW w:w="1122" w:type="dxa"/>
            <w:tcBorders>
              <w:top w:val="nil"/>
              <w:left w:val="nil"/>
              <w:bottom w:val="single" w:color="auto" w:sz="8" w:space="0"/>
              <w:right w:val="single" w:color="auto" w:sz="4" w:space="0"/>
            </w:tcBorders>
            <w:shd w:val="clear" w:color="000000" w:fill="D9D9D9"/>
            <w:vAlign w:val="center"/>
          </w:tcPr>
          <w:p>
            <w:pPr>
              <w:widowControl/>
              <w:jc w:val="center"/>
              <w:rPr>
                <w:rFonts w:ascii="宋体" w:hAnsi="宋体" w:cs="宋体"/>
                <w:b/>
                <w:bCs/>
                <w:kern w:val="0"/>
                <w:szCs w:val="21"/>
              </w:rPr>
            </w:pPr>
            <w:r>
              <w:rPr>
                <w:rFonts w:hint="eastAsia" w:ascii="宋体" w:hAnsi="宋体" w:cs="宋体"/>
                <w:b/>
                <w:bCs/>
                <w:kern w:val="0"/>
                <w:szCs w:val="21"/>
              </w:rPr>
              <w:t>注册资本</w:t>
            </w:r>
          </w:p>
        </w:tc>
        <w:tc>
          <w:tcPr>
            <w:tcW w:w="854" w:type="dxa"/>
            <w:tcBorders>
              <w:top w:val="nil"/>
              <w:left w:val="nil"/>
              <w:bottom w:val="single" w:color="auto" w:sz="8" w:space="0"/>
              <w:right w:val="single" w:color="auto" w:sz="8" w:space="0"/>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持股比例</w:t>
            </w:r>
          </w:p>
        </w:tc>
      </w:tr>
      <w:tr>
        <w:tblPrEx>
          <w:tblLayout w:type="fixed"/>
          <w:tblCellMar>
            <w:top w:w="0" w:type="dxa"/>
            <w:left w:w="0" w:type="dxa"/>
            <w:bottom w:w="0" w:type="dxa"/>
            <w:right w:w="0" w:type="dxa"/>
          </w:tblCellMar>
        </w:tblPrEx>
        <w:trPr>
          <w:trHeight w:val="306" w:hRule="atLeast"/>
        </w:trPr>
        <w:tc>
          <w:tcPr>
            <w:tcW w:w="47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1</w:t>
            </w:r>
          </w:p>
        </w:tc>
        <w:tc>
          <w:tcPr>
            <w:tcW w:w="2336" w:type="dxa"/>
            <w:tcBorders>
              <w:top w:val="nil"/>
              <w:left w:val="nil"/>
              <w:bottom w:val="single" w:color="auto" w:sz="4" w:space="0"/>
              <w:right w:val="nil"/>
            </w:tcBorders>
            <w:shd w:val="clear" w:color="auto" w:fill="auto"/>
            <w:vAlign w:val="center"/>
          </w:tcPr>
          <w:p>
            <w:pPr>
              <w:widowControl/>
              <w:rPr>
                <w:rFonts w:ascii="Times New Roman" w:hAnsi="Times New Roman"/>
                <w:kern w:val="0"/>
                <w:szCs w:val="21"/>
              </w:rPr>
            </w:pPr>
            <w:r>
              <w:rPr>
                <w:rFonts w:hint="eastAsia" w:ascii="宋体" w:hAnsi="宋体"/>
                <w:kern w:val="0"/>
                <w:szCs w:val="21"/>
              </w:rPr>
              <w:t>浙江海正药业股份有限公司</w:t>
            </w:r>
          </w:p>
        </w:tc>
        <w:tc>
          <w:tcPr>
            <w:tcW w:w="1122"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10,086.1800</w:t>
            </w:r>
          </w:p>
        </w:tc>
        <w:tc>
          <w:tcPr>
            <w:tcW w:w="7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33.62%</w:t>
            </w:r>
          </w:p>
        </w:tc>
        <w:tc>
          <w:tcPr>
            <w:tcW w:w="120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p>
        </w:tc>
        <w:tc>
          <w:tcPr>
            <w:tcW w:w="126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p>
        </w:tc>
        <w:tc>
          <w:tcPr>
            <w:tcW w:w="11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10086.1800</w:t>
            </w:r>
          </w:p>
        </w:tc>
        <w:tc>
          <w:tcPr>
            <w:tcW w:w="8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23.66%</w:t>
            </w:r>
          </w:p>
        </w:tc>
      </w:tr>
      <w:tr>
        <w:tblPrEx>
          <w:tblLayout w:type="fixed"/>
          <w:tblCellMar>
            <w:top w:w="0" w:type="dxa"/>
            <w:left w:w="0" w:type="dxa"/>
            <w:bottom w:w="0" w:type="dxa"/>
            <w:right w:w="0" w:type="dxa"/>
          </w:tblCellMar>
        </w:tblPrEx>
        <w:trPr>
          <w:trHeight w:val="306" w:hRule="atLeast"/>
        </w:trPr>
        <w:tc>
          <w:tcPr>
            <w:tcW w:w="47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2</w:t>
            </w:r>
          </w:p>
        </w:tc>
        <w:tc>
          <w:tcPr>
            <w:tcW w:w="2336" w:type="dxa"/>
            <w:tcBorders>
              <w:top w:val="nil"/>
              <w:left w:val="nil"/>
              <w:bottom w:val="single" w:color="auto" w:sz="4" w:space="0"/>
              <w:right w:val="nil"/>
            </w:tcBorders>
            <w:shd w:val="clear" w:color="auto" w:fill="auto"/>
            <w:vAlign w:val="center"/>
          </w:tcPr>
          <w:p>
            <w:pPr>
              <w:widowControl/>
              <w:rPr>
                <w:rFonts w:ascii="Times New Roman" w:hAnsi="Times New Roman"/>
                <w:kern w:val="0"/>
                <w:szCs w:val="21"/>
              </w:rPr>
            </w:pPr>
            <w:r>
              <w:rPr>
                <w:rFonts w:hint="eastAsia" w:ascii="宋体" w:hAnsi="宋体"/>
                <w:kern w:val="0"/>
                <w:szCs w:val="21"/>
              </w:rPr>
              <w:t>海正药业（杭州）有限公司</w:t>
            </w:r>
          </w:p>
        </w:tc>
        <w:tc>
          <w:tcPr>
            <w:tcW w:w="1122"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19,913.8200</w:t>
            </w:r>
          </w:p>
        </w:tc>
        <w:tc>
          <w:tcPr>
            <w:tcW w:w="7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66.38%</w:t>
            </w:r>
          </w:p>
        </w:tc>
        <w:tc>
          <w:tcPr>
            <w:tcW w:w="120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w:t>
            </w:r>
          </w:p>
        </w:tc>
        <w:tc>
          <w:tcPr>
            <w:tcW w:w="126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-10,815.7895</w:t>
            </w:r>
          </w:p>
        </w:tc>
        <w:tc>
          <w:tcPr>
            <w:tcW w:w="11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9098.0305</w:t>
            </w:r>
          </w:p>
        </w:tc>
        <w:tc>
          <w:tcPr>
            <w:tcW w:w="8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21.34%</w:t>
            </w:r>
          </w:p>
        </w:tc>
      </w:tr>
      <w:tr>
        <w:tblPrEx>
          <w:tblLayout w:type="fixed"/>
          <w:tblCellMar>
            <w:top w:w="0" w:type="dxa"/>
            <w:left w:w="0" w:type="dxa"/>
            <w:bottom w:w="0" w:type="dxa"/>
            <w:right w:w="0" w:type="dxa"/>
          </w:tblCellMar>
        </w:tblPrEx>
        <w:trPr>
          <w:trHeight w:val="306" w:hRule="atLeast"/>
        </w:trPr>
        <w:tc>
          <w:tcPr>
            <w:tcW w:w="47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3</w:t>
            </w:r>
          </w:p>
        </w:tc>
        <w:tc>
          <w:tcPr>
            <w:tcW w:w="2336" w:type="dxa"/>
            <w:tcBorders>
              <w:top w:val="nil"/>
              <w:left w:val="nil"/>
              <w:bottom w:val="single" w:color="auto" w:sz="4" w:space="0"/>
              <w:right w:val="nil"/>
            </w:tcBorders>
            <w:shd w:val="clear" w:color="auto" w:fill="auto"/>
            <w:vAlign w:val="center"/>
          </w:tcPr>
          <w:p>
            <w:pPr>
              <w:widowControl/>
              <w:rPr>
                <w:rFonts w:ascii="Times New Roman" w:hAnsi="Times New Roman"/>
                <w:kern w:val="0"/>
                <w:szCs w:val="21"/>
              </w:rPr>
            </w:pPr>
            <w:r>
              <w:rPr>
                <w:rFonts w:hint="eastAsia" w:ascii="宋体" w:hAnsi="宋体"/>
                <w:kern w:val="0"/>
                <w:szCs w:val="21"/>
              </w:rPr>
              <w:t>新增投资者</w:t>
            </w:r>
          </w:p>
        </w:tc>
        <w:tc>
          <w:tcPr>
            <w:tcW w:w="1122"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p>
        </w:tc>
        <w:tc>
          <w:tcPr>
            <w:tcW w:w="7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p>
        </w:tc>
        <w:tc>
          <w:tcPr>
            <w:tcW w:w="120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12,631.5789</w:t>
            </w:r>
          </w:p>
        </w:tc>
        <w:tc>
          <w:tcPr>
            <w:tcW w:w="126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w:t>
            </w:r>
          </w:p>
        </w:tc>
        <w:tc>
          <w:tcPr>
            <w:tcW w:w="11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12631.5789</w:t>
            </w:r>
          </w:p>
        </w:tc>
        <w:tc>
          <w:tcPr>
            <w:tcW w:w="8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29.63%</w:t>
            </w:r>
          </w:p>
        </w:tc>
      </w:tr>
      <w:tr>
        <w:tblPrEx>
          <w:tblLayout w:type="fixed"/>
          <w:tblCellMar>
            <w:top w:w="0" w:type="dxa"/>
            <w:left w:w="0" w:type="dxa"/>
            <w:bottom w:w="0" w:type="dxa"/>
            <w:right w:w="0" w:type="dxa"/>
          </w:tblCellMar>
        </w:tblPrEx>
        <w:trPr>
          <w:trHeight w:val="306" w:hRule="atLeast"/>
        </w:trPr>
        <w:tc>
          <w:tcPr>
            <w:tcW w:w="47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4</w:t>
            </w:r>
          </w:p>
        </w:tc>
        <w:tc>
          <w:tcPr>
            <w:tcW w:w="2336" w:type="dxa"/>
            <w:tcBorders>
              <w:top w:val="nil"/>
              <w:left w:val="nil"/>
              <w:bottom w:val="single" w:color="auto" w:sz="4" w:space="0"/>
              <w:right w:val="nil"/>
            </w:tcBorders>
            <w:shd w:val="clear" w:color="auto" w:fill="auto"/>
            <w:vAlign w:val="center"/>
          </w:tcPr>
          <w:p>
            <w:pPr>
              <w:widowControl/>
              <w:rPr>
                <w:rFonts w:ascii="Times New Roman" w:hAnsi="Times New Roman"/>
                <w:kern w:val="0"/>
                <w:szCs w:val="21"/>
              </w:rPr>
            </w:pPr>
            <w:r>
              <w:rPr>
                <w:rFonts w:hint="eastAsia" w:ascii="宋体" w:hAnsi="宋体"/>
                <w:kern w:val="0"/>
                <w:szCs w:val="21"/>
              </w:rPr>
              <w:t>新增投资者</w:t>
            </w:r>
          </w:p>
        </w:tc>
        <w:tc>
          <w:tcPr>
            <w:tcW w:w="1122"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p>
        </w:tc>
        <w:tc>
          <w:tcPr>
            <w:tcW w:w="70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p>
        </w:tc>
        <w:tc>
          <w:tcPr>
            <w:tcW w:w="120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w:t>
            </w:r>
          </w:p>
        </w:tc>
        <w:tc>
          <w:tcPr>
            <w:tcW w:w="1269" w:type="dxa"/>
            <w:tcBorders>
              <w:top w:val="nil"/>
              <w:left w:val="single" w:color="auto" w:sz="8" w:space="0"/>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10,815.7895</w:t>
            </w:r>
          </w:p>
        </w:tc>
        <w:tc>
          <w:tcPr>
            <w:tcW w:w="112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10815.7895</w:t>
            </w:r>
          </w:p>
        </w:tc>
        <w:tc>
          <w:tcPr>
            <w:tcW w:w="854"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25.37%</w:t>
            </w:r>
          </w:p>
        </w:tc>
      </w:tr>
      <w:tr>
        <w:tblPrEx>
          <w:tblLayout w:type="fixed"/>
          <w:tblCellMar>
            <w:top w:w="0" w:type="dxa"/>
            <w:left w:w="0" w:type="dxa"/>
            <w:bottom w:w="0" w:type="dxa"/>
            <w:right w:w="0" w:type="dxa"/>
          </w:tblCellMar>
        </w:tblPrEx>
        <w:trPr>
          <w:trHeight w:val="317" w:hRule="atLeast"/>
        </w:trPr>
        <w:tc>
          <w:tcPr>
            <w:tcW w:w="471"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b/>
                <w:bCs/>
                <w:kern w:val="0"/>
                <w:szCs w:val="21"/>
              </w:rPr>
            </w:pPr>
            <w:r>
              <w:rPr>
                <w:rFonts w:ascii="Times New Roman" w:hAnsi="Times New Roman"/>
                <w:b/>
                <w:bCs/>
                <w:kern w:val="0"/>
                <w:szCs w:val="21"/>
              </w:rPr>
              <w:t>　</w:t>
            </w:r>
          </w:p>
        </w:tc>
        <w:tc>
          <w:tcPr>
            <w:tcW w:w="2336" w:type="dxa"/>
            <w:tcBorders>
              <w:top w:val="nil"/>
              <w:left w:val="nil"/>
              <w:bottom w:val="single" w:color="auto" w:sz="8" w:space="0"/>
              <w:right w:val="nil"/>
            </w:tcBorders>
            <w:shd w:val="clear" w:color="auto" w:fill="auto"/>
            <w:vAlign w:val="center"/>
          </w:tcPr>
          <w:p>
            <w:pPr>
              <w:widowControl/>
              <w:rPr>
                <w:rFonts w:ascii="Times New Roman" w:hAnsi="Times New Roman"/>
                <w:b/>
                <w:bCs/>
                <w:kern w:val="0"/>
                <w:szCs w:val="21"/>
              </w:rPr>
            </w:pPr>
            <w:r>
              <w:rPr>
                <w:rFonts w:hint="eastAsia" w:ascii="宋体" w:hAnsi="宋体"/>
                <w:b/>
                <w:bCs/>
                <w:kern w:val="0"/>
                <w:szCs w:val="21"/>
              </w:rPr>
              <w:t>合计</w:t>
            </w:r>
          </w:p>
        </w:tc>
        <w:tc>
          <w:tcPr>
            <w:tcW w:w="1122"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30,000.0000</w:t>
            </w:r>
          </w:p>
        </w:tc>
        <w:tc>
          <w:tcPr>
            <w:tcW w:w="707"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100%</w:t>
            </w:r>
          </w:p>
        </w:tc>
        <w:tc>
          <w:tcPr>
            <w:tcW w:w="1209"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12,631.5789</w:t>
            </w:r>
          </w:p>
        </w:tc>
        <w:tc>
          <w:tcPr>
            <w:tcW w:w="1269" w:type="dxa"/>
            <w:tcBorders>
              <w:top w:val="nil"/>
              <w:left w:val="single" w:color="auto" w:sz="8" w:space="0"/>
              <w:bottom w:val="single" w:color="auto" w:sz="8" w:space="0"/>
              <w:right w:val="single" w:color="auto" w:sz="8"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w:t>
            </w:r>
          </w:p>
        </w:tc>
        <w:tc>
          <w:tcPr>
            <w:tcW w:w="112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42,631.5789</w:t>
            </w:r>
          </w:p>
        </w:tc>
        <w:tc>
          <w:tcPr>
            <w:tcW w:w="854"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100%</w:t>
            </w:r>
          </w:p>
        </w:tc>
      </w:tr>
    </w:tbl>
    <w:p>
      <w:pPr>
        <w:spacing w:line="500" w:lineRule="atLeast"/>
        <w:ind w:firstLine="480" w:firstLineChars="200"/>
        <w:rPr>
          <w:rFonts w:ascii="宋体" w:hAnsi="宋体"/>
          <w:sz w:val="24"/>
          <w:szCs w:val="24"/>
        </w:rPr>
      </w:pPr>
    </w:p>
    <w:p>
      <w:pPr>
        <w:spacing w:line="500" w:lineRule="atLeast"/>
        <w:ind w:firstLine="480" w:firstLineChars="200"/>
        <w:rPr>
          <w:rFonts w:ascii="宋体" w:hAnsi="宋体"/>
          <w:bCs/>
          <w:sz w:val="24"/>
        </w:rPr>
      </w:pPr>
      <w:r>
        <w:rPr>
          <w:rFonts w:hint="eastAsia" w:ascii="宋体" w:hAnsi="宋体"/>
          <w:bCs/>
          <w:sz w:val="24"/>
        </w:rPr>
        <w:t>（三）增资程序及时间安排</w:t>
      </w:r>
    </w:p>
    <w:p>
      <w:pPr>
        <w:numPr>
          <w:ilvl w:val="1"/>
          <w:numId w:val="5"/>
        </w:numPr>
        <w:spacing w:line="500" w:lineRule="atLeast"/>
        <w:ind w:firstLine="480" w:firstLineChars="200"/>
        <w:rPr>
          <w:rFonts w:ascii="宋体"/>
          <w:sz w:val="24"/>
          <w:szCs w:val="24"/>
        </w:rPr>
      </w:pPr>
      <w:r>
        <w:rPr>
          <w:rFonts w:hint="eastAsia" w:ascii="宋体" w:hAnsi="宋体"/>
          <w:sz w:val="24"/>
          <w:szCs w:val="24"/>
        </w:rPr>
        <w:t>本次增资程序分为报名（递交保证金）、多次报价、确定投资方、签署增资协议、缴纳增资款。</w:t>
      </w:r>
    </w:p>
    <w:p>
      <w:pPr>
        <w:spacing w:line="384" w:lineRule="auto"/>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）主要增资条件：</w:t>
      </w:r>
    </w:p>
    <w:p>
      <w:pPr>
        <w:spacing w:line="480" w:lineRule="atLeast"/>
        <w:ind w:right="105" w:rightChars="50" w:firstLine="480" w:firstLineChars="200"/>
        <w:jc w:val="left"/>
        <w:rPr>
          <w:rFonts w:ascii="宋体" w:hAnsi="宋体"/>
          <w:sz w:val="24"/>
        </w:rPr>
      </w:pPr>
      <w:r>
        <w:rPr>
          <w:rFonts w:ascii="宋体" w:hAnsi="宋体"/>
          <w:sz w:val="24"/>
        </w:rPr>
        <w:t>a</w:t>
      </w:r>
      <w:r>
        <w:rPr>
          <w:rFonts w:hint="eastAsia" w:ascii="宋体" w:hAnsi="宋体"/>
          <w:sz w:val="24"/>
        </w:rPr>
        <w:t>、本次增资标的为浙江海晟药业有限公司新增12631.5789万元注册资本，</w:t>
      </w:r>
      <w:r>
        <w:rPr>
          <w:rFonts w:hint="eastAsia" w:ascii="宋体" w:hAnsi="宋体"/>
          <w:sz w:val="24"/>
          <w:szCs w:val="24"/>
        </w:rPr>
        <w:t>每股</w:t>
      </w:r>
      <w:r>
        <w:rPr>
          <w:rFonts w:ascii="宋体" w:hAnsi="宋体"/>
          <w:sz w:val="24"/>
          <w:szCs w:val="24"/>
        </w:rPr>
        <w:t>价格</w:t>
      </w:r>
      <w:r>
        <w:rPr>
          <w:rFonts w:hint="eastAsia" w:ascii="宋体" w:hAnsi="宋体"/>
          <w:sz w:val="24"/>
          <w:szCs w:val="24"/>
        </w:rPr>
        <w:t>为不低于</w:t>
      </w:r>
      <w:r>
        <w:rPr>
          <w:rFonts w:ascii="宋体" w:hAnsi="宋体"/>
          <w:sz w:val="24"/>
          <w:szCs w:val="24"/>
        </w:rPr>
        <w:t>6.3333</w:t>
      </w:r>
      <w:r>
        <w:rPr>
          <w:rFonts w:hint="eastAsia" w:ascii="宋体" w:hAnsi="宋体"/>
          <w:sz w:val="24"/>
          <w:szCs w:val="24"/>
        </w:rPr>
        <w:t>元</w:t>
      </w:r>
      <w:r>
        <w:rPr>
          <w:rFonts w:hint="eastAsia" w:ascii="宋体" w:hAnsi="宋体"/>
          <w:sz w:val="24"/>
        </w:rPr>
        <w:t>。</w:t>
      </w:r>
    </w:p>
    <w:p>
      <w:pPr>
        <w:spacing w:line="480" w:lineRule="atLeast"/>
        <w:ind w:right="105" w:rightChars="50" w:firstLine="480" w:firstLineChars="200"/>
        <w:jc w:val="left"/>
        <w:rPr>
          <w:rFonts w:ascii="宋体" w:hAnsi="宋体"/>
          <w:sz w:val="24"/>
        </w:rPr>
      </w:pPr>
      <w:r>
        <w:rPr>
          <w:rFonts w:ascii="宋体" w:hAnsi="宋体"/>
          <w:sz w:val="24"/>
        </w:rPr>
        <w:t>b</w:t>
      </w:r>
      <w:r>
        <w:rPr>
          <w:rFonts w:hint="eastAsia" w:ascii="宋体" w:hAnsi="宋体"/>
          <w:sz w:val="24"/>
        </w:rPr>
        <w:t>、新投资方认购资金不低于</w:t>
      </w:r>
      <w:r>
        <w:rPr>
          <w:rFonts w:ascii="宋体" w:hAnsi="宋体"/>
          <w:sz w:val="24"/>
          <w:szCs w:val="24"/>
        </w:rPr>
        <w:t>8</w:t>
      </w:r>
      <w:r>
        <w:rPr>
          <w:rFonts w:hint="eastAsia" w:ascii="宋体" w:hAnsi="宋体"/>
          <w:sz w:val="24"/>
          <w:szCs w:val="24"/>
        </w:rPr>
        <w:t>亿元人民币</w:t>
      </w:r>
      <w:r>
        <w:rPr>
          <w:rFonts w:hint="eastAsia" w:ascii="宋体" w:hAnsi="宋体"/>
          <w:sz w:val="24"/>
        </w:rPr>
        <w:t>。</w:t>
      </w:r>
    </w:p>
    <w:p>
      <w:pPr>
        <w:spacing w:line="480" w:lineRule="atLeast"/>
        <w:ind w:right="105" w:rightChars="50" w:firstLine="480" w:firstLineChars="200"/>
        <w:jc w:val="left"/>
        <w:rPr>
          <w:rFonts w:ascii="宋体" w:hAnsi="宋体"/>
          <w:sz w:val="24"/>
        </w:rPr>
      </w:pPr>
      <w:r>
        <w:rPr>
          <w:rFonts w:ascii="宋体" w:hAnsi="宋体"/>
          <w:sz w:val="24"/>
        </w:rPr>
        <w:t>c</w:t>
      </w:r>
      <w:r>
        <w:rPr>
          <w:rFonts w:hint="eastAsia" w:ascii="宋体" w:hAnsi="宋体"/>
          <w:sz w:val="24"/>
        </w:rPr>
        <w:t>、报名主体条件：</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（1）具有良好的财务状况和支付能力及良好的商业信用的境内企业法人或其他组织，包括境内企业法人组成的竞标联合体（组织形式符合法律规定）；</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（2）应当专注于医疗健康领域的投资及运营，具有医学、药学、生物学专业人士或医药、医疗产业背景人员；</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（3）有管理政府40亿元以上规模政府产业投资基金的经验（以政府文件或省级媒体以上（含）报道为准）；</w:t>
      </w:r>
    </w:p>
    <w:p>
      <w:pPr>
        <w:spacing w:line="480" w:lineRule="atLeast"/>
        <w:ind w:right="105" w:rightChars="50" w:firstLine="600" w:firstLineChars="250"/>
        <w:jc w:val="left"/>
        <w:rPr>
          <w:rFonts w:ascii="宋体" w:hAnsi="宋体"/>
          <w:sz w:val="24"/>
          <w:szCs w:val="24"/>
        </w:rPr>
      </w:pPr>
      <w:r>
        <w:rPr>
          <w:rFonts w:hint="eastAsia" w:ascii="宋体" w:hAnsi="宋体"/>
          <w:sz w:val="24"/>
          <w:szCs w:val="24"/>
        </w:rPr>
        <w:t>（4）具备投资运营医疗健康类企业（尤其是生物医药企业）能力和经验，并有过投资成功医药企业的案例。</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）递交保证金：报名时交纳认购资金总额10</w:t>
      </w:r>
      <w:r>
        <w:rPr>
          <w:rFonts w:ascii="宋体" w:hAnsi="宋体"/>
          <w:sz w:val="24"/>
          <w:szCs w:val="24"/>
        </w:rPr>
        <w:t>%</w:t>
      </w:r>
      <w:r>
        <w:rPr>
          <w:rFonts w:hint="eastAsia" w:ascii="宋体" w:hAnsi="宋体"/>
          <w:sz w:val="24"/>
          <w:szCs w:val="24"/>
        </w:rPr>
        <w:t>竞买保证金</w:t>
      </w:r>
      <w:r>
        <w:rPr>
          <w:rFonts w:ascii="宋体" w:hAnsi="宋体"/>
          <w:sz w:val="24"/>
          <w:szCs w:val="24"/>
        </w:rPr>
        <w:t>(</w:t>
      </w:r>
      <w:r>
        <w:rPr>
          <w:rFonts w:hint="eastAsia" w:ascii="宋体" w:hAnsi="宋体"/>
          <w:sz w:val="24"/>
          <w:szCs w:val="24"/>
        </w:rPr>
        <w:t>8,000万元</w:t>
      </w:r>
      <w:r>
        <w:rPr>
          <w:rFonts w:ascii="宋体" w:hAnsi="宋体"/>
          <w:sz w:val="24"/>
          <w:szCs w:val="24"/>
        </w:rPr>
        <w:t>)</w:t>
      </w:r>
      <w:r>
        <w:rPr>
          <w:rFonts w:hint="eastAsia" w:ascii="宋体" w:hAnsi="宋体"/>
          <w:sz w:val="24"/>
          <w:szCs w:val="24"/>
        </w:rPr>
        <w:t>，意向投资方应在报名截止时间前将保证金汇入组织人指定账户。</w:t>
      </w:r>
      <w:r>
        <w:rPr>
          <w:rFonts w:hint="eastAsia" w:ascii="宋体" w:hAnsi="宋体" w:cs="Tahoma"/>
          <w:kern w:val="0"/>
          <w:sz w:val="24"/>
          <w:szCs w:val="24"/>
        </w:rPr>
        <w:t>（</w:t>
      </w:r>
      <w:r>
        <w:rPr>
          <w:rFonts w:hint="eastAsia" w:ascii="宋体" w:hAnsi="宋体"/>
          <w:bCs/>
          <w:sz w:val="24"/>
        </w:rPr>
        <w:t>人民币开户单位：台州市产权交易所</w:t>
      </w:r>
      <w:r>
        <w:rPr>
          <w:rFonts w:hint="eastAsia" w:ascii="宋体" w:hAnsi="宋体"/>
          <w:sz w:val="24"/>
          <w:szCs w:val="24"/>
        </w:rPr>
        <w:t>有限公司，开户行：浙江民泰商业银行台州椒江支行，帐号：</w:t>
      </w:r>
      <w:r>
        <w:rPr>
          <w:rFonts w:ascii="宋体" w:hAnsi="宋体"/>
          <w:sz w:val="24"/>
          <w:szCs w:val="24"/>
        </w:rPr>
        <w:t>583016260800015）</w:t>
      </w:r>
    </w:p>
    <w:p>
      <w:pPr>
        <w:spacing w:line="480" w:lineRule="atLeast"/>
        <w:ind w:right="105" w:rightChars="50" w:firstLine="480" w:firstLineChars="20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）确定投资方：依据本增资文件的规定，每股</w:t>
      </w:r>
      <w:r>
        <w:rPr>
          <w:rFonts w:ascii="宋体" w:hAnsi="宋体"/>
          <w:sz w:val="24"/>
          <w:szCs w:val="24"/>
        </w:rPr>
        <w:t>价格</w:t>
      </w:r>
      <w:r>
        <w:rPr>
          <w:rFonts w:hint="eastAsia" w:ascii="宋体" w:hAnsi="宋体"/>
          <w:sz w:val="24"/>
          <w:szCs w:val="24"/>
        </w:rPr>
        <w:t>为不低于6.3333元（人民币）的基础上，多次书面竞价，价高者得（具体详见书面竞价规则）。</w:t>
      </w:r>
    </w:p>
    <w:p>
      <w:pPr>
        <w:spacing w:line="500" w:lineRule="atLeast"/>
        <w:ind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）签署增资协议：申请方、投资方签署增资协议。</w:t>
      </w:r>
    </w:p>
    <w:p>
      <w:pPr>
        <w:spacing w:line="500" w:lineRule="atLeast"/>
        <w:ind w:firstLine="480" w:firstLineChars="200"/>
        <w:rPr>
          <w:rFonts w:ascii="宋体"/>
          <w:sz w:val="24"/>
          <w:szCs w:val="24"/>
        </w:rPr>
      </w:pPr>
      <w:r>
        <w:rPr>
          <w:rFonts w:ascii="宋体" w:hAnsi="宋体"/>
          <w:sz w:val="24"/>
          <w:szCs w:val="24"/>
        </w:rPr>
        <w:t>2.</w:t>
      </w:r>
      <w:r>
        <w:rPr>
          <w:rFonts w:hint="eastAsia" w:ascii="宋体" w:hAnsi="宋体"/>
          <w:sz w:val="24"/>
          <w:szCs w:val="24"/>
        </w:rPr>
        <w:t>时间安排：</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）报名：凡报名者企业</w:t>
      </w:r>
      <w:r>
        <w:rPr>
          <w:rFonts w:hint="eastAsia" w:ascii="宋体" w:hAnsi="宋体"/>
          <w:bCs/>
          <w:sz w:val="24"/>
        </w:rPr>
        <w:t>法人须持营业执照（或者其他注册证明文件）复印件、公章、《增资扩股投资申请书》、法人代表身份证、（委托书与身份证、受托人身份证）、公司章程、相关决议、投资方条件要求的相关材料。</w:t>
      </w:r>
    </w:p>
    <w:p>
      <w:pPr>
        <w:spacing w:line="500" w:lineRule="atLeast"/>
        <w:ind w:firstLine="480" w:firstLineChars="200"/>
        <w:rPr>
          <w:rFonts w:ascii="宋体"/>
          <w:sz w:val="24"/>
          <w:szCs w:val="24"/>
        </w:rPr>
      </w:pPr>
      <w:r>
        <w:rPr>
          <w:rFonts w:hint="eastAsia" w:ascii="宋体" w:hAnsi="宋体"/>
          <w:sz w:val="24"/>
          <w:szCs w:val="24"/>
        </w:rPr>
        <w:t>符合条件的意向投资方应在报名截止时间前向组织人递交全部报名材料（日常办理时间：工作日上午</w:t>
      </w:r>
      <w:r>
        <w:rPr>
          <w:rFonts w:ascii="宋体" w:hAnsi="宋体"/>
          <w:sz w:val="24"/>
          <w:szCs w:val="24"/>
        </w:rPr>
        <w:t>8</w:t>
      </w:r>
      <w:r>
        <w:rPr>
          <w:rFonts w:hint="eastAsia" w:ascii="宋体" w:hAnsi="宋体"/>
          <w:sz w:val="24"/>
          <w:szCs w:val="24"/>
        </w:rPr>
        <w:t>：</w:t>
      </w:r>
      <w:r>
        <w:rPr>
          <w:rFonts w:ascii="宋体" w:hAnsi="宋体"/>
          <w:sz w:val="24"/>
          <w:szCs w:val="24"/>
        </w:rPr>
        <w:t>30</w:t>
      </w:r>
      <w:r>
        <w:rPr>
          <w:rFonts w:hint="eastAsia" w:ascii="宋体" w:hAnsi="宋体"/>
          <w:sz w:val="24"/>
          <w:szCs w:val="24"/>
        </w:rPr>
        <w:t>－</w:t>
      </w:r>
      <w:r>
        <w:rPr>
          <w:rFonts w:ascii="宋体" w:hAnsi="宋体"/>
          <w:sz w:val="24"/>
          <w:szCs w:val="24"/>
        </w:rPr>
        <w:t>11</w:t>
      </w:r>
      <w:r>
        <w:rPr>
          <w:rFonts w:hint="eastAsia" w:ascii="宋体" w:hAnsi="宋体"/>
          <w:sz w:val="24"/>
          <w:szCs w:val="24"/>
        </w:rPr>
        <w:t>：</w:t>
      </w:r>
      <w:r>
        <w:rPr>
          <w:rFonts w:ascii="宋体" w:hAnsi="宋体"/>
          <w:sz w:val="24"/>
          <w:szCs w:val="24"/>
        </w:rPr>
        <w:t>30</w:t>
      </w:r>
      <w:r>
        <w:rPr>
          <w:rFonts w:hint="eastAsia" w:ascii="宋体" w:hAnsi="宋体"/>
          <w:sz w:val="24"/>
          <w:szCs w:val="24"/>
        </w:rPr>
        <w:t>，下午</w:t>
      </w:r>
      <w:r>
        <w:rPr>
          <w:rFonts w:ascii="宋体" w:hAnsi="宋体"/>
          <w:sz w:val="24"/>
          <w:szCs w:val="24"/>
        </w:rPr>
        <w:t>14</w:t>
      </w:r>
      <w:r>
        <w:rPr>
          <w:rFonts w:hint="eastAsia" w:ascii="宋体" w:hAnsi="宋体"/>
          <w:sz w:val="24"/>
          <w:szCs w:val="24"/>
        </w:rPr>
        <w:t>：0</w:t>
      </w:r>
      <w:r>
        <w:rPr>
          <w:rFonts w:ascii="宋体" w:hAnsi="宋体"/>
          <w:sz w:val="24"/>
          <w:szCs w:val="24"/>
        </w:rPr>
        <w:t>0</w:t>
      </w:r>
      <w:r>
        <w:rPr>
          <w:rFonts w:hint="eastAsia" w:ascii="宋体" w:hAnsi="宋体"/>
          <w:sz w:val="24"/>
          <w:szCs w:val="24"/>
        </w:rPr>
        <w:t>－16：</w:t>
      </w:r>
      <w:r>
        <w:rPr>
          <w:rFonts w:hint="eastAsia" w:ascii="宋体"/>
          <w:sz w:val="24"/>
          <w:szCs w:val="24"/>
        </w:rPr>
        <w:t>3</w:t>
      </w:r>
      <w:r>
        <w:rPr>
          <w:rFonts w:ascii="宋体"/>
          <w:sz w:val="24"/>
          <w:szCs w:val="24"/>
        </w:rPr>
        <w:t>0</w:t>
      </w:r>
      <w:r>
        <w:rPr>
          <w:rFonts w:hint="eastAsia" w:ascii="宋体" w:hAnsi="宋体"/>
          <w:sz w:val="24"/>
          <w:szCs w:val="24"/>
        </w:rPr>
        <w:t>，地点：台州市市府大道</w:t>
      </w:r>
      <w:r>
        <w:rPr>
          <w:rFonts w:ascii="宋体" w:hAnsi="宋体"/>
          <w:sz w:val="24"/>
          <w:szCs w:val="24"/>
        </w:rPr>
        <w:t>777</w:t>
      </w:r>
      <w:r>
        <w:rPr>
          <w:rFonts w:hint="eastAsia" w:ascii="宋体" w:hAnsi="宋体"/>
          <w:sz w:val="24"/>
          <w:szCs w:val="24"/>
        </w:rPr>
        <w:t>号浙江民泰商业银行五楼511室），逾期无效。组织人在收到递交全部报名材料后，办理报名登记手续。</w:t>
      </w:r>
    </w:p>
    <w:p>
      <w:pPr>
        <w:spacing w:line="360" w:lineRule="auto"/>
        <w:ind w:firstLine="56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）递交保证金：意向投资方应按增资文件规定的时间和要求提交保证金，增资协议签订后，乙方先期汇入的</w:t>
      </w:r>
      <w:r>
        <w:rPr>
          <w:rFonts w:ascii="宋体" w:hAnsi="宋体"/>
          <w:sz w:val="24"/>
          <w:szCs w:val="24"/>
        </w:rPr>
        <w:t>8</w:t>
      </w:r>
      <w:r>
        <w:rPr>
          <w:rFonts w:hint="eastAsia" w:ascii="宋体" w:hAnsi="宋体"/>
          <w:sz w:val="24"/>
          <w:szCs w:val="24"/>
        </w:rPr>
        <w:t>,</w:t>
      </w:r>
      <w:r>
        <w:rPr>
          <w:rFonts w:ascii="宋体" w:hAnsi="宋体"/>
          <w:sz w:val="24"/>
          <w:szCs w:val="24"/>
        </w:rPr>
        <w:t>000万元</w:t>
      </w:r>
      <w:r>
        <w:rPr>
          <w:rFonts w:hint="eastAsia" w:ascii="宋体" w:hAnsi="宋体"/>
          <w:sz w:val="24"/>
          <w:szCs w:val="24"/>
        </w:rPr>
        <w:t>竞买保证金转为履约保证金，该保证金可转作部分增资价款。</w:t>
      </w:r>
    </w:p>
    <w:p>
      <w:pPr>
        <w:spacing w:line="360" w:lineRule="auto"/>
        <w:ind w:firstLine="560"/>
        <w:rPr>
          <w:rFonts w:ascii="宋体"/>
          <w:sz w:val="24"/>
          <w:szCs w:val="24"/>
        </w:rPr>
      </w:pPr>
      <w:r>
        <w:rPr>
          <w:rFonts w:ascii="宋体" w:hAnsi="宋体"/>
          <w:sz w:val="24"/>
          <w:szCs w:val="24"/>
        </w:rPr>
        <w:t>(3)</w:t>
      </w:r>
      <w:r>
        <w:rPr>
          <w:rFonts w:hint="eastAsia" w:ascii="宋体" w:hAnsi="宋体"/>
          <w:sz w:val="24"/>
          <w:szCs w:val="24"/>
        </w:rPr>
        <w:t>签署增资协议：根据本增资文件的约定</w:t>
      </w:r>
      <w:r>
        <w:rPr>
          <w:rFonts w:ascii="宋体"/>
          <w:sz w:val="24"/>
          <w:szCs w:val="24"/>
        </w:rPr>
        <w:t>,</w:t>
      </w:r>
      <w:r>
        <w:rPr>
          <w:rFonts w:hint="eastAsia" w:ascii="宋体" w:hAnsi="宋体"/>
          <w:sz w:val="24"/>
          <w:szCs w:val="24"/>
        </w:rPr>
        <w:t>申请方和投资方当场签订《增资确认书》和《增资协议》。</w:t>
      </w:r>
    </w:p>
    <w:p>
      <w:pPr>
        <w:spacing w:line="360" w:lineRule="auto"/>
        <w:ind w:firstLine="480" w:firstLineChars="200"/>
        <w:rPr>
          <w:rFonts w:ascii="宋体" w:hAnsi="宋体"/>
          <w:bCs/>
          <w:sz w:val="24"/>
        </w:rPr>
      </w:pPr>
      <w:r>
        <w:rPr>
          <w:rFonts w:ascii="宋体" w:hAnsi="宋体"/>
          <w:sz w:val="24"/>
          <w:szCs w:val="24"/>
        </w:rPr>
        <w:t>(4)</w:t>
      </w:r>
      <w:r>
        <w:rPr>
          <w:rFonts w:hint="eastAsia" w:ascii="宋体" w:hAnsi="宋体"/>
          <w:sz w:val="24"/>
          <w:szCs w:val="24"/>
        </w:rPr>
        <w:t>付款方式：增资协议签订后，投资方应在《增资协议》生效后二</w:t>
      </w:r>
      <w:r>
        <w:rPr>
          <w:rFonts w:ascii="宋体" w:hAnsi="宋体"/>
          <w:sz w:val="24"/>
          <w:szCs w:val="24"/>
        </w:rPr>
        <w:t>个工作日</w:t>
      </w:r>
      <w:r>
        <w:rPr>
          <w:rFonts w:hint="eastAsia" w:ascii="宋体" w:hAnsi="宋体"/>
          <w:sz w:val="24"/>
          <w:szCs w:val="24"/>
        </w:rPr>
        <w:t>内一次性支付全部投资款及按全部投资款</w:t>
      </w:r>
      <w:r>
        <w:rPr>
          <w:rFonts w:ascii="宋体" w:hAnsi="宋体"/>
          <w:sz w:val="24"/>
          <w:szCs w:val="24"/>
        </w:rPr>
        <w:t>0.2%计算的</w:t>
      </w:r>
      <w:r>
        <w:rPr>
          <w:rFonts w:hint="eastAsia" w:ascii="宋体" w:hAnsi="宋体"/>
          <w:sz w:val="24"/>
          <w:szCs w:val="24"/>
        </w:rPr>
        <w:t>服务费。投资款和服务费以人民币方式汇入（</w:t>
      </w:r>
      <w:r>
        <w:rPr>
          <w:rFonts w:hint="eastAsia" w:ascii="宋体" w:hAnsi="宋体"/>
          <w:bCs/>
          <w:sz w:val="24"/>
        </w:rPr>
        <w:t>开户单位：台州市产权交易所有限公司，开户行：浙江民泰商业银行台州椒江支行，帐号：</w:t>
      </w:r>
      <w:r>
        <w:rPr>
          <w:rFonts w:ascii="宋体" w:hAnsi="宋体"/>
          <w:bCs/>
          <w:sz w:val="24"/>
        </w:rPr>
        <w:t>583016260800028</w:t>
      </w:r>
      <w:r>
        <w:rPr>
          <w:rFonts w:hint="eastAsia" w:ascii="宋体" w:hAnsi="宋体"/>
          <w:bCs/>
          <w:sz w:val="24"/>
        </w:rPr>
        <w:t>）。</w:t>
      </w:r>
    </w:p>
    <w:p>
      <w:pPr>
        <w:spacing w:line="500" w:lineRule="atLeast"/>
        <w:ind w:firstLine="480" w:firstLineChars="200"/>
        <w:rPr>
          <w:rFonts w:ascii="宋体" w:hAnsi="宋体"/>
          <w:sz w:val="24"/>
          <w:szCs w:val="24"/>
        </w:rPr>
      </w:pPr>
      <w:r>
        <w:rPr>
          <w:rFonts w:hint="eastAsia" w:ascii="宋体" w:hAnsi="宋体"/>
          <w:bCs/>
          <w:sz w:val="24"/>
        </w:rPr>
        <w:t>（四）本次增资活动是在</w:t>
      </w:r>
      <w:r>
        <w:rPr>
          <w:rFonts w:hint="eastAsia" w:ascii="宋体" w:hAnsi="宋体"/>
          <w:sz w:val="24"/>
          <w:szCs w:val="24"/>
        </w:rPr>
        <w:t>公开、公平、公正、诚实信用的原则下进行的，一切活动都具备法律效力。</w:t>
      </w:r>
    </w:p>
    <w:p>
      <w:pPr>
        <w:spacing w:line="500" w:lineRule="atLeast"/>
        <w:ind w:firstLine="480" w:firstLineChars="200"/>
        <w:rPr>
          <w:rFonts w:ascii="宋体"/>
          <w:sz w:val="24"/>
          <w:szCs w:val="24"/>
        </w:rPr>
      </w:pPr>
      <w:r>
        <w:rPr>
          <w:rFonts w:hint="eastAsia" w:ascii="宋体" w:hAnsi="宋体"/>
          <w:sz w:val="24"/>
          <w:szCs w:val="24"/>
        </w:rPr>
        <w:t>（五）意向投资方应具备并接受本次公告或有关规定中注明的投资方条件，否则不得参与增资。</w:t>
      </w:r>
    </w:p>
    <w:p>
      <w:pPr>
        <w:spacing w:line="500" w:lineRule="atLeast"/>
        <w:ind w:firstLine="480" w:firstLineChars="200"/>
        <w:rPr>
          <w:rFonts w:ascii="宋体"/>
          <w:sz w:val="24"/>
          <w:szCs w:val="24"/>
        </w:rPr>
      </w:pPr>
      <w:r>
        <w:rPr>
          <w:rFonts w:hint="eastAsia" w:ascii="宋体" w:hAnsi="宋体"/>
          <w:sz w:val="24"/>
          <w:szCs w:val="24"/>
        </w:rPr>
        <w:t>（六）意向投资方在办理报名手续时应提交下列材料：</w:t>
      </w:r>
      <w:r>
        <w:rPr>
          <w:rFonts w:ascii="宋体" w:hAnsi="宋体"/>
          <w:sz w:val="24"/>
          <w:szCs w:val="24"/>
        </w:rPr>
        <w:t>1.</w:t>
      </w:r>
      <w:r>
        <w:rPr>
          <w:rFonts w:hint="eastAsia" w:ascii="宋体" w:hAnsi="宋体"/>
          <w:sz w:val="24"/>
          <w:szCs w:val="24"/>
        </w:rPr>
        <w:t>《投资申请登记文件》及备注清单中的材料；</w:t>
      </w:r>
      <w:r>
        <w:rPr>
          <w:rFonts w:ascii="宋体" w:hAnsi="宋体"/>
          <w:sz w:val="24"/>
          <w:szCs w:val="24"/>
        </w:rPr>
        <w:t>2.</w:t>
      </w:r>
      <w:r>
        <w:rPr>
          <w:rFonts w:hint="eastAsia" w:ascii="宋体" w:hAnsi="宋体"/>
          <w:sz w:val="24"/>
          <w:szCs w:val="24"/>
        </w:rPr>
        <w:t>组织人认为需要提交的其它文件或资料。</w:t>
      </w:r>
    </w:p>
    <w:p>
      <w:pPr>
        <w:spacing w:line="500" w:lineRule="atLeast"/>
        <w:ind w:firstLine="480" w:firstLineChars="200"/>
        <w:rPr>
          <w:rFonts w:ascii="宋体"/>
          <w:sz w:val="24"/>
          <w:szCs w:val="24"/>
        </w:rPr>
      </w:pPr>
      <w:r>
        <w:rPr>
          <w:rFonts w:hint="eastAsia" w:ascii="宋体" w:hAnsi="宋体"/>
          <w:sz w:val="24"/>
          <w:szCs w:val="24"/>
        </w:rPr>
        <w:t>（七）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增资活动过程中，主持人也不再回答意向投资方提出的有关标的和程序的任何问题。意向投资方报名后，不得以事先未进行咨询等任何理由反悔，不提交《增资认购报价单》，责任由意向投资方自负，组织人有权不予返还增资保证金。意向投资方在办理查询手续或报名登记手续后可以向组织人申请查阅标的的相关信息和材料。</w:t>
      </w:r>
    </w:p>
    <w:p>
      <w:pPr>
        <w:spacing w:line="500" w:lineRule="atLeast"/>
        <w:ind w:firstLine="480" w:firstLineChars="200"/>
        <w:rPr>
          <w:rFonts w:ascii="宋体"/>
          <w:sz w:val="24"/>
          <w:szCs w:val="24"/>
        </w:rPr>
      </w:pPr>
      <w:r>
        <w:rPr>
          <w:rFonts w:hint="eastAsia" w:ascii="宋体" w:hAnsi="宋体"/>
          <w:sz w:val="24"/>
          <w:szCs w:val="24"/>
        </w:rPr>
        <w:t>（八）意向投资方递交全部报名材料并交纳全部增资保证金后获得参与增资活动的资格；逾期未交纳的，视为放弃投资。</w:t>
      </w:r>
    </w:p>
    <w:p>
      <w:pPr>
        <w:spacing w:line="500" w:lineRule="atLeast"/>
        <w:ind w:firstLine="480" w:firstLineChars="200"/>
        <w:rPr>
          <w:rFonts w:ascii="宋体"/>
          <w:sz w:val="24"/>
          <w:szCs w:val="24"/>
        </w:rPr>
      </w:pPr>
      <w:r>
        <w:rPr>
          <w:rFonts w:hint="eastAsia" w:ascii="宋体" w:hAnsi="宋体"/>
          <w:sz w:val="24"/>
          <w:szCs w:val="24"/>
        </w:rPr>
        <w:t>（九）本项目采取多次书面竞价，价高者得的方式（具体详见书面竞价规则）。意向投资方应在增资活动开始前凭身份证原件、组织人开立的增资保证金收款凭证进入增资会现场，以上凭证、证件必须妥善保管，若因损坏、遗失、外借等所引起的法律责任由投资方自负。意向投资方参加增资会时还应携带企业公章。</w:t>
      </w:r>
    </w:p>
    <w:p>
      <w:pPr>
        <w:spacing w:line="500" w:lineRule="atLeast"/>
        <w:ind w:firstLine="480" w:firstLineChars="200"/>
        <w:rPr>
          <w:rFonts w:ascii="宋体" w:hAnsi="宋体"/>
          <w:sz w:val="24"/>
          <w:szCs w:val="24"/>
        </w:rPr>
      </w:pPr>
      <w:r>
        <w:rPr>
          <w:rFonts w:hint="eastAsia" w:ascii="宋体" w:hAnsi="宋体"/>
          <w:sz w:val="24"/>
          <w:szCs w:val="24"/>
        </w:rPr>
        <w:t>（十）意向投资方法定代表人（委托他人参加的带委托书、受托人身份证）须携带本人身份证原件或其他有效身份证件在增资活动开始时间前</w:t>
      </w:r>
      <w:r>
        <w:rPr>
          <w:rFonts w:ascii="宋体" w:hAnsi="宋体"/>
          <w:sz w:val="24"/>
          <w:szCs w:val="24"/>
        </w:rPr>
        <w:t>30</w:t>
      </w:r>
      <w:r>
        <w:rPr>
          <w:rFonts w:hint="eastAsia" w:ascii="宋体" w:hAnsi="宋体"/>
          <w:sz w:val="24"/>
          <w:szCs w:val="24"/>
        </w:rPr>
        <w:t>分钟开始办理登记手续。</w:t>
      </w:r>
    </w:p>
    <w:p>
      <w:pPr>
        <w:spacing w:line="480" w:lineRule="atLeast"/>
        <w:ind w:right="105" w:rightChars="50" w:firstLine="480" w:firstLineChars="200"/>
        <w:rPr>
          <w:rFonts w:ascii="宋体" w:hAnsi="宋体"/>
          <w:bCs/>
          <w:sz w:val="24"/>
        </w:rPr>
      </w:pPr>
      <w:r>
        <w:rPr>
          <w:rFonts w:hint="eastAsia" w:ascii="宋体" w:hAnsi="宋体"/>
          <w:bCs/>
          <w:sz w:val="24"/>
        </w:rPr>
        <w:t>（十一）本次增资的同时，投资方同意同时受让标的公司股东海正药业（杭州）有限公司持有的标的公司10815.7895万股股权，股权转让价格依据本次增资最终确定的每股增资价格确定。增资公告发布同时，本交易所同步发布转让项目公告（台交所挂〔2018〕29号），意向投资人参与本次增资认购的，须同时参与转让项目的股权受让。</w:t>
      </w:r>
    </w:p>
    <w:p>
      <w:pPr>
        <w:spacing w:line="480" w:lineRule="atLeast"/>
        <w:ind w:right="105" w:rightChars="50" w:firstLine="480" w:firstLineChars="200"/>
        <w:rPr>
          <w:rFonts w:ascii="宋体" w:hAnsi="宋体"/>
          <w:bCs/>
          <w:sz w:val="24"/>
        </w:rPr>
      </w:pPr>
      <w:r>
        <w:rPr>
          <w:rFonts w:hint="eastAsia" w:ascii="宋体" w:hAnsi="宋体"/>
          <w:bCs/>
          <w:sz w:val="24"/>
        </w:rPr>
        <w:t>（十二）股权转让项目不单独接受意向投资人办理受让意向登记手续，意向投资人应在增资项目公告有效期内办理投资意向登记手续，意向投资人应符合本项目的全部资格条件、并承诺接受所有增资条件。意向投资人在获得资格确认并按时缴纳足额保证金后，同时获得原股东转让增资人部分股权的受让资格，且意向投资人必须参与该股权份额受让。</w:t>
      </w:r>
    </w:p>
    <w:p>
      <w:pPr>
        <w:spacing w:line="480" w:lineRule="atLeast"/>
        <w:ind w:right="105" w:rightChars="50" w:firstLine="480" w:firstLineChars="200"/>
        <w:rPr>
          <w:rFonts w:ascii="宋体" w:hAnsi="宋体"/>
          <w:bCs/>
          <w:sz w:val="24"/>
        </w:rPr>
      </w:pPr>
      <w:r>
        <w:rPr>
          <w:rFonts w:hint="eastAsia" w:ascii="宋体" w:hAnsi="宋体"/>
          <w:bCs/>
          <w:sz w:val="24"/>
        </w:rPr>
        <w:t>（十三）增资项目确定最终投资人、确定增资价格、确定原股东转让增资人部分股权的成交价格后，新老股东共同签署《增资协议》和《股权转让协议》。</w:t>
      </w:r>
    </w:p>
    <w:p>
      <w:pPr>
        <w:spacing w:line="500" w:lineRule="atLeast"/>
        <w:ind w:firstLine="360" w:firstLineChars="150"/>
        <w:rPr>
          <w:rFonts w:ascii="宋体"/>
          <w:sz w:val="24"/>
          <w:szCs w:val="24"/>
        </w:rPr>
      </w:pPr>
      <w:r>
        <w:rPr>
          <w:rFonts w:hint="eastAsia" w:ascii="宋体" w:hAnsi="宋体"/>
          <w:sz w:val="24"/>
          <w:szCs w:val="24"/>
        </w:rPr>
        <w:t>（十四）因被确定的投资方违约放弃，致使融资方将项目再次挂牌，如再次挂牌的融资金额低于本次成交金额的，则差额部分由本次确定的违约投资方另行赔偿，违约投资方已付投资款（或者保证金）作为违约金，融资方不再予以返还。</w:t>
      </w:r>
    </w:p>
    <w:p>
      <w:pPr>
        <w:spacing w:line="500" w:lineRule="atLeast"/>
        <w:ind w:firstLine="480" w:firstLineChars="200"/>
        <w:rPr>
          <w:rFonts w:ascii="宋体"/>
          <w:sz w:val="24"/>
          <w:szCs w:val="24"/>
        </w:rPr>
      </w:pPr>
      <w:r>
        <w:rPr>
          <w:rFonts w:hint="eastAsia" w:ascii="宋体" w:hAnsi="宋体"/>
          <w:sz w:val="24"/>
          <w:szCs w:val="24"/>
        </w:rPr>
        <w:t>（十五）增资成交后，意向投资方应在被确定为投资方后当日同融资方在组织人指定场所签订增资协议。</w:t>
      </w:r>
    </w:p>
    <w:p>
      <w:pPr>
        <w:spacing w:line="500" w:lineRule="atLeast"/>
        <w:ind w:firstLine="480" w:firstLineChars="200"/>
        <w:rPr>
          <w:rFonts w:ascii="宋体" w:hAnsi="宋体"/>
          <w:sz w:val="24"/>
          <w:szCs w:val="24"/>
        </w:rPr>
      </w:pPr>
      <w:r>
        <w:rPr>
          <w:rFonts w:hint="eastAsia" w:ascii="宋体" w:hAnsi="宋体"/>
          <w:sz w:val="24"/>
          <w:szCs w:val="24"/>
        </w:rPr>
        <w:t>（十六）投资方应向组织人支付的投资金额</w:t>
      </w:r>
      <w:r>
        <w:rPr>
          <w:rFonts w:ascii="宋体" w:hAnsi="宋体"/>
          <w:sz w:val="24"/>
          <w:szCs w:val="24"/>
        </w:rPr>
        <w:t xml:space="preserve">0.2% </w:t>
      </w:r>
      <w:r>
        <w:rPr>
          <w:rFonts w:hint="eastAsia" w:ascii="宋体" w:hAnsi="宋体"/>
          <w:sz w:val="24"/>
          <w:szCs w:val="24"/>
        </w:rPr>
        <w:t>服务费。</w:t>
      </w:r>
    </w:p>
    <w:p>
      <w:pPr>
        <w:spacing w:line="500" w:lineRule="atLeast"/>
        <w:ind w:firstLine="480" w:firstLineChars="200"/>
        <w:rPr>
          <w:rFonts w:ascii="宋体" w:hAnsi="宋体"/>
          <w:sz w:val="24"/>
          <w:szCs w:val="24"/>
        </w:rPr>
      </w:pPr>
      <w:r>
        <w:rPr>
          <w:rFonts w:hint="eastAsia" w:ascii="宋体" w:hAnsi="宋体"/>
          <w:sz w:val="24"/>
          <w:szCs w:val="24"/>
        </w:rPr>
        <w:t>（十七）出现下列情形意向投资方保证金可在三个工作日内退还（不计息）</w:t>
      </w:r>
    </w:p>
    <w:p>
      <w:pPr>
        <w:spacing w:line="500" w:lineRule="atLeast"/>
        <w:ind w:firstLine="480" w:firstLineChars="200"/>
        <w:rPr>
          <w:rFonts w:ascii="宋体" w:hAnsi="宋体"/>
          <w:sz w:val="24"/>
          <w:szCs w:val="24"/>
        </w:rPr>
      </w:pPr>
      <w:r>
        <w:rPr>
          <w:rFonts w:hint="eastAsia" w:ascii="宋体" w:hAnsi="宋体"/>
          <w:sz w:val="24"/>
          <w:szCs w:val="24"/>
        </w:rPr>
        <w:t>（1）参加竞价并应价但未能竞得标的者；</w:t>
      </w:r>
    </w:p>
    <w:p>
      <w:pPr>
        <w:spacing w:line="500" w:lineRule="atLeast"/>
        <w:ind w:firstLine="480" w:firstLineChars="200"/>
        <w:rPr>
          <w:rFonts w:ascii="宋体" w:hAnsi="宋体"/>
          <w:sz w:val="24"/>
          <w:szCs w:val="24"/>
        </w:rPr>
      </w:pPr>
      <w:r>
        <w:rPr>
          <w:rFonts w:hint="eastAsia" w:ascii="宋体" w:hAnsi="宋体"/>
          <w:sz w:val="24"/>
          <w:szCs w:val="24"/>
        </w:rPr>
        <w:t>（2）竞价前，因政策等正当理由取消竞价转让的。</w:t>
      </w:r>
    </w:p>
    <w:p>
      <w:pPr>
        <w:spacing w:line="500" w:lineRule="atLeast"/>
        <w:ind w:firstLine="480" w:firstLineChars="200"/>
        <w:rPr>
          <w:rFonts w:ascii="宋体" w:hAnsi="宋体"/>
          <w:sz w:val="24"/>
          <w:szCs w:val="24"/>
        </w:rPr>
      </w:pPr>
      <w:r>
        <w:rPr>
          <w:rFonts w:hint="eastAsia" w:ascii="宋体" w:hAnsi="宋体"/>
          <w:sz w:val="24"/>
          <w:szCs w:val="24"/>
        </w:rPr>
        <w:t>（十八）出现下列情形意向投资方保证金不予退还：</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1）意向投资方存在不当行为，包括但不限于：提供的资料和信息存在虚假、不真实、不具有效力等情形。</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2）意向投资方交纳保证金后单方撤回竞买申请的；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3）公告期满，产生两个或两个以上符合条件的意向投资方时，意向投资方交纳保证金后未参加后续竞价程序的；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4）在竞价过程中以底价为起始价格，各意向投资方均不应价的；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5）被确定为最终投资方后，未按期支付</w:t>
      </w:r>
      <w:r>
        <w:rPr>
          <w:rFonts w:hint="eastAsia" w:ascii="宋体" w:hAnsi="宋体"/>
          <w:sz w:val="24"/>
          <w:szCs w:val="24"/>
        </w:rPr>
        <w:t>增资款项的；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6）未按期与</w:t>
      </w:r>
      <w:r>
        <w:rPr>
          <w:rFonts w:hint="eastAsia" w:ascii="宋体" w:hAnsi="宋体"/>
          <w:sz w:val="24"/>
          <w:szCs w:val="24"/>
        </w:rPr>
        <w:t>融资方签订《增资确定书》和《增资协议》的；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7）意向投资方存在影响标的正常转让、竞价公正性或其他竞价程序要求的情形的；</w:t>
      </w:r>
    </w:p>
    <w:p>
      <w:pPr>
        <w:spacing w:line="500" w:lineRule="atLeast"/>
        <w:ind w:firstLine="480" w:firstLineChars="200"/>
        <w:rPr>
          <w:rFonts w:ascii="宋体" w:hAnsi="宋体"/>
          <w:sz w:val="24"/>
          <w:szCs w:val="24"/>
        </w:rPr>
      </w:pPr>
      <w:r>
        <w:rPr>
          <w:rFonts w:hint="eastAsia" w:ascii="宋体" w:hAnsi="宋体"/>
          <w:sz w:val="24"/>
          <w:szCs w:val="24"/>
        </w:rPr>
        <w:t>（十九）意向投资方法定代表人不能参加增资活动的，需提前办理授权委托书，委托代理人，代理人必须向组织人相关工作人员出示有效的委托文件原件及本人身份证原件或其他有效身份证件，并经组织人确认同意方可进入增资活动现场代理参加增资活动，否则视为该意向投资方违反约定和干扰秩序，应承担全部法律责任，且其所交保证金由组织人直接支付给申请方所有。</w:t>
      </w:r>
    </w:p>
    <w:p>
      <w:pPr>
        <w:spacing w:line="500" w:lineRule="atLeast"/>
        <w:ind w:firstLine="480" w:firstLineChars="200"/>
        <w:rPr>
          <w:rFonts w:ascii="宋体"/>
          <w:sz w:val="24"/>
          <w:szCs w:val="24"/>
        </w:rPr>
      </w:pPr>
      <w:r>
        <w:rPr>
          <w:rFonts w:hint="eastAsia" w:ascii="宋体" w:hAnsi="宋体"/>
          <w:sz w:val="24"/>
          <w:szCs w:val="24"/>
        </w:rPr>
        <w:t>（二十）意向投资方进入增资活动现场必须遵守现场活动公共秩序，不得阻挠其他意向投资方参与增资活动，不得阻碍组织人进行正常的工作，更不得有恶意操纵他人等违法行为，一经发现，将取消该意向投资方参与投资资格并由其承担全部法律责任，其所交增资保证金由组织人直接支付给申请方所有。</w:t>
      </w:r>
    </w:p>
    <w:p>
      <w:pPr>
        <w:spacing w:line="500" w:lineRule="atLeast"/>
        <w:ind w:firstLine="480" w:firstLineChars="200"/>
        <w:rPr>
          <w:rFonts w:ascii="宋体"/>
          <w:sz w:val="24"/>
          <w:szCs w:val="24"/>
        </w:rPr>
      </w:pPr>
      <w:r>
        <w:rPr>
          <w:rFonts w:hint="eastAsia" w:ascii="宋体" w:hAnsi="宋体"/>
          <w:sz w:val="24"/>
          <w:szCs w:val="24"/>
        </w:rPr>
        <w:t>（二十一）意向投资方应自行承担其参与增资活动（包括但不限于完成报名手续和递交有关文件）所涉及的一切费用，不论结果如何，在任何情况下组织人及融资方均无义务承担此费用。</w:t>
      </w:r>
    </w:p>
    <w:p>
      <w:pPr>
        <w:spacing w:line="500" w:lineRule="atLeast"/>
        <w:ind w:firstLine="480" w:firstLineChars="200"/>
        <w:rPr>
          <w:rFonts w:ascii="宋体" w:hAnsi="宋体"/>
          <w:sz w:val="24"/>
          <w:szCs w:val="24"/>
        </w:rPr>
      </w:pPr>
      <w:r>
        <w:rPr>
          <w:rFonts w:hint="eastAsia" w:ascii="宋体" w:hAnsi="宋体"/>
          <w:sz w:val="24"/>
          <w:szCs w:val="24"/>
        </w:rPr>
        <w:t>（二十二）申请方应按增资协议规定时间提交标的企业工商变更、办证及过户所需相关资料，标的企业所涉及的工商变更、办证及过户等相关事宜过程中所产生的税、费等均由申请方、投资方按国家规定各自承担并自行办理有关事项。投资方的新股东资格自完成工商变更过户后正式确立取得。</w:t>
      </w:r>
    </w:p>
    <w:p>
      <w:pPr>
        <w:spacing w:line="500" w:lineRule="atLeast"/>
        <w:ind w:firstLine="480" w:firstLineChars="200"/>
        <w:rPr>
          <w:rFonts w:ascii="宋体" w:hAnsi="宋体"/>
          <w:sz w:val="24"/>
          <w:szCs w:val="24"/>
        </w:rPr>
      </w:pPr>
      <w:r>
        <w:rPr>
          <w:rFonts w:hint="eastAsia" w:ascii="宋体" w:hAnsi="宋体"/>
          <w:sz w:val="24"/>
          <w:szCs w:val="24"/>
        </w:rPr>
        <w:t>（二十三）投资方（或至少联合投标体中的主要实际投资方）应确保自身主体资格能符合审批机关、工商管理等部门对投资方主体资格的要求，否则投资方应承担全部法律责任，且其所交保证金由组织人直接支付给申请方所有。</w:t>
      </w:r>
    </w:p>
    <w:p>
      <w:pPr>
        <w:spacing w:line="500" w:lineRule="atLeast"/>
        <w:ind w:firstLine="480" w:firstLineChars="200"/>
        <w:rPr>
          <w:rFonts w:ascii="宋体"/>
          <w:sz w:val="24"/>
          <w:szCs w:val="24"/>
        </w:rPr>
      </w:pPr>
      <w:r>
        <w:rPr>
          <w:rFonts w:hint="eastAsia" w:ascii="宋体" w:hAnsi="宋体"/>
          <w:sz w:val="24"/>
          <w:szCs w:val="24"/>
        </w:rPr>
        <w:t>（二十四）申请方有权在增资活动开始前撤回标的。若因申请方撤回标的不可抗力因素或其他特殊的重要原因，组织人有权取消或推迟本次增资活动，由此对意向投资方造成的损失由意向投资方自负，意向投资方不得</w:t>
      </w:r>
      <w:r>
        <w:rPr>
          <w:rFonts w:hint="eastAsia" w:ascii="宋体" w:hAnsi="宋体"/>
          <w:bCs/>
          <w:sz w:val="24"/>
          <w:szCs w:val="24"/>
        </w:rPr>
        <w:t>向</w:t>
      </w:r>
      <w:r>
        <w:rPr>
          <w:rFonts w:hint="eastAsia" w:ascii="宋体" w:hAnsi="宋体"/>
          <w:sz w:val="24"/>
          <w:szCs w:val="24"/>
        </w:rPr>
        <w:t>申请方</w:t>
      </w:r>
      <w:r>
        <w:rPr>
          <w:rFonts w:hint="eastAsia" w:ascii="宋体" w:hAnsi="宋体"/>
          <w:bCs/>
          <w:sz w:val="24"/>
          <w:szCs w:val="24"/>
        </w:rPr>
        <w:t>、组织人追索保证金利息及其他任何费用与责任。</w:t>
      </w:r>
    </w:p>
    <w:p>
      <w:pPr>
        <w:spacing w:line="500" w:lineRule="atLeast"/>
        <w:ind w:firstLine="480" w:firstLineChars="200"/>
        <w:rPr>
          <w:rFonts w:ascii="宋体"/>
          <w:sz w:val="24"/>
          <w:szCs w:val="24"/>
        </w:rPr>
      </w:pPr>
      <w:r>
        <w:rPr>
          <w:rFonts w:hint="eastAsia" w:ascii="宋体" w:hAnsi="宋体"/>
          <w:sz w:val="24"/>
          <w:szCs w:val="24"/>
        </w:rPr>
        <w:t>（二十五）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pPr>
        <w:numPr>
          <w:ilvl w:val="0"/>
          <w:numId w:val="2"/>
        </w:numPr>
        <w:spacing w:line="500" w:lineRule="atLeast"/>
        <w:rPr>
          <w:rFonts w:ascii="宋体"/>
          <w:b/>
          <w:sz w:val="24"/>
          <w:szCs w:val="24"/>
        </w:rPr>
      </w:pPr>
      <w:r>
        <w:rPr>
          <w:rFonts w:hint="eastAsia" w:ascii="宋体" w:hAnsi="宋体"/>
          <w:b/>
          <w:sz w:val="24"/>
          <w:szCs w:val="24"/>
        </w:rPr>
        <w:t>本项目相关情况说明</w:t>
      </w:r>
    </w:p>
    <w:p>
      <w:pPr>
        <w:spacing w:line="500" w:lineRule="atLeast"/>
        <w:ind w:firstLine="480" w:firstLineChars="200"/>
        <w:rPr>
          <w:rFonts w:ascii="宋体" w:hAnsi="宋体"/>
          <w:sz w:val="24"/>
          <w:szCs w:val="24"/>
        </w:rPr>
      </w:pPr>
      <w:r>
        <w:rPr>
          <w:rFonts w:hint="eastAsia" w:ascii="宋体" w:hAnsi="宋体"/>
          <w:sz w:val="24"/>
          <w:szCs w:val="24"/>
        </w:rPr>
        <w:t>（一）资产评估基准日到增资工商变更完成日期间的损益处理方式：由新老股东按持股比例共享。</w:t>
      </w:r>
    </w:p>
    <w:p>
      <w:pPr>
        <w:spacing w:line="500" w:lineRule="atLeast"/>
        <w:ind w:firstLine="480" w:firstLineChars="200"/>
        <w:rPr>
          <w:rFonts w:ascii="宋体"/>
          <w:sz w:val="24"/>
          <w:szCs w:val="24"/>
        </w:rPr>
      </w:pPr>
      <w:r>
        <w:rPr>
          <w:rFonts w:hint="eastAsia" w:ascii="宋体" w:hAnsi="宋体"/>
          <w:sz w:val="24"/>
          <w:szCs w:val="24"/>
        </w:rPr>
        <w:t>（二）其他有关海晟药业具体情况详见审计、评估机构出具的相应《审计报告》、《评估报告》和律师事务所出具的《法律意见书》。</w:t>
      </w:r>
    </w:p>
    <w:p>
      <w:pPr>
        <w:spacing w:line="500" w:lineRule="atLeast"/>
        <w:ind w:firstLine="480" w:firstLineChars="200"/>
        <w:rPr>
          <w:rFonts w:ascii="宋体" w:hAnsi="宋体"/>
          <w:sz w:val="24"/>
          <w:szCs w:val="24"/>
        </w:rPr>
      </w:pPr>
      <w:r>
        <w:rPr>
          <w:rFonts w:hint="eastAsia" w:ascii="宋体" w:hAnsi="宋体"/>
          <w:sz w:val="24"/>
          <w:szCs w:val="24"/>
        </w:rPr>
        <w:t>（三）增资文件的解释权归申请方和组织人。</w:t>
      </w:r>
    </w:p>
    <w:p>
      <w:pPr>
        <w:spacing w:line="500" w:lineRule="atLeast"/>
        <w:ind w:firstLine="3240" w:firstLineChars="1350"/>
        <w:jc w:val="center"/>
        <w:rPr>
          <w:rFonts w:ascii="宋体"/>
          <w:sz w:val="24"/>
          <w:szCs w:val="24"/>
        </w:rPr>
      </w:pPr>
      <w:r>
        <w:rPr>
          <w:rFonts w:hint="eastAsia" w:ascii="宋体" w:hAnsi="宋体"/>
          <w:sz w:val="24"/>
          <w:szCs w:val="24"/>
        </w:rPr>
        <w:t>台州市产权交易所有限公司</w:t>
      </w:r>
    </w:p>
    <w:p>
      <w:pPr>
        <w:spacing w:line="500" w:lineRule="atLeast"/>
        <w:ind w:firstLine="3240" w:firstLineChars="1350"/>
        <w:jc w:val="center"/>
        <w:rPr>
          <w:rFonts w:ascii="宋体" w:hAnsi="宋体"/>
          <w:b/>
          <w:sz w:val="28"/>
          <w:szCs w:val="28"/>
        </w:rPr>
      </w:pPr>
      <w:r>
        <w:rPr>
          <w:rFonts w:hint="eastAsia" w:ascii="宋体" w:hAnsi="宋体"/>
          <w:sz w:val="24"/>
        </w:rPr>
        <w:t>二〇一八年 十 一 月一 日</w:t>
      </w:r>
      <w:r>
        <w:rPr>
          <w:rFonts w:ascii="宋体" w:hAnsi="宋体"/>
          <w:b/>
          <w:sz w:val="28"/>
          <w:szCs w:val="28"/>
        </w:rPr>
        <w:br w:type="page"/>
      </w:r>
    </w:p>
    <w:p>
      <w:pPr>
        <w:pStyle w:val="2"/>
        <w:jc w:val="center"/>
        <w:rPr>
          <w:szCs w:val="32"/>
        </w:rPr>
      </w:pPr>
      <w:bookmarkStart w:id="10" w:name="_Toc528760900"/>
      <w:r>
        <w:rPr>
          <w:rFonts w:hint="eastAsia"/>
          <w:szCs w:val="32"/>
        </w:rPr>
        <w:t>增资扩股投资申请书</w:t>
      </w:r>
      <w:bookmarkEnd w:id="10"/>
    </w:p>
    <w:p>
      <w:pPr>
        <w:jc w:val="center"/>
        <w:rPr>
          <w:rFonts w:eastAsia="仿宋_GB2312"/>
          <w:sz w:val="30"/>
        </w:rPr>
      </w:pPr>
    </w:p>
    <w:p>
      <w:pPr>
        <w:jc w:val="center"/>
        <w:rPr>
          <w:rFonts w:eastAsia="仿宋_GB2312"/>
          <w:sz w:val="30"/>
        </w:rPr>
      </w:pPr>
    </w:p>
    <w:p>
      <w:pPr>
        <w:ind w:left="899" w:leftChars="428" w:firstLine="1"/>
        <w:rPr>
          <w:rFonts w:ascii="宋体"/>
          <w:sz w:val="32"/>
          <w:szCs w:val="32"/>
        </w:rPr>
      </w:pPr>
      <w:r>
        <w:rPr>
          <w:rFonts w:hint="eastAsia" w:ascii="宋体" w:hAnsi="宋体"/>
          <w:sz w:val="32"/>
          <w:szCs w:val="32"/>
        </w:rPr>
        <w:t>项目名称：</w:t>
      </w:r>
    </w:p>
    <w:p>
      <w:pPr>
        <w:ind w:left="899" w:leftChars="428" w:firstLine="1"/>
        <w:rPr>
          <w:rFonts w:ascii="宋体"/>
          <w:sz w:val="32"/>
          <w:szCs w:val="32"/>
        </w:rPr>
      </w:pPr>
      <w:r>
        <w:rPr>
          <w:rFonts w:hint="eastAsia" w:ascii="宋体" w:hAnsi="宋体"/>
          <w:sz w:val="32"/>
          <w:szCs w:val="32"/>
        </w:rPr>
        <w:t>项目编号：</w:t>
      </w:r>
    </w:p>
    <w:p>
      <w:pPr>
        <w:rPr>
          <w:rFonts w:ascii="宋体"/>
          <w:sz w:val="32"/>
          <w:szCs w:val="32"/>
        </w:rPr>
      </w:pPr>
    </w:p>
    <w:p>
      <w:pPr>
        <w:rPr>
          <w:rFonts w:ascii="宋体"/>
          <w:sz w:val="32"/>
          <w:szCs w:val="32"/>
        </w:rPr>
      </w:pPr>
    </w:p>
    <w:p>
      <w:pPr>
        <w:ind w:firstLine="800" w:firstLineChars="250"/>
        <w:rPr>
          <w:rFonts w:ascii="宋体"/>
          <w:sz w:val="32"/>
          <w:szCs w:val="32"/>
        </w:rPr>
      </w:pPr>
      <w:r>
        <w:rPr>
          <w:rFonts w:hint="eastAsia" w:ascii="宋体" w:hAnsi="宋体"/>
          <w:sz w:val="32"/>
          <w:szCs w:val="32"/>
        </w:rPr>
        <w:t>申请人：（意向投资方盖章或签字）</w:t>
      </w:r>
    </w:p>
    <w:p>
      <w:pPr>
        <w:rPr>
          <w:rFonts w:ascii="宋体"/>
          <w:sz w:val="32"/>
          <w:szCs w:val="32"/>
        </w:rPr>
      </w:pPr>
    </w:p>
    <w:p>
      <w:pPr>
        <w:rPr>
          <w:rFonts w:ascii="宋体"/>
          <w:sz w:val="32"/>
          <w:szCs w:val="32"/>
        </w:rPr>
      </w:pPr>
    </w:p>
    <w:p>
      <w:pPr>
        <w:ind w:firstLine="960" w:firstLineChars="300"/>
        <w:rPr>
          <w:rFonts w:ascii="宋体"/>
          <w:sz w:val="32"/>
          <w:szCs w:val="32"/>
        </w:rPr>
      </w:pPr>
      <w:r>
        <w:rPr>
          <w:rFonts w:hint="eastAsia" w:ascii="宋体" w:hAnsi="宋体"/>
          <w:sz w:val="32"/>
          <w:szCs w:val="32"/>
        </w:rPr>
        <w:t>法定代表人或授权代表（签字）：</w:t>
      </w: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ind w:right="600" w:firstLine="2700"/>
        <w:rPr>
          <w:rFonts w:ascii="宋体"/>
          <w:sz w:val="32"/>
          <w:szCs w:val="32"/>
        </w:rPr>
      </w:pPr>
      <w:r>
        <w:rPr>
          <w:rFonts w:hint="eastAsia" w:ascii="宋体" w:hAnsi="宋体"/>
          <w:sz w:val="32"/>
          <w:szCs w:val="32"/>
        </w:rPr>
        <w:t>申请日期：  年   月   日</w:t>
      </w:r>
    </w:p>
    <w:p>
      <w:pPr>
        <w:adjustRightInd w:val="0"/>
        <w:snapToGrid w:val="0"/>
        <w:spacing w:after="120" w:line="360" w:lineRule="auto"/>
        <w:jc w:val="center"/>
        <w:rPr>
          <w:rFonts w:ascii="宋体" w:hAnsi="宋体"/>
          <w:b/>
          <w:sz w:val="32"/>
          <w:szCs w:val="32"/>
        </w:rPr>
      </w:pPr>
    </w:p>
    <w:p>
      <w:pPr>
        <w:adjustRightInd w:val="0"/>
        <w:snapToGrid w:val="0"/>
        <w:spacing w:after="120" w:line="360" w:lineRule="auto"/>
        <w:jc w:val="center"/>
        <w:rPr>
          <w:rFonts w:ascii="宋体"/>
          <w:b/>
          <w:sz w:val="32"/>
          <w:szCs w:val="32"/>
        </w:rPr>
      </w:pPr>
      <w:r>
        <w:rPr>
          <w:rFonts w:ascii="宋体" w:hAnsi="宋体"/>
          <w:b/>
          <w:sz w:val="32"/>
          <w:szCs w:val="32"/>
        </w:rPr>
        <w:br w:type="page"/>
      </w:r>
      <w:r>
        <w:rPr>
          <w:rFonts w:hint="eastAsia" w:ascii="宋体" w:hAnsi="宋体"/>
          <w:b/>
          <w:sz w:val="32"/>
          <w:szCs w:val="32"/>
        </w:rPr>
        <w:t>投资申请与承诺</w:t>
      </w:r>
    </w:p>
    <w:p>
      <w:pPr>
        <w:adjustRightInd w:val="0"/>
        <w:snapToGrid w:val="0"/>
        <w:spacing w:after="120" w:line="500" w:lineRule="exact"/>
        <w:rPr>
          <w:rFonts w:ascii="宋体"/>
          <w:b/>
          <w:sz w:val="24"/>
          <w:szCs w:val="24"/>
        </w:rPr>
      </w:pPr>
      <w:r>
        <w:rPr>
          <w:rFonts w:hint="eastAsia" w:ascii="宋体" w:hAnsi="宋体"/>
          <w:b/>
          <w:sz w:val="24"/>
          <w:szCs w:val="24"/>
        </w:rPr>
        <w:t>台州市产权交易所有限公司：</w:t>
      </w:r>
    </w:p>
    <w:p>
      <w:pPr>
        <w:adjustRightInd w:val="0"/>
        <w:snapToGrid w:val="0"/>
        <w:spacing w:line="360" w:lineRule="auto"/>
        <w:ind w:firstLine="470" w:firstLineChars="196"/>
        <w:jc w:val="left"/>
        <w:rPr>
          <w:rFonts w:ascii="宋体"/>
          <w:b/>
          <w:sz w:val="24"/>
          <w:szCs w:val="24"/>
        </w:rPr>
      </w:pPr>
      <w:r>
        <w:rPr>
          <w:rFonts w:hint="eastAsia" w:ascii="宋体" w:hAnsi="宋体"/>
          <w:sz w:val="24"/>
          <w:szCs w:val="24"/>
        </w:rPr>
        <w:t>本意向投资方向贵所提出申请，意向投资浙江海晟药业有限公司新增12631.5789万元注册资本</w:t>
      </w:r>
      <w:r>
        <w:rPr>
          <w:rFonts w:hint="eastAsia" w:ascii="宋体" w:hAnsi="宋体"/>
          <w:b/>
          <w:sz w:val="24"/>
          <w:szCs w:val="24"/>
        </w:rPr>
        <w:t>项目</w:t>
      </w:r>
      <w:r>
        <w:rPr>
          <w:rFonts w:hint="eastAsia" w:ascii="宋体" w:hAnsi="宋体"/>
          <w:sz w:val="24"/>
          <w:szCs w:val="24"/>
        </w:rPr>
        <w:t>，请予审核。本意向投资方依照公开、公平、公正、诚实信用的原则，作出如下承诺：</w:t>
      </w:r>
    </w:p>
    <w:p>
      <w:pPr>
        <w:adjustRightInd w:val="0"/>
        <w:snapToGrid w:val="0"/>
        <w:spacing w:line="360" w:lineRule="auto"/>
        <w:ind w:firstLine="470" w:firstLineChars="196"/>
        <w:jc w:val="left"/>
        <w:rPr>
          <w:rFonts w:ascii="宋体"/>
          <w:sz w:val="24"/>
          <w:szCs w:val="24"/>
        </w:rPr>
      </w:pPr>
      <w:r>
        <w:rPr>
          <w:rFonts w:ascii="宋体" w:hAnsi="宋体"/>
          <w:sz w:val="24"/>
          <w:szCs w:val="24"/>
        </w:rPr>
        <w:t>1</w:t>
      </w:r>
      <w:r>
        <w:rPr>
          <w:rFonts w:hint="eastAsia" w:ascii="宋体" w:hAnsi="宋体"/>
          <w:sz w:val="24"/>
          <w:szCs w:val="24"/>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pPr>
        <w:adjustRightInd w:val="0"/>
        <w:snapToGrid w:val="0"/>
        <w:spacing w:line="360" w:lineRule="auto"/>
        <w:ind w:firstLine="470" w:firstLineChars="196"/>
        <w:jc w:val="left"/>
        <w:rPr>
          <w:rFonts w:ascii="宋体" w:hAnsi="宋体"/>
          <w:sz w:val="24"/>
          <w:szCs w:val="24"/>
        </w:rPr>
      </w:pPr>
      <w:r>
        <w:rPr>
          <w:rFonts w:ascii="宋体" w:hAnsi="宋体"/>
          <w:sz w:val="24"/>
          <w:szCs w:val="24"/>
        </w:rPr>
        <w:t>2</w:t>
      </w:r>
      <w:r>
        <w:rPr>
          <w:rFonts w:hint="eastAsia" w:ascii="宋体" w:hAnsi="宋体"/>
          <w:sz w:val="24"/>
          <w:szCs w:val="24"/>
        </w:rPr>
        <w:t>、我方系合法有效存续的企业或其他组织，能独立承担民事责任，具有良好的财务状况、支付能力和商业信用，且资金来源合法，符合有关法律法规及本项目对投资方应当具备条件的规定。</w:t>
      </w:r>
    </w:p>
    <w:p>
      <w:pPr>
        <w:adjustRightInd w:val="0"/>
        <w:snapToGrid w:val="0"/>
        <w:spacing w:line="360" w:lineRule="auto"/>
        <w:ind w:firstLine="450"/>
        <w:rPr>
          <w:rFonts w:ascii="宋体"/>
          <w:sz w:val="24"/>
          <w:szCs w:val="24"/>
        </w:rPr>
      </w:pPr>
      <w:r>
        <w:rPr>
          <w:rFonts w:ascii="宋体" w:hAnsi="宋体"/>
          <w:sz w:val="24"/>
          <w:szCs w:val="24"/>
        </w:rPr>
        <w:t>3</w:t>
      </w:r>
      <w:r>
        <w:rPr>
          <w:rFonts w:hint="eastAsia" w:ascii="宋体" w:hAnsi="宋体"/>
          <w:sz w:val="24"/>
          <w:szCs w:val="24"/>
        </w:rPr>
        <w:t>、我方已</w:t>
      </w:r>
      <w:r>
        <w:rPr>
          <w:rFonts w:hint="eastAsia" w:ascii="宋体" w:hAnsi="宋体"/>
          <w:bCs/>
          <w:sz w:val="24"/>
          <w:szCs w:val="24"/>
        </w:rPr>
        <w:t>充分了解并接受《增资文件》的全部内容和要求，已认真考虑了融资方</w:t>
      </w:r>
      <w:r>
        <w:rPr>
          <w:rFonts w:hint="eastAsia" w:ascii="宋体" w:hAnsi="宋体"/>
          <w:sz w:val="24"/>
          <w:szCs w:val="24"/>
        </w:rPr>
        <w:t>经营、行业、市场、政策以及其他不可预计的</w:t>
      </w:r>
      <w:r>
        <w:rPr>
          <w:rFonts w:hint="eastAsia" w:ascii="宋体" w:hAnsi="宋体"/>
          <w:bCs/>
          <w:sz w:val="24"/>
          <w:szCs w:val="24"/>
        </w:rPr>
        <w:t>各项风险因素，</w:t>
      </w:r>
      <w:r>
        <w:rPr>
          <w:rFonts w:hint="eastAsia" w:ascii="宋体" w:hAnsi="宋体"/>
          <w:sz w:val="24"/>
          <w:szCs w:val="24"/>
        </w:rPr>
        <w:t>自主判断企业的投资价值，自主做出投资决策，自行承担投资风险。</w:t>
      </w:r>
    </w:p>
    <w:p>
      <w:pPr>
        <w:adjustRightInd w:val="0"/>
        <w:snapToGrid w:val="0"/>
        <w:spacing w:line="360" w:lineRule="auto"/>
        <w:ind w:firstLine="450"/>
        <w:rPr>
          <w:rFonts w:ascii="宋体"/>
          <w:bCs/>
          <w:sz w:val="24"/>
          <w:szCs w:val="24"/>
        </w:rPr>
      </w:pPr>
      <w:r>
        <w:rPr>
          <w:rFonts w:ascii="宋体" w:hAnsi="宋体"/>
          <w:bCs/>
          <w:sz w:val="24"/>
          <w:szCs w:val="24"/>
        </w:rPr>
        <w:t>4</w:t>
      </w:r>
      <w:r>
        <w:rPr>
          <w:rFonts w:hint="eastAsia" w:ascii="宋体" w:hAnsi="宋体"/>
          <w:bCs/>
          <w:sz w:val="24"/>
          <w:szCs w:val="24"/>
        </w:rPr>
        <w:t>、我方非《</w:t>
      </w:r>
      <w:bookmarkStart w:id="11" w:name="OLE_LINK3"/>
      <w:bookmarkStart w:id="12" w:name="OLE_LINK1"/>
      <w:bookmarkStart w:id="13" w:name="OLE_LINK2"/>
      <w:r>
        <w:rPr>
          <w:rFonts w:hint="eastAsia" w:ascii="宋体" w:hAnsi="宋体"/>
          <w:bCs/>
          <w:sz w:val="24"/>
          <w:szCs w:val="24"/>
        </w:rPr>
        <w:t>企业国有产权向管理层转让暂行规</w:t>
      </w:r>
      <w:bookmarkEnd w:id="11"/>
      <w:bookmarkEnd w:id="12"/>
      <w:bookmarkEnd w:id="13"/>
      <w:r>
        <w:rPr>
          <w:rFonts w:hint="eastAsia" w:ascii="宋体" w:hAnsi="宋体"/>
          <w:bCs/>
          <w:sz w:val="24"/>
          <w:szCs w:val="24"/>
        </w:rPr>
        <w:t>定》中所称的管理层投资方，也未接受管理层的委托投资。（非管理层适用）。</w:t>
      </w:r>
    </w:p>
    <w:p>
      <w:pPr>
        <w:adjustRightInd w:val="0"/>
        <w:snapToGrid w:val="0"/>
        <w:spacing w:line="360" w:lineRule="auto"/>
        <w:ind w:firstLine="450"/>
        <w:rPr>
          <w:rFonts w:ascii="宋体"/>
          <w:bCs/>
          <w:sz w:val="24"/>
          <w:szCs w:val="24"/>
        </w:rPr>
      </w:pPr>
      <w:r>
        <w:rPr>
          <w:rFonts w:ascii="宋体" w:hAnsi="宋体" w:cs="宋体"/>
          <w:kern w:val="0"/>
          <w:sz w:val="24"/>
          <w:szCs w:val="24"/>
        </w:rPr>
        <w:t>5</w:t>
      </w:r>
      <w:r>
        <w:rPr>
          <w:rFonts w:hint="eastAsia" w:ascii="宋体" w:hAnsi="宋体" w:cs="宋体"/>
          <w:kern w:val="0"/>
          <w:sz w:val="24"/>
          <w:szCs w:val="24"/>
        </w:rPr>
        <w:t>、</w:t>
      </w:r>
      <w:r>
        <w:rPr>
          <w:rFonts w:hint="eastAsia" w:ascii="宋体" w:hAnsi="宋体"/>
          <w:bCs/>
          <w:sz w:val="24"/>
          <w:szCs w:val="24"/>
        </w:rPr>
        <w:t>我方承诺按《增资文件》的要求交纳保证金，逾期未交纳的，视为放弃投资意向。</w:t>
      </w:r>
    </w:p>
    <w:p>
      <w:pPr>
        <w:adjustRightInd w:val="0"/>
        <w:snapToGrid w:val="0"/>
        <w:spacing w:line="360" w:lineRule="auto"/>
        <w:ind w:firstLine="450"/>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、若成为最终投资方，我方承诺按照增资金额</w:t>
      </w:r>
      <w:r>
        <w:rPr>
          <w:rFonts w:ascii="宋体" w:hAnsi="宋体" w:cs="宋体"/>
          <w:kern w:val="0"/>
          <w:sz w:val="24"/>
          <w:szCs w:val="24"/>
          <w:u w:val="single"/>
        </w:rPr>
        <w:t>0</w:t>
      </w:r>
      <w:r>
        <w:rPr>
          <w:rFonts w:hint="eastAsia" w:ascii="宋体" w:hAnsi="宋体" w:cs="宋体"/>
          <w:kern w:val="0"/>
          <w:sz w:val="24"/>
          <w:szCs w:val="24"/>
          <w:u w:val="single"/>
        </w:rPr>
        <w:t>.2%</w:t>
      </w:r>
      <w:r>
        <w:rPr>
          <w:rFonts w:hint="eastAsia" w:ascii="宋体" w:hAnsi="宋体" w:cs="宋体"/>
          <w:kern w:val="0"/>
          <w:sz w:val="24"/>
          <w:szCs w:val="24"/>
        </w:rPr>
        <w:t>标准向产权交易机构支付交易服务费。</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、我方承诺在增资扩股过程中，遵守法律法规规定和《国有企业增资扩股操作规则（试行）》及产权交易机构的相关规定，按照有关程序及要求等履行我方义务。</w:t>
      </w:r>
    </w:p>
    <w:p>
      <w:pPr>
        <w:spacing w:line="360" w:lineRule="auto"/>
        <w:ind w:firstLine="480" w:firstLineChars="200"/>
        <w:rPr>
          <w:rFonts w:ascii="宋体"/>
          <w:sz w:val="24"/>
          <w:szCs w:val="24"/>
        </w:rPr>
      </w:pPr>
      <w:r>
        <w:rPr>
          <w:rFonts w:hint="eastAsia" w:ascii="宋体" w:hAnsi="宋体"/>
          <w:sz w:val="24"/>
          <w:szCs w:val="24"/>
        </w:rPr>
        <w:t>我方保证遵守以上承诺，如违反上述承诺或有违规行为，给增资扩股活动相关方造成损失的，我方愿意承担法律责任及经济赔偿责任。</w:t>
      </w:r>
    </w:p>
    <w:p>
      <w:pPr>
        <w:spacing w:line="360" w:lineRule="auto"/>
        <w:ind w:firstLine="480" w:firstLineChars="200"/>
        <w:rPr>
          <w:rFonts w:ascii="宋体"/>
          <w:sz w:val="24"/>
          <w:szCs w:val="24"/>
        </w:rPr>
      </w:pPr>
    </w:p>
    <w:p>
      <w:pPr>
        <w:spacing w:line="360" w:lineRule="auto"/>
        <w:ind w:firstLine="4920" w:firstLineChars="2050"/>
        <w:rPr>
          <w:rFonts w:ascii="宋体" w:hAnsi="宋体"/>
          <w:sz w:val="24"/>
          <w:szCs w:val="24"/>
        </w:rPr>
      </w:pPr>
      <w:r>
        <w:rPr>
          <w:rFonts w:hint="eastAsia" w:ascii="宋体" w:hAnsi="宋体"/>
          <w:sz w:val="24"/>
          <w:szCs w:val="24"/>
        </w:rPr>
        <w:t>意向投资方（盖章或签字）</w:t>
      </w:r>
    </w:p>
    <w:p>
      <w:pPr>
        <w:spacing w:line="360" w:lineRule="auto"/>
        <w:ind w:firstLine="4920" w:firstLineChars="2050"/>
        <w:rPr>
          <w:rFonts w:ascii="宋体" w:hAnsi="宋体"/>
          <w:sz w:val="24"/>
          <w:szCs w:val="24"/>
        </w:rPr>
      </w:pPr>
      <w:r>
        <w:rPr>
          <w:rFonts w:hint="eastAsia" w:ascii="宋体" w:hAnsi="宋体"/>
          <w:sz w:val="24"/>
          <w:szCs w:val="24"/>
        </w:rPr>
        <w:t>法定代表人或授权代表（签字）</w:t>
      </w:r>
    </w:p>
    <w:p>
      <w:pPr>
        <w:adjustRightInd w:val="0"/>
        <w:snapToGrid w:val="0"/>
        <w:spacing w:line="360" w:lineRule="auto"/>
        <w:ind w:right="630"/>
        <w:jc w:val="center"/>
        <w:rPr>
          <w:rFonts w:ascii="宋体"/>
          <w:b/>
          <w:sz w:val="32"/>
          <w:szCs w:val="32"/>
        </w:rPr>
      </w:pPr>
      <w:r>
        <w:rPr>
          <w:rFonts w:ascii="宋体" w:hAnsi="宋体"/>
          <w:b/>
          <w:sz w:val="32"/>
          <w:szCs w:val="32"/>
        </w:rPr>
        <w:br w:type="page"/>
      </w:r>
      <w:r>
        <w:rPr>
          <w:rFonts w:hint="eastAsia" w:ascii="宋体" w:hAnsi="宋体"/>
          <w:b/>
          <w:sz w:val="32"/>
          <w:szCs w:val="32"/>
        </w:rPr>
        <w:t>意向投资方基本情况</w:t>
      </w:r>
    </w:p>
    <w:p>
      <w:pPr>
        <w:jc w:val="right"/>
        <w:textAlignment w:val="baseline"/>
        <w:rPr>
          <w:rFonts w:ascii="宋体"/>
          <w:sz w:val="24"/>
        </w:rPr>
      </w:pPr>
    </w:p>
    <w:tbl>
      <w:tblPr>
        <w:tblStyle w:val="19"/>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843"/>
        <w:gridCol w:w="2268"/>
        <w:gridCol w:w="1559"/>
        <w:gridCol w:w="2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tcBorders>
              <w:top w:val="single" w:color="auto" w:sz="12" w:space="0"/>
            </w:tcBorders>
            <w:vAlign w:val="center"/>
          </w:tcPr>
          <w:p>
            <w:pPr>
              <w:jc w:val="center"/>
              <w:rPr>
                <w:rFonts w:ascii="宋体"/>
                <w:b/>
                <w:bCs/>
                <w:sz w:val="24"/>
              </w:rPr>
            </w:pPr>
            <w:r>
              <w:rPr>
                <w:rFonts w:hint="eastAsia" w:ascii="宋体" w:hAnsi="宋体"/>
                <w:b/>
                <w:bCs/>
                <w:sz w:val="24"/>
              </w:rPr>
              <w:t>名称</w:t>
            </w:r>
          </w:p>
        </w:tc>
        <w:tc>
          <w:tcPr>
            <w:tcW w:w="8264" w:type="dxa"/>
            <w:gridSpan w:val="4"/>
            <w:tcBorders>
              <w:top w:val="single" w:color="auto" w:sz="12"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6" w:type="dxa"/>
            <w:vMerge w:val="restart"/>
            <w:vAlign w:val="center"/>
          </w:tcPr>
          <w:p>
            <w:pPr>
              <w:jc w:val="center"/>
              <w:rPr>
                <w:rFonts w:ascii="宋体"/>
                <w:b/>
                <w:bCs/>
                <w:sz w:val="24"/>
              </w:rPr>
            </w:pPr>
            <w:r>
              <w:rPr>
                <w:rFonts w:hint="eastAsia" w:ascii="宋体" w:hAnsi="宋体"/>
                <w:b/>
                <w:bCs/>
                <w:sz w:val="24"/>
              </w:rPr>
              <w:t>基本</w:t>
            </w:r>
          </w:p>
          <w:p>
            <w:pPr>
              <w:jc w:val="center"/>
              <w:rPr>
                <w:rFonts w:ascii="宋体"/>
                <w:b/>
                <w:bCs/>
                <w:sz w:val="24"/>
              </w:rPr>
            </w:pPr>
            <w:r>
              <w:rPr>
                <w:rFonts w:hint="eastAsia" w:ascii="宋体" w:hAnsi="宋体"/>
                <w:b/>
                <w:bCs/>
                <w:sz w:val="24"/>
              </w:rPr>
              <w:t>情况</w:t>
            </w:r>
          </w:p>
        </w:tc>
        <w:tc>
          <w:tcPr>
            <w:tcW w:w="8264" w:type="dxa"/>
            <w:gridSpan w:val="4"/>
            <w:vAlign w:val="center"/>
          </w:tcPr>
          <w:p>
            <w:pPr>
              <w:ind w:firstLine="2940" w:firstLineChars="1400"/>
              <w:rPr>
                <w:rFonts w:ascii="宋体"/>
                <w:szCs w:val="21"/>
              </w:rPr>
            </w:pPr>
            <w:r>
              <w:rPr>
                <w:rFonts w:hint="eastAsia" w:ascii="宋体" w:hAnsi="宋体"/>
                <w:szCs w:val="21"/>
              </w:rPr>
              <w:t>法人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住所</w:t>
            </w:r>
          </w:p>
        </w:tc>
        <w:tc>
          <w:tcPr>
            <w:tcW w:w="6421"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注册资本</w:t>
            </w:r>
          </w:p>
        </w:tc>
        <w:tc>
          <w:tcPr>
            <w:tcW w:w="2268" w:type="dxa"/>
            <w:vAlign w:val="center"/>
          </w:tcPr>
          <w:p>
            <w:pPr>
              <w:rPr>
                <w:rFonts w:ascii="宋体"/>
                <w:szCs w:val="21"/>
              </w:rPr>
            </w:pPr>
          </w:p>
        </w:tc>
        <w:tc>
          <w:tcPr>
            <w:tcW w:w="1559" w:type="dxa"/>
            <w:vAlign w:val="center"/>
          </w:tcPr>
          <w:p>
            <w:pPr>
              <w:rPr>
                <w:rFonts w:ascii="宋体"/>
                <w:szCs w:val="21"/>
              </w:rPr>
            </w:pPr>
            <w:r>
              <w:rPr>
                <w:rFonts w:hint="eastAsia" w:ascii="宋体" w:hAnsi="宋体"/>
                <w:szCs w:val="21"/>
              </w:rPr>
              <w:t>法定代表人</w:t>
            </w:r>
          </w:p>
          <w:p>
            <w:pPr>
              <w:rPr>
                <w:rFonts w:ascii="宋体"/>
                <w:szCs w:val="21"/>
              </w:rPr>
            </w:pPr>
            <w:r>
              <w:rPr>
                <w:rFonts w:hint="eastAsia" w:ascii="宋体" w:hAnsi="宋体"/>
                <w:szCs w:val="21"/>
              </w:rPr>
              <w:t>（负责人）</w:t>
            </w:r>
          </w:p>
        </w:tc>
        <w:tc>
          <w:tcPr>
            <w:tcW w:w="2594"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类型</w:t>
            </w:r>
          </w:p>
        </w:tc>
        <w:tc>
          <w:tcPr>
            <w:tcW w:w="6421"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3"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经营范围</w:t>
            </w:r>
          </w:p>
        </w:tc>
        <w:tc>
          <w:tcPr>
            <w:tcW w:w="6421"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1276" w:type="dxa"/>
            <w:vMerge w:val="continue"/>
            <w:vAlign w:val="center"/>
          </w:tcPr>
          <w:p>
            <w:pPr>
              <w:rPr>
                <w:rFonts w:ascii="宋体"/>
                <w:b/>
                <w:sz w:val="24"/>
              </w:rPr>
            </w:pPr>
          </w:p>
        </w:tc>
        <w:tc>
          <w:tcPr>
            <w:tcW w:w="8264" w:type="dxa"/>
            <w:gridSpan w:val="4"/>
            <w:vAlign w:val="center"/>
          </w:tcPr>
          <w:p>
            <w:pPr>
              <w:jc w:val="center"/>
              <w:rPr>
                <w:rFonts w:ascii="宋体"/>
                <w:szCs w:val="21"/>
              </w:rPr>
            </w:pPr>
            <w:r>
              <w:rPr>
                <w:rFonts w:hint="eastAsia" w:ascii="宋体" w:hAnsi="宋体"/>
                <w:szCs w:val="21"/>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证件类型</w:t>
            </w:r>
          </w:p>
        </w:tc>
        <w:tc>
          <w:tcPr>
            <w:tcW w:w="2268" w:type="dxa"/>
            <w:vAlign w:val="center"/>
          </w:tcPr>
          <w:p>
            <w:pPr>
              <w:rPr>
                <w:rFonts w:ascii="宋体"/>
                <w:szCs w:val="21"/>
              </w:rPr>
            </w:pPr>
          </w:p>
        </w:tc>
        <w:tc>
          <w:tcPr>
            <w:tcW w:w="1559" w:type="dxa"/>
            <w:vAlign w:val="center"/>
          </w:tcPr>
          <w:p>
            <w:pPr>
              <w:jc w:val="center"/>
              <w:rPr>
                <w:rFonts w:ascii="宋体"/>
                <w:szCs w:val="21"/>
              </w:rPr>
            </w:pPr>
            <w:r>
              <w:rPr>
                <w:rFonts w:hint="eastAsia" w:ascii="宋体" w:hAnsi="宋体"/>
                <w:szCs w:val="21"/>
              </w:rPr>
              <w:t>证件号码</w:t>
            </w:r>
          </w:p>
        </w:tc>
        <w:tc>
          <w:tcPr>
            <w:tcW w:w="2594"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Align w:val="center"/>
          </w:tcPr>
          <w:p>
            <w:pPr>
              <w:rPr>
                <w:rFonts w:ascii="宋体"/>
                <w:b/>
                <w:sz w:val="24"/>
              </w:rPr>
            </w:pPr>
            <w:r>
              <w:rPr>
                <w:rFonts w:hint="eastAsia" w:ascii="宋体" w:hAnsi="宋体"/>
                <w:b/>
                <w:sz w:val="24"/>
              </w:rPr>
              <w:t>是否属于管理层</w:t>
            </w:r>
          </w:p>
        </w:tc>
        <w:tc>
          <w:tcPr>
            <w:tcW w:w="8264" w:type="dxa"/>
            <w:gridSpan w:val="4"/>
            <w:vAlign w:val="center"/>
          </w:tcPr>
          <w:p>
            <w:pPr>
              <w:ind w:firstLine="105" w:firstLineChars="5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restart"/>
            <w:vAlign w:val="center"/>
          </w:tcPr>
          <w:p>
            <w:pPr>
              <w:jc w:val="center"/>
              <w:rPr>
                <w:rFonts w:ascii="宋体"/>
                <w:b/>
                <w:sz w:val="24"/>
              </w:rPr>
            </w:pPr>
            <w:r>
              <w:rPr>
                <w:rFonts w:hint="eastAsia" w:ascii="宋体" w:hAnsi="宋体"/>
                <w:b/>
                <w:sz w:val="24"/>
              </w:rPr>
              <w:t>联系方式</w:t>
            </w:r>
          </w:p>
        </w:tc>
        <w:tc>
          <w:tcPr>
            <w:tcW w:w="1843" w:type="dxa"/>
            <w:vAlign w:val="center"/>
          </w:tcPr>
          <w:p>
            <w:pPr>
              <w:jc w:val="center"/>
              <w:rPr>
                <w:rFonts w:ascii="宋体"/>
                <w:szCs w:val="21"/>
              </w:rPr>
            </w:pPr>
            <w:r>
              <w:rPr>
                <w:rFonts w:hint="eastAsia" w:ascii="宋体" w:hAnsi="宋体"/>
                <w:szCs w:val="21"/>
              </w:rPr>
              <w:t>联系人</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联系电话</w:t>
            </w:r>
          </w:p>
        </w:tc>
        <w:tc>
          <w:tcPr>
            <w:tcW w:w="2594"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传真</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电子邮件</w:t>
            </w:r>
          </w:p>
        </w:tc>
        <w:tc>
          <w:tcPr>
            <w:tcW w:w="2594"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通讯地址</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邮编</w:t>
            </w:r>
          </w:p>
        </w:tc>
        <w:tc>
          <w:tcPr>
            <w:tcW w:w="2594"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Align w:val="center"/>
          </w:tcPr>
          <w:p>
            <w:pPr>
              <w:jc w:val="center"/>
              <w:rPr>
                <w:rFonts w:ascii="宋体"/>
                <w:b/>
                <w:bCs/>
                <w:sz w:val="24"/>
              </w:rPr>
            </w:pPr>
            <w:r>
              <w:rPr>
                <w:rFonts w:hint="eastAsia" w:ascii="宋体" w:hAnsi="宋体"/>
                <w:b/>
                <w:bCs/>
                <w:sz w:val="24"/>
              </w:rPr>
              <w:t>投资意向</w:t>
            </w:r>
          </w:p>
        </w:tc>
        <w:tc>
          <w:tcPr>
            <w:tcW w:w="1843" w:type="dxa"/>
            <w:vAlign w:val="center"/>
          </w:tcPr>
          <w:p>
            <w:pPr>
              <w:jc w:val="center"/>
              <w:rPr>
                <w:rFonts w:ascii="宋体"/>
                <w:szCs w:val="21"/>
              </w:rPr>
            </w:pPr>
            <w:r>
              <w:rPr>
                <w:rFonts w:hint="eastAsia" w:ascii="宋体" w:hAnsi="宋体"/>
                <w:szCs w:val="21"/>
              </w:rPr>
              <w:t>投资比例</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是否接受挂牌价格</w:t>
            </w:r>
          </w:p>
        </w:tc>
        <w:tc>
          <w:tcPr>
            <w:tcW w:w="2594" w:type="dxa"/>
            <w:vAlign w:val="center"/>
          </w:tcPr>
          <w:p>
            <w:pPr>
              <w:ind w:firstLine="210" w:firstLineChars="10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10" w:hRule="atLeast"/>
        </w:trPr>
        <w:tc>
          <w:tcPr>
            <w:tcW w:w="1276" w:type="dxa"/>
            <w:tcBorders>
              <w:bottom w:val="single" w:color="auto" w:sz="12" w:space="0"/>
            </w:tcBorders>
            <w:vAlign w:val="center"/>
          </w:tcPr>
          <w:p>
            <w:pPr>
              <w:pStyle w:val="5"/>
              <w:ind w:firstLine="0" w:firstLineChars="0"/>
              <w:jc w:val="center"/>
              <w:rPr>
                <w:rFonts w:ascii="宋体" w:hAnsi="宋体"/>
              </w:rPr>
            </w:pPr>
            <w:r>
              <w:rPr>
                <w:rFonts w:hint="eastAsia" w:ascii="宋体" w:hAnsi="宋体"/>
              </w:rPr>
              <w:t>投资</w:t>
            </w:r>
          </w:p>
          <w:p>
            <w:pPr>
              <w:pStyle w:val="5"/>
              <w:ind w:firstLine="0" w:firstLineChars="0"/>
              <w:jc w:val="center"/>
              <w:rPr>
                <w:rFonts w:ascii="宋体" w:hAnsi="宋体"/>
              </w:rPr>
            </w:pPr>
            <w:r>
              <w:rPr>
                <w:rFonts w:hint="eastAsia" w:ascii="宋体" w:hAnsi="宋体"/>
              </w:rPr>
              <w:t>意向</w:t>
            </w:r>
          </w:p>
          <w:p>
            <w:pPr>
              <w:pStyle w:val="5"/>
              <w:ind w:firstLine="0" w:firstLineChars="0"/>
              <w:jc w:val="center"/>
              <w:rPr>
                <w:rFonts w:ascii="宋体" w:eastAsia="宋体"/>
              </w:rPr>
            </w:pPr>
            <w:r>
              <w:rPr>
                <w:rFonts w:hint="eastAsia" w:ascii="宋体" w:hAnsi="宋体"/>
              </w:rPr>
              <w:t>描述</w:t>
            </w:r>
          </w:p>
        </w:tc>
        <w:tc>
          <w:tcPr>
            <w:tcW w:w="8264" w:type="dxa"/>
            <w:gridSpan w:val="4"/>
            <w:tcBorders>
              <w:bottom w:val="single" w:color="auto" w:sz="12" w:space="0"/>
            </w:tcBorders>
            <w:vAlign w:val="center"/>
          </w:tcPr>
          <w:p>
            <w:pPr>
              <w:rPr>
                <w:rFonts w:ascii="宋体"/>
                <w:szCs w:val="21"/>
              </w:rPr>
            </w:pPr>
          </w:p>
        </w:tc>
      </w:tr>
    </w:tbl>
    <w:p>
      <w:pPr>
        <w:spacing w:before="78" w:after="78"/>
        <w:rPr>
          <w:rFonts w:ascii="宋体" w:hAnsi="宋体"/>
          <w:b/>
          <w:sz w:val="32"/>
          <w:szCs w:val="32"/>
        </w:rPr>
      </w:pPr>
    </w:p>
    <w:p>
      <w:pPr>
        <w:spacing w:before="78" w:after="78"/>
        <w:rPr>
          <w:rFonts w:ascii="宋体"/>
          <w:b/>
          <w:sz w:val="32"/>
          <w:szCs w:val="32"/>
        </w:rPr>
      </w:pPr>
      <w:r>
        <w:rPr>
          <w:rFonts w:ascii="宋体" w:hAnsi="宋体"/>
          <w:b/>
          <w:sz w:val="32"/>
          <w:szCs w:val="32"/>
        </w:rPr>
        <w:br w:type="page"/>
      </w:r>
      <w:r>
        <w:rPr>
          <w:rFonts w:hint="eastAsia" w:ascii="宋体" w:hAnsi="宋体"/>
          <w:b/>
          <w:sz w:val="32"/>
          <w:szCs w:val="32"/>
        </w:rPr>
        <w:t>备查材料</w:t>
      </w:r>
    </w:p>
    <w:tbl>
      <w:tblPr>
        <w:tblStyle w:val="19"/>
        <w:tblW w:w="9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61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tcBorders>
              <w:top w:val="single" w:color="auto" w:sz="12" w:space="0"/>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附件类型</w:t>
            </w:r>
          </w:p>
        </w:tc>
        <w:tc>
          <w:tcPr>
            <w:tcW w:w="4617" w:type="dxa"/>
            <w:tcBorders>
              <w:top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资料名称</w:t>
            </w:r>
          </w:p>
        </w:tc>
        <w:tc>
          <w:tcPr>
            <w:tcW w:w="2544" w:type="dxa"/>
            <w:tcBorders>
              <w:top w:val="single" w:color="auto" w:sz="12" w:space="0"/>
              <w:righ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tcBorders>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kern w:val="0"/>
                <w:sz w:val="24"/>
              </w:rPr>
              <w:t>申请类资料</w:t>
            </w: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《增资扩股投资申请书》</w:t>
            </w:r>
          </w:p>
        </w:tc>
        <w:tc>
          <w:tcPr>
            <w:tcW w:w="2544" w:type="dxa"/>
            <w:tcBorders>
              <w:right w:val="single" w:color="auto" w:sz="12" w:space="0"/>
            </w:tcBorders>
            <w:vAlign w:val="center"/>
          </w:tcPr>
          <w:p>
            <w:pPr>
              <w:widowControl/>
              <w:adjustRightInd w:val="0"/>
              <w:snapToGrid w:val="0"/>
              <w:jc w:val="center"/>
              <w:rPr>
                <w:rFonts w:asci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主体资格类资料</w:t>
            </w: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营业执照或</w:t>
            </w:r>
            <w:r>
              <w:rPr>
                <w:rFonts w:hint="eastAsia" w:ascii="宋体" w:hAnsi="宋体"/>
                <w:bCs/>
                <w:sz w:val="24"/>
              </w:rPr>
              <w:t>相关注册证明文件</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身份证明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决议及批准类资料</w:t>
            </w: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公司章程或相关证明材料</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hAnsi="宋体" w:cs="宋体"/>
                <w:b/>
                <w:kern w:val="0"/>
                <w:sz w:val="24"/>
              </w:rPr>
            </w:pPr>
          </w:p>
        </w:tc>
        <w:tc>
          <w:tcPr>
            <w:tcW w:w="4617"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工商管理部门或其他部门企业登记证明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股东大会决议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董事会决议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总经理办公会决议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r>
              <w:rPr>
                <w:rFonts w:hint="eastAsia" w:ascii="宋体" w:hAnsi="宋体" w:cs="宋体"/>
                <w:kern w:val="0"/>
                <w:szCs w:val="21"/>
              </w:rPr>
              <w:t>主管部门批复</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符合增资扩股条件的其他资料</w:t>
            </w: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8" w:hRule="exact"/>
          <w:jc w:val="center"/>
        </w:trPr>
        <w:tc>
          <w:tcPr>
            <w:tcW w:w="2222" w:type="dxa"/>
            <w:tcBorders>
              <w:left w:val="single" w:color="auto" w:sz="12" w:space="0"/>
              <w:bottom w:val="single" w:color="auto" w:sz="12" w:space="0"/>
            </w:tcBorders>
            <w:vAlign w:val="center"/>
          </w:tcPr>
          <w:p>
            <w:pPr>
              <w:adjustRightInd w:val="0"/>
              <w:snapToGrid w:val="0"/>
              <w:spacing w:line="360" w:lineRule="auto"/>
              <w:jc w:val="center"/>
              <w:rPr>
                <w:rFonts w:ascii="宋体"/>
                <w:b/>
                <w:sz w:val="24"/>
              </w:rPr>
            </w:pPr>
            <w:r>
              <w:rPr>
                <w:rFonts w:hint="eastAsia" w:ascii="宋体" w:hAnsi="宋体"/>
                <w:b/>
                <w:sz w:val="24"/>
              </w:rPr>
              <w:t>核实意见</w:t>
            </w:r>
          </w:p>
        </w:tc>
        <w:tc>
          <w:tcPr>
            <w:tcW w:w="7161" w:type="dxa"/>
            <w:gridSpan w:val="2"/>
            <w:tcBorders>
              <w:bottom w:val="single" w:color="auto" w:sz="12" w:space="0"/>
              <w:right w:val="single" w:color="auto" w:sz="12" w:space="0"/>
            </w:tcBorders>
            <w:vAlign w:val="center"/>
          </w:tcPr>
          <w:p>
            <w:pPr>
              <w:ind w:firstLine="420" w:firstLineChars="200"/>
              <w:jc w:val="left"/>
              <w:rPr>
                <w:szCs w:val="21"/>
              </w:rPr>
            </w:pPr>
            <w:r>
              <w:rPr>
                <w:rFonts w:hint="eastAsia"/>
                <w:szCs w:val="21"/>
              </w:rPr>
              <w:t>我方所提交的报名资料和有关证明（含有关附件）均为真实、合法、有效文件，否则我方所交保证金由融资方和组织人没收。</w:t>
            </w:r>
          </w:p>
          <w:p>
            <w:pPr>
              <w:jc w:val="left"/>
              <w:rPr>
                <w:szCs w:val="21"/>
              </w:rPr>
            </w:pPr>
          </w:p>
          <w:p>
            <w:pPr>
              <w:jc w:val="left"/>
              <w:rPr>
                <w:szCs w:val="21"/>
              </w:rPr>
            </w:pPr>
          </w:p>
          <w:p>
            <w:pPr>
              <w:spacing w:line="360" w:lineRule="auto"/>
              <w:jc w:val="center"/>
              <w:rPr>
                <w:szCs w:val="21"/>
              </w:rPr>
            </w:pPr>
            <w:r>
              <w:rPr>
                <w:rFonts w:hint="eastAsia"/>
                <w:szCs w:val="21"/>
              </w:rPr>
              <w:t>申请方（盖章）：</w:t>
            </w:r>
          </w:p>
          <w:p>
            <w:pPr>
              <w:spacing w:line="360" w:lineRule="auto"/>
              <w:jc w:val="center"/>
              <w:rPr>
                <w:szCs w:val="21"/>
              </w:rPr>
            </w:pPr>
          </w:p>
          <w:p>
            <w:pPr>
              <w:spacing w:line="360" w:lineRule="auto"/>
              <w:jc w:val="center"/>
              <w:rPr>
                <w:szCs w:val="21"/>
              </w:rPr>
            </w:pPr>
          </w:p>
          <w:p>
            <w:pPr>
              <w:spacing w:line="480" w:lineRule="auto"/>
              <w:ind w:right="420"/>
              <w:jc w:val="center"/>
              <w:rPr>
                <w:szCs w:val="21"/>
              </w:rPr>
            </w:pPr>
            <w:r>
              <w:rPr>
                <w:rFonts w:hint="eastAsia"/>
                <w:szCs w:val="21"/>
              </w:rPr>
              <w:t>（签字）：</w:t>
            </w:r>
            <w:r>
              <w:rPr>
                <w:szCs w:val="21"/>
              </w:rPr>
              <w:t>___</w:t>
            </w:r>
            <w:r>
              <w:rPr>
                <w:szCs w:val="21"/>
                <w:u w:val="single"/>
              </w:rPr>
              <w:t xml:space="preserve">     _ __</w:t>
            </w:r>
            <w:r>
              <w:rPr>
                <w:szCs w:val="21"/>
              </w:rPr>
              <w:t>____</w:t>
            </w:r>
          </w:p>
          <w:p>
            <w:pPr>
              <w:adjustRightInd w:val="0"/>
              <w:snapToGrid w:val="0"/>
              <w:spacing w:line="480" w:lineRule="auto"/>
              <w:jc w:val="right"/>
              <w:rPr>
                <w:rFonts w:ascii="宋体"/>
                <w:szCs w:val="21"/>
              </w:rPr>
            </w:pPr>
            <w:r>
              <w:rPr>
                <w:rFonts w:hint="eastAsia"/>
                <w:szCs w:val="21"/>
              </w:rPr>
              <w:t>日期：</w:t>
            </w:r>
            <w:r>
              <w:rPr>
                <w:szCs w:val="21"/>
              </w:rPr>
              <w:t>______</w:t>
            </w:r>
            <w:r>
              <w:rPr>
                <w:rFonts w:hint="eastAsia"/>
                <w:szCs w:val="21"/>
              </w:rPr>
              <w:t>年</w:t>
            </w:r>
            <w:r>
              <w:rPr>
                <w:szCs w:val="21"/>
              </w:rPr>
              <w:t>____</w:t>
            </w:r>
            <w:r>
              <w:rPr>
                <w:rFonts w:hint="eastAsia"/>
                <w:szCs w:val="21"/>
              </w:rPr>
              <w:t>月</w:t>
            </w:r>
            <w:r>
              <w:rPr>
                <w:szCs w:val="21"/>
              </w:rPr>
              <w:t>____</w:t>
            </w:r>
            <w:r>
              <w:rPr>
                <w:rFonts w:hint="eastAsia"/>
                <w:szCs w:val="21"/>
              </w:rPr>
              <w:t>日</w:t>
            </w:r>
          </w:p>
          <w:p>
            <w:pPr>
              <w:rPr>
                <w:rFonts w:ascii="宋体"/>
                <w:szCs w:val="21"/>
              </w:rPr>
            </w:pPr>
          </w:p>
        </w:tc>
      </w:tr>
    </w:tbl>
    <w:p>
      <w:pPr>
        <w:pStyle w:val="2"/>
        <w:spacing w:before="120" w:after="120" w:line="360" w:lineRule="auto"/>
        <w:jc w:val="center"/>
        <w:rPr>
          <w:sz w:val="32"/>
          <w:szCs w:val="32"/>
        </w:rPr>
      </w:pPr>
      <w:r>
        <w:rPr>
          <w:sz w:val="32"/>
          <w:szCs w:val="32"/>
        </w:rPr>
        <w:br w:type="page"/>
      </w:r>
      <w:bookmarkStart w:id="14" w:name="_Toc528760901"/>
      <w:r>
        <w:rPr>
          <w:rFonts w:hint="eastAsia"/>
          <w:sz w:val="32"/>
          <w:szCs w:val="32"/>
        </w:rPr>
        <w:t>认购风险告知书</w:t>
      </w:r>
      <w:bookmarkEnd w:id="14"/>
    </w:p>
    <w:p>
      <w:pPr>
        <w:spacing w:line="360" w:lineRule="auto"/>
        <w:rPr>
          <w:rFonts w:ascii="宋体"/>
          <w:sz w:val="24"/>
          <w:szCs w:val="24"/>
        </w:rPr>
      </w:pPr>
      <w:r>
        <w:rPr>
          <w:rFonts w:hint="eastAsia" w:ascii="宋体" w:hAnsi="宋体"/>
          <w:sz w:val="24"/>
          <w:szCs w:val="24"/>
        </w:rPr>
        <w:t>尊敬的投资方：</w:t>
      </w:r>
    </w:p>
    <w:p>
      <w:pPr>
        <w:spacing w:line="360" w:lineRule="auto"/>
        <w:ind w:firstLine="600" w:firstLineChars="250"/>
        <w:rPr>
          <w:rFonts w:ascii="宋体"/>
          <w:sz w:val="24"/>
          <w:szCs w:val="24"/>
        </w:rPr>
      </w:pPr>
      <w:r>
        <w:rPr>
          <w:rFonts w:hint="eastAsia" w:ascii="宋体" w:hAnsi="宋体"/>
          <w:sz w:val="24"/>
          <w:szCs w:val="24"/>
        </w:rPr>
        <w:t>台州市产权交易所有限公司作为产权市场的交易平台将恪尽职守，履行诚实、信用、谨慎、有效组织的义务。在您通过台州市产权交易所有限公司参与浙江海晟药业有限公司</w:t>
      </w:r>
      <w:bookmarkStart w:id="15" w:name="_Hlk527723805"/>
      <w:r>
        <w:rPr>
          <w:rFonts w:hint="eastAsia" w:ascii="宋体" w:hAnsi="宋体"/>
          <w:sz w:val="24"/>
          <w:szCs w:val="24"/>
        </w:rPr>
        <w:t>新增12631.5789万元注册资本</w:t>
      </w:r>
      <w:bookmarkEnd w:id="15"/>
      <w:r>
        <w:rPr>
          <w:rFonts w:hint="eastAsia" w:ascii="宋体" w:hAnsi="宋体"/>
          <w:sz w:val="24"/>
          <w:szCs w:val="24"/>
        </w:rPr>
        <w:t>项目的投资时，应充分意识到可能面临的各种投资风险。为此，台州市产权交易所有限公司郑重告知如下：</w:t>
      </w:r>
    </w:p>
    <w:p>
      <w:pPr>
        <w:spacing w:line="360" w:lineRule="auto"/>
        <w:ind w:firstLine="480" w:firstLineChars="200"/>
        <w:rPr>
          <w:rFonts w:ascii="宋体"/>
          <w:sz w:val="24"/>
          <w:szCs w:val="24"/>
        </w:rPr>
      </w:pPr>
      <w:r>
        <w:rPr>
          <w:rFonts w:hint="eastAsia" w:ascii="宋体" w:hAnsi="宋体"/>
          <w:sz w:val="24"/>
          <w:szCs w:val="24"/>
        </w:rPr>
        <w:t>一、本项目海晟药业未承诺保本和最低收益，具有一定的投资风险，适合风险识别、评估、承受能力较强的合格投资者。</w:t>
      </w:r>
    </w:p>
    <w:p>
      <w:pPr>
        <w:spacing w:line="360" w:lineRule="auto"/>
        <w:ind w:firstLine="480" w:firstLineChars="200"/>
        <w:rPr>
          <w:rFonts w:ascii="宋体"/>
          <w:sz w:val="24"/>
          <w:szCs w:val="24"/>
        </w:rPr>
      </w:pPr>
      <w:r>
        <w:rPr>
          <w:rFonts w:hint="eastAsia" w:ascii="宋体" w:hAnsi="宋体"/>
          <w:sz w:val="24"/>
          <w:szCs w:val="24"/>
        </w:rPr>
        <w:t>二、投资方提供的所有证件和资料均应真实、全面、有效、合法，并保证其认购资金来源合法。</w:t>
      </w:r>
    </w:p>
    <w:p>
      <w:pPr>
        <w:spacing w:line="360" w:lineRule="auto"/>
        <w:ind w:firstLine="480" w:firstLineChars="200"/>
        <w:rPr>
          <w:rFonts w:ascii="宋体" w:hAnsi="宋体"/>
          <w:sz w:val="24"/>
          <w:szCs w:val="24"/>
        </w:rPr>
      </w:pPr>
      <w:r>
        <w:rPr>
          <w:rFonts w:hint="eastAsia" w:ascii="宋体" w:hAnsi="宋体"/>
          <w:sz w:val="24"/>
          <w:szCs w:val="24"/>
        </w:rPr>
        <w:t>三、投资方因参与本项目所产生的风险，由投资方自行承担。</w:t>
      </w:r>
    </w:p>
    <w:p>
      <w:pPr>
        <w:spacing w:line="360" w:lineRule="auto"/>
        <w:ind w:right="105" w:rightChars="50" w:firstLine="480" w:firstLineChars="200"/>
        <w:jc w:val="left"/>
        <w:rPr>
          <w:rFonts w:ascii="宋体" w:hAnsi="宋体"/>
          <w:sz w:val="24"/>
          <w:szCs w:val="24"/>
        </w:rPr>
      </w:pPr>
      <w:r>
        <w:rPr>
          <w:rFonts w:hint="eastAsia" w:ascii="宋体" w:hAnsi="宋体"/>
          <w:sz w:val="24"/>
          <w:szCs w:val="24"/>
        </w:rPr>
        <w:t>四、在本项目中，如只有一家投资方报名并经确认后，您方报名时提交的《增资认购报价单》报价作为成交价。如有两家或两家以上报名的，应按增资文件规定采取书面竞价方式确定最终投资方，您报名时提交的《增资认购报价单》将被确认为无效。</w:t>
      </w:r>
    </w:p>
    <w:p>
      <w:pPr>
        <w:spacing w:line="360" w:lineRule="auto"/>
        <w:ind w:firstLine="480" w:firstLineChars="200"/>
        <w:rPr>
          <w:rFonts w:ascii="宋体"/>
          <w:sz w:val="24"/>
          <w:szCs w:val="24"/>
        </w:rPr>
      </w:pPr>
      <w:r>
        <w:rPr>
          <w:rFonts w:hint="eastAsia" w:ascii="宋体" w:hAnsi="宋体"/>
          <w:sz w:val="24"/>
          <w:szCs w:val="24"/>
        </w:rPr>
        <w:t>五、在本项目中，投资方提交的《增资认购报价单》应当明确所认购</w:t>
      </w:r>
      <w:r>
        <w:rPr>
          <w:rFonts w:ascii="宋体" w:hAnsi="宋体"/>
          <w:sz w:val="24"/>
          <w:szCs w:val="24"/>
        </w:rPr>
        <w:t>12631.5789万元注册资本，报价不得低于每股的起始价格6.3333</w:t>
      </w:r>
      <w:r>
        <w:rPr>
          <w:rFonts w:hint="eastAsia" w:ascii="宋体" w:hAnsi="宋体"/>
          <w:sz w:val="24"/>
          <w:szCs w:val="24"/>
        </w:rPr>
        <w:t>元人民币。如低于上述价格或认购</w:t>
      </w:r>
      <w:r>
        <w:rPr>
          <w:rFonts w:ascii="宋体" w:hAnsi="宋体"/>
          <w:sz w:val="24"/>
          <w:szCs w:val="24"/>
        </w:rPr>
        <w:t>注册资本金额未达12631.5789万元时，您提交的《增资认购报价单》将被确认为无效。您将面临丧失投资资格以及相应的资金损失。</w:t>
      </w:r>
    </w:p>
    <w:p>
      <w:pPr>
        <w:spacing w:line="360" w:lineRule="auto"/>
        <w:ind w:firstLine="480" w:firstLineChars="200"/>
        <w:rPr>
          <w:rFonts w:ascii="宋体"/>
          <w:sz w:val="24"/>
          <w:szCs w:val="24"/>
        </w:rPr>
      </w:pPr>
      <w:r>
        <w:rPr>
          <w:rFonts w:hint="eastAsia" w:ascii="宋体" w:hAnsi="宋体"/>
          <w:sz w:val="24"/>
          <w:szCs w:val="24"/>
        </w:rPr>
        <w:t>六、请您务必在规定时间内足额缴付保证金到台交所指定账户，如异地网银支付的请关注人民银行大额转账的时间要求，提前汇款。否则，会影响您的认购资格。</w:t>
      </w:r>
    </w:p>
    <w:p>
      <w:pPr>
        <w:spacing w:line="360" w:lineRule="auto"/>
        <w:ind w:firstLine="480" w:firstLineChars="200"/>
        <w:rPr>
          <w:rFonts w:ascii="宋体"/>
          <w:sz w:val="24"/>
          <w:szCs w:val="24"/>
        </w:rPr>
      </w:pPr>
      <w:r>
        <w:rPr>
          <w:rFonts w:hint="eastAsia" w:ascii="宋体" w:hAnsi="宋体"/>
          <w:sz w:val="24"/>
          <w:szCs w:val="24"/>
        </w:rPr>
        <w:t>七、在本项目中，您一经提交《增资认购报价单》并缴纳保证金后不得随意撤销认购，否则将承担违约责任。由此您可能会面临撤销认购带来的违约责任。</w:t>
      </w:r>
    </w:p>
    <w:p>
      <w:pPr>
        <w:spacing w:line="360" w:lineRule="auto"/>
        <w:ind w:firstLine="480" w:firstLineChars="200"/>
        <w:rPr>
          <w:rFonts w:ascii="宋体"/>
          <w:sz w:val="24"/>
          <w:szCs w:val="24"/>
        </w:rPr>
      </w:pPr>
      <w:r>
        <w:rPr>
          <w:rFonts w:hint="eastAsia" w:ascii="宋体" w:hAnsi="宋体"/>
          <w:sz w:val="24"/>
          <w:szCs w:val="24"/>
        </w:rPr>
        <w:t>八、如您违反其他交易规则，也可能会导致交易无效，对此产生的法律后果请您充分知悉。</w:t>
      </w:r>
    </w:p>
    <w:p>
      <w:pPr>
        <w:spacing w:line="360" w:lineRule="auto"/>
        <w:ind w:firstLine="480" w:firstLineChars="200"/>
        <w:jc w:val="left"/>
        <w:rPr>
          <w:rFonts w:ascii="宋体" w:hAnsi="宋体"/>
          <w:sz w:val="24"/>
          <w:szCs w:val="24"/>
        </w:rPr>
      </w:pPr>
      <w:r>
        <w:rPr>
          <w:rFonts w:hint="eastAsia" w:ascii="宋体" w:hAnsi="宋体"/>
          <w:sz w:val="24"/>
          <w:szCs w:val="24"/>
        </w:rPr>
        <w:t>九、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pPr>
        <w:spacing w:line="360" w:lineRule="auto"/>
        <w:ind w:firstLine="5400" w:firstLineChars="2250"/>
        <w:jc w:val="center"/>
        <w:rPr>
          <w:rFonts w:ascii="宋体"/>
          <w:sz w:val="24"/>
          <w:szCs w:val="24"/>
        </w:rPr>
      </w:pPr>
      <w:r>
        <w:rPr>
          <w:rFonts w:hint="eastAsia" w:ascii="宋体" w:hAnsi="宋体"/>
          <w:sz w:val="24"/>
          <w:szCs w:val="24"/>
        </w:rPr>
        <w:t>台州市产权交易所有限公司</w:t>
      </w:r>
    </w:p>
    <w:p>
      <w:pPr>
        <w:spacing w:line="360" w:lineRule="auto"/>
        <w:ind w:firstLine="5400" w:firstLineChars="2250"/>
        <w:jc w:val="center"/>
        <w:rPr>
          <w:rFonts w:ascii="方正姚体" w:hAnsi="宋体" w:eastAsia="方正姚体"/>
          <w:b/>
          <w:kern w:val="0"/>
          <w:sz w:val="40"/>
        </w:rPr>
      </w:pPr>
      <w:r>
        <w:rPr>
          <w:rFonts w:hint="eastAsia" w:ascii="宋体" w:hAnsi="宋体"/>
          <w:sz w:val="24"/>
          <w:szCs w:val="24"/>
        </w:rPr>
        <w:t>二〇一八年十一月一日</w:t>
      </w:r>
      <w:r>
        <w:rPr>
          <w:rFonts w:ascii="宋体" w:hAnsi="宋体"/>
          <w:b/>
          <w:sz w:val="44"/>
          <w:szCs w:val="72"/>
        </w:rPr>
        <w:br w:type="page"/>
      </w:r>
    </w:p>
    <w:p>
      <w:pPr>
        <w:pStyle w:val="2"/>
        <w:jc w:val="center"/>
        <w:rPr>
          <w:sz w:val="32"/>
          <w:szCs w:val="32"/>
        </w:rPr>
      </w:pPr>
      <w:bookmarkStart w:id="16" w:name="_Toc528760902"/>
      <w:r>
        <w:rPr>
          <w:rFonts w:hint="eastAsia"/>
          <w:sz w:val="32"/>
          <w:szCs w:val="32"/>
        </w:rPr>
        <w:t>意向投资方资格确认通知书</w:t>
      </w:r>
      <w:bookmarkEnd w:id="16"/>
    </w:p>
    <w:p>
      <w:pPr>
        <w:rPr>
          <w:snapToGrid w:val="0"/>
          <w:kern w:val="0"/>
        </w:rPr>
      </w:pPr>
    </w:p>
    <w:p>
      <w:pPr>
        <w:rPr>
          <w:snapToGrid w:val="0"/>
          <w:kern w:val="0"/>
        </w:rPr>
      </w:pPr>
    </w:p>
    <w:p>
      <w:pPr>
        <w:spacing w:line="360" w:lineRule="auto"/>
        <w:ind w:firstLine="300"/>
        <w:rPr>
          <w:rFonts w:ascii="宋体"/>
          <w:snapToGrid w:val="0"/>
          <w:kern w:val="0"/>
          <w:sz w:val="24"/>
          <w:u w:val="single"/>
        </w:rPr>
      </w:pPr>
      <w:r>
        <w:rPr>
          <w:rFonts w:ascii="仿宋_GB2312" w:hAnsi="Tahoma" w:eastAsia="仿宋_GB2312" w:cs="Tahoma"/>
          <w:kern w:val="0"/>
          <w:sz w:val="30"/>
          <w:szCs w:val="30"/>
          <w:u w:val="single"/>
        </w:rPr>
        <w:t xml:space="preserve">                 </w:t>
      </w:r>
      <w:r>
        <w:rPr>
          <w:rFonts w:hint="eastAsia" w:ascii="仿宋_GB2312" w:hAnsi="Tahoma" w:eastAsia="仿宋_GB2312" w:cs="Tahoma"/>
          <w:kern w:val="0"/>
          <w:sz w:val="30"/>
          <w:szCs w:val="30"/>
          <w:u w:val="single"/>
        </w:rPr>
        <w:t xml:space="preserve"> </w:t>
      </w:r>
      <w:r>
        <w:rPr>
          <w:rFonts w:ascii="仿宋_GB2312" w:hAnsi="Tahoma" w:eastAsia="仿宋_GB2312" w:cs="Tahoma"/>
          <w:kern w:val="0"/>
          <w:sz w:val="30"/>
          <w:szCs w:val="30"/>
          <w:u w:val="single"/>
        </w:rPr>
        <w:t xml:space="preserve">       </w:t>
      </w:r>
      <w:r>
        <w:rPr>
          <w:rFonts w:hint="eastAsia" w:ascii="宋体" w:hAnsi="宋体"/>
          <w:snapToGrid w:val="0"/>
          <w:kern w:val="0"/>
          <w:sz w:val="24"/>
          <w:u w:val="single"/>
        </w:rPr>
        <w:t>：</w:t>
      </w:r>
    </w:p>
    <w:p>
      <w:pPr>
        <w:spacing w:line="360" w:lineRule="auto"/>
        <w:rPr>
          <w:rFonts w:ascii="仿宋_GB2312" w:hAnsi="Tahoma" w:eastAsia="仿宋_GB2312" w:cs="Tahoma"/>
          <w:kern w:val="0"/>
          <w:sz w:val="30"/>
          <w:szCs w:val="30"/>
        </w:rPr>
      </w:pPr>
    </w:p>
    <w:p>
      <w:pPr>
        <w:snapToGrid w:val="0"/>
        <w:spacing w:line="360" w:lineRule="auto"/>
        <w:ind w:firstLine="600" w:firstLineChars="200"/>
        <w:jc w:val="left"/>
        <w:rPr>
          <w:rFonts w:ascii="仿宋_GB2312" w:hAnsi="Tahoma" w:eastAsia="仿宋_GB2312" w:cs="Tahoma"/>
          <w:kern w:val="0"/>
          <w:sz w:val="30"/>
          <w:szCs w:val="30"/>
        </w:rPr>
      </w:pPr>
      <w:r>
        <w:rPr>
          <w:rFonts w:hint="eastAsia" w:ascii="仿宋_GB2312" w:hAnsi="Tahoma" w:eastAsia="仿宋_GB2312" w:cs="Tahoma"/>
          <w:kern w:val="0"/>
          <w:sz w:val="30"/>
          <w:szCs w:val="30"/>
        </w:rPr>
        <w:t>贵方拟投资浙江海晟药业有限公司增资扩股项目，根据贵方所缴的保证金</w:t>
      </w:r>
      <w:r>
        <w:rPr>
          <w:rFonts w:hint="eastAsia" w:ascii="仿宋_GB2312" w:hAnsi="Tahoma" w:eastAsia="仿宋_GB2312" w:cs="Tahoma"/>
          <w:kern w:val="0"/>
          <w:sz w:val="30"/>
          <w:szCs w:val="30"/>
          <w:u w:val="single"/>
        </w:rPr>
        <w:t>人民币8,000万元</w:t>
      </w:r>
      <w:r>
        <w:rPr>
          <w:rFonts w:hint="eastAsia" w:ascii="仿宋_GB2312" w:hAnsi="Tahoma" w:eastAsia="仿宋_GB2312" w:cs="Tahoma"/>
          <w:kern w:val="0"/>
          <w:sz w:val="30"/>
          <w:szCs w:val="30"/>
        </w:rPr>
        <w:t>，符合本次</w:t>
      </w:r>
      <w:r>
        <w:rPr>
          <w:rFonts w:hint="eastAsia" w:ascii="仿宋_GB2312" w:hAnsi="Tahoma" w:eastAsia="仿宋_GB2312" w:cs="Tahoma"/>
          <w:kern w:val="0"/>
          <w:sz w:val="30"/>
          <w:szCs w:val="30"/>
          <w:u w:val="single"/>
        </w:rPr>
        <w:t>增资</w:t>
      </w:r>
      <w:r>
        <w:rPr>
          <w:rFonts w:ascii="仿宋_GB2312" w:hAnsi="Tahoma" w:eastAsia="仿宋_GB2312" w:cs="Tahoma"/>
          <w:kern w:val="0"/>
          <w:sz w:val="30"/>
          <w:szCs w:val="30"/>
          <w:u w:val="single"/>
        </w:rPr>
        <w:t xml:space="preserve"> </w:t>
      </w:r>
      <w:r>
        <w:rPr>
          <w:rFonts w:hint="eastAsia" w:ascii="仿宋_GB2312" w:hAnsi="Tahoma" w:eastAsia="仿宋_GB2312" w:cs="Tahoma"/>
          <w:kern w:val="0"/>
          <w:sz w:val="30"/>
          <w:szCs w:val="30"/>
          <w:u w:val="single"/>
        </w:rPr>
        <w:t>12631.5789</w:t>
      </w:r>
      <w:r>
        <w:rPr>
          <w:rFonts w:ascii="仿宋_GB2312" w:hAnsi="Tahoma" w:eastAsia="仿宋_GB2312" w:cs="Tahoma"/>
          <w:kern w:val="0"/>
          <w:sz w:val="30"/>
          <w:szCs w:val="30"/>
          <w:u w:val="single"/>
        </w:rPr>
        <w:t xml:space="preserve"> </w:t>
      </w:r>
      <w:r>
        <w:rPr>
          <w:rFonts w:hint="eastAsia" w:ascii="仿宋_GB2312" w:hAnsi="Tahoma" w:eastAsia="仿宋_GB2312" w:cs="Tahoma"/>
          <w:kern w:val="0"/>
          <w:sz w:val="30"/>
          <w:szCs w:val="30"/>
          <w:u w:val="single"/>
        </w:rPr>
        <w:t>万元</w:t>
      </w:r>
      <w:r>
        <w:rPr>
          <w:rFonts w:hint="eastAsia" w:ascii="仿宋_GB2312" w:hAnsi="Tahoma" w:eastAsia="仿宋_GB2312" w:cs="Tahoma"/>
          <w:kern w:val="0"/>
          <w:sz w:val="30"/>
          <w:szCs w:val="30"/>
        </w:rPr>
        <w:t>资格条件，已经融资方审核，通知如下：</w:t>
      </w:r>
    </w:p>
    <w:p>
      <w:pPr>
        <w:spacing w:line="500" w:lineRule="atLeast"/>
        <w:ind w:firstLine="600" w:firstLineChars="200"/>
        <w:rPr>
          <w:rFonts w:ascii="仿宋_GB2312" w:hAnsi="Tahoma" w:eastAsia="仿宋_GB2312" w:cs="Tahoma"/>
          <w:kern w:val="0"/>
          <w:sz w:val="30"/>
          <w:szCs w:val="30"/>
        </w:rPr>
      </w:pPr>
      <w:r>
        <w:rPr>
          <w:rFonts w:hint="eastAsia" w:ascii="仿宋_GB2312" w:hAnsi="Tahoma" w:eastAsia="仿宋_GB2312" w:cs="Tahoma"/>
          <w:kern w:val="0"/>
          <w:sz w:val="30"/>
          <w:szCs w:val="30"/>
        </w:rPr>
        <w:t>贵方请持此《资格确认书》参加我所</w:t>
      </w:r>
      <w:r>
        <w:rPr>
          <w:rFonts w:hint="eastAsia" w:ascii="仿宋_GB2312" w:hAnsi="Tahoma" w:eastAsia="仿宋_GB2312" w:cs="Tahoma"/>
          <w:kern w:val="0"/>
          <w:sz w:val="30"/>
          <w:szCs w:val="30"/>
          <w:u w:val="single"/>
        </w:rPr>
        <w:t>于</w:t>
      </w:r>
      <w:r>
        <w:rPr>
          <w:rFonts w:ascii="仿宋_GB2312" w:hAnsi="Tahoma" w:eastAsia="仿宋_GB2312" w:cs="Tahoma"/>
          <w:kern w:val="0"/>
          <w:sz w:val="30"/>
          <w:szCs w:val="30"/>
          <w:u w:val="single"/>
        </w:rPr>
        <w:t>2018</w:t>
      </w:r>
      <w:r>
        <w:rPr>
          <w:rFonts w:hint="eastAsia" w:ascii="仿宋_GB2312" w:hAnsi="Tahoma" w:eastAsia="仿宋_GB2312" w:cs="Tahoma"/>
          <w:kern w:val="0"/>
          <w:sz w:val="30"/>
          <w:szCs w:val="30"/>
          <w:u w:val="single"/>
        </w:rPr>
        <w:t>年</w:t>
      </w:r>
      <w:r>
        <w:rPr>
          <w:rFonts w:ascii="仿宋_GB2312" w:hAnsi="Tahoma" w:eastAsia="仿宋_GB2312" w:cs="Tahoma"/>
          <w:kern w:val="0"/>
          <w:sz w:val="30"/>
          <w:szCs w:val="30"/>
          <w:u w:val="single"/>
        </w:rPr>
        <w:t>1</w:t>
      </w:r>
      <w:r>
        <w:rPr>
          <w:rFonts w:hint="eastAsia" w:ascii="仿宋_GB2312" w:hAnsi="Tahoma" w:eastAsia="仿宋_GB2312" w:cs="Tahoma"/>
          <w:kern w:val="0"/>
          <w:sz w:val="30"/>
          <w:szCs w:val="30"/>
          <w:u w:val="single"/>
        </w:rPr>
        <w:t>2月</w:t>
      </w:r>
      <w:r>
        <w:rPr>
          <w:rFonts w:ascii="仿宋_GB2312" w:hAnsi="Tahoma" w:eastAsia="仿宋_GB2312" w:cs="Tahoma"/>
          <w:kern w:val="0"/>
          <w:sz w:val="30"/>
          <w:szCs w:val="30"/>
          <w:u w:val="single"/>
        </w:rPr>
        <w:t>2</w:t>
      </w:r>
      <w:r>
        <w:rPr>
          <w:rFonts w:hint="eastAsia" w:ascii="仿宋_GB2312" w:hAnsi="Tahoma" w:eastAsia="仿宋_GB2312" w:cs="Tahoma"/>
          <w:kern w:val="0"/>
          <w:sz w:val="30"/>
          <w:szCs w:val="30"/>
          <w:u w:val="single"/>
        </w:rPr>
        <w:t>7日</w:t>
      </w:r>
      <w:r>
        <w:rPr>
          <w:rFonts w:ascii="仿宋_GB2312" w:hAnsi="Tahoma" w:eastAsia="仿宋_GB2312" w:cs="Tahoma"/>
          <w:kern w:val="0"/>
          <w:sz w:val="30"/>
          <w:szCs w:val="30"/>
          <w:u w:val="single"/>
        </w:rPr>
        <w:t>(</w:t>
      </w:r>
      <w:r>
        <w:rPr>
          <w:rFonts w:hint="eastAsia" w:ascii="仿宋_GB2312" w:hAnsi="Tahoma" w:eastAsia="仿宋_GB2312" w:cs="Tahoma"/>
          <w:kern w:val="0"/>
          <w:sz w:val="30"/>
          <w:szCs w:val="30"/>
          <w:u w:val="single"/>
        </w:rPr>
        <w:t>星期四</w:t>
      </w:r>
      <w:r>
        <w:rPr>
          <w:rFonts w:ascii="仿宋_GB2312" w:hAnsi="Tahoma" w:eastAsia="仿宋_GB2312" w:cs="Tahoma"/>
          <w:kern w:val="0"/>
          <w:sz w:val="30"/>
          <w:szCs w:val="30"/>
          <w:u w:val="single"/>
        </w:rPr>
        <w:t>)</w:t>
      </w:r>
      <w:r>
        <w:rPr>
          <w:rFonts w:hint="eastAsia" w:ascii="仿宋_GB2312" w:hAnsi="Tahoma" w:eastAsia="仿宋_GB2312" w:cs="Tahoma"/>
          <w:kern w:val="0"/>
          <w:sz w:val="30"/>
          <w:szCs w:val="30"/>
          <w:u w:val="single"/>
        </w:rPr>
        <w:t>上午9：30时</w:t>
      </w:r>
      <w:r>
        <w:rPr>
          <w:rFonts w:hint="eastAsia" w:ascii="仿宋_GB2312" w:hAnsi="Tahoma" w:eastAsia="仿宋_GB2312" w:cs="Tahoma"/>
          <w:kern w:val="0"/>
          <w:sz w:val="30"/>
          <w:szCs w:val="30"/>
        </w:rPr>
        <w:t>，在台州市产权交易所</w:t>
      </w:r>
      <w:bookmarkStart w:id="17" w:name="dizhi"/>
      <w:r>
        <w:rPr>
          <w:rFonts w:hint="eastAsia" w:ascii="仿宋_GB2312" w:hAnsi="Tahoma" w:eastAsia="仿宋_GB2312" w:cs="Tahoma"/>
          <w:kern w:val="0"/>
          <w:sz w:val="30"/>
          <w:szCs w:val="30"/>
        </w:rPr>
        <w:t>（台州市市府大道777号浙江民泰商业银行三楼三号开标室）</w:t>
      </w:r>
      <w:bookmarkEnd w:id="17"/>
      <w:r>
        <w:rPr>
          <w:rFonts w:hint="eastAsia" w:ascii="仿宋_GB2312" w:hAnsi="Tahoma" w:eastAsia="仿宋_GB2312" w:cs="Tahoma"/>
          <w:kern w:val="0"/>
          <w:sz w:val="30"/>
          <w:szCs w:val="30"/>
        </w:rPr>
        <w:t>举行的浙江海晟药业有限公司新增12631.5789万元注册资本项目活动。</w:t>
      </w:r>
    </w:p>
    <w:p>
      <w:pPr>
        <w:snapToGrid w:val="0"/>
        <w:spacing w:line="360" w:lineRule="auto"/>
        <w:ind w:firstLine="600" w:firstLineChars="200"/>
        <w:rPr>
          <w:rFonts w:ascii="仿宋_GB2312" w:hAnsi="Tahoma" w:eastAsia="仿宋_GB2312" w:cs="Tahoma"/>
          <w:kern w:val="0"/>
          <w:sz w:val="30"/>
          <w:szCs w:val="30"/>
        </w:rPr>
      </w:pPr>
    </w:p>
    <w:p>
      <w:pPr>
        <w:snapToGrid w:val="0"/>
        <w:spacing w:line="360" w:lineRule="auto"/>
        <w:ind w:firstLine="600" w:firstLineChars="200"/>
        <w:rPr>
          <w:rFonts w:ascii="仿宋_GB2312" w:hAnsi="Tahoma" w:eastAsia="仿宋_GB2312" w:cs="Tahoma"/>
          <w:kern w:val="0"/>
          <w:sz w:val="30"/>
          <w:szCs w:val="30"/>
        </w:rPr>
      </w:pPr>
      <w:r>
        <w:rPr>
          <w:rFonts w:hint="eastAsia" w:ascii="仿宋_GB2312" w:hAnsi="Tahoma" w:eastAsia="仿宋_GB2312" w:cs="Tahoma"/>
          <w:kern w:val="0"/>
          <w:sz w:val="30"/>
          <w:szCs w:val="30"/>
        </w:rPr>
        <w:t>特此通知。</w:t>
      </w:r>
    </w:p>
    <w:p>
      <w:pPr>
        <w:snapToGrid w:val="0"/>
        <w:spacing w:line="360" w:lineRule="auto"/>
        <w:ind w:firstLine="600" w:firstLineChars="200"/>
        <w:rPr>
          <w:rFonts w:ascii="宋体"/>
          <w:snapToGrid w:val="0"/>
          <w:kern w:val="0"/>
          <w:sz w:val="30"/>
          <w:szCs w:val="30"/>
        </w:rPr>
      </w:pPr>
    </w:p>
    <w:p>
      <w:pPr>
        <w:snapToGrid w:val="0"/>
        <w:spacing w:line="360" w:lineRule="auto"/>
        <w:ind w:firstLine="600" w:firstLineChars="200"/>
        <w:rPr>
          <w:rFonts w:ascii="宋体"/>
          <w:snapToGrid w:val="0"/>
          <w:kern w:val="0"/>
          <w:sz w:val="30"/>
          <w:szCs w:val="30"/>
        </w:rPr>
      </w:pPr>
    </w:p>
    <w:p>
      <w:pPr>
        <w:snapToGrid w:val="0"/>
        <w:spacing w:line="360" w:lineRule="auto"/>
        <w:ind w:firstLine="435"/>
        <w:jc w:val="center"/>
        <w:rPr>
          <w:rFonts w:ascii="宋体"/>
          <w:snapToGrid w:val="0"/>
          <w:kern w:val="0"/>
          <w:sz w:val="30"/>
          <w:szCs w:val="30"/>
        </w:rPr>
      </w:pPr>
      <w:r>
        <w:rPr>
          <w:rFonts w:ascii="宋体" w:hAnsi="宋体"/>
          <w:snapToGrid w:val="0"/>
          <w:kern w:val="0"/>
          <w:sz w:val="30"/>
          <w:szCs w:val="30"/>
        </w:rPr>
        <w:t xml:space="preserve">                       </w:t>
      </w:r>
      <w:r>
        <w:rPr>
          <w:rFonts w:hint="eastAsia" w:ascii="宋体" w:hAnsi="宋体"/>
          <w:snapToGrid w:val="0"/>
          <w:kern w:val="0"/>
          <w:sz w:val="30"/>
          <w:szCs w:val="30"/>
        </w:rPr>
        <w:t>产权交易机构（盖章）</w:t>
      </w:r>
    </w:p>
    <w:p>
      <w:pPr>
        <w:snapToGrid w:val="0"/>
        <w:spacing w:line="360" w:lineRule="auto"/>
        <w:ind w:firstLine="435"/>
        <w:rPr>
          <w:rFonts w:ascii="宋体"/>
          <w:snapToGrid w:val="0"/>
          <w:kern w:val="0"/>
          <w:sz w:val="30"/>
          <w:szCs w:val="30"/>
        </w:rPr>
      </w:pPr>
    </w:p>
    <w:p>
      <w:pPr>
        <w:snapToGrid w:val="0"/>
        <w:spacing w:line="360" w:lineRule="auto"/>
        <w:ind w:firstLine="6465" w:firstLineChars="2155"/>
        <w:rPr>
          <w:rFonts w:ascii="宋体"/>
          <w:snapToGrid w:val="0"/>
          <w:kern w:val="0"/>
          <w:sz w:val="30"/>
          <w:szCs w:val="30"/>
        </w:rPr>
      </w:pPr>
      <w:r>
        <w:rPr>
          <w:rFonts w:hint="eastAsia" w:ascii="宋体" w:hAnsi="宋体"/>
          <w:snapToGrid w:val="0"/>
          <w:kern w:val="0"/>
          <w:sz w:val="30"/>
          <w:szCs w:val="30"/>
        </w:rPr>
        <w:t>年</w:t>
      </w:r>
      <w:r>
        <w:rPr>
          <w:rFonts w:ascii="宋体" w:hAnsi="宋体"/>
          <w:snapToGrid w:val="0"/>
          <w:kern w:val="0"/>
          <w:sz w:val="30"/>
          <w:szCs w:val="30"/>
        </w:rPr>
        <w:t xml:space="preserve">  </w:t>
      </w:r>
      <w:r>
        <w:rPr>
          <w:rFonts w:hint="eastAsia" w:ascii="宋体" w:hAnsi="宋体"/>
          <w:snapToGrid w:val="0"/>
          <w:kern w:val="0"/>
          <w:sz w:val="30"/>
          <w:szCs w:val="30"/>
        </w:rPr>
        <w:t>月</w:t>
      </w:r>
      <w:r>
        <w:rPr>
          <w:rFonts w:ascii="宋体" w:hAnsi="宋体"/>
          <w:snapToGrid w:val="0"/>
          <w:kern w:val="0"/>
          <w:sz w:val="30"/>
          <w:szCs w:val="30"/>
        </w:rPr>
        <w:t xml:space="preserve">   </w:t>
      </w:r>
      <w:r>
        <w:rPr>
          <w:rFonts w:hint="eastAsia" w:ascii="宋体" w:hAnsi="宋体"/>
          <w:snapToGrid w:val="0"/>
          <w:kern w:val="0"/>
          <w:sz w:val="30"/>
          <w:szCs w:val="30"/>
        </w:rPr>
        <w:t>日</w:t>
      </w:r>
    </w:p>
    <w:p>
      <w:pPr>
        <w:spacing w:line="500" w:lineRule="atLeast"/>
        <w:ind w:firstLine="1084" w:firstLineChars="450"/>
        <w:jc w:val="center"/>
        <w:rPr>
          <w:rFonts w:ascii="宋体"/>
          <w:b/>
          <w:sz w:val="24"/>
          <w:szCs w:val="24"/>
        </w:rPr>
      </w:pPr>
    </w:p>
    <w:p>
      <w:pPr>
        <w:spacing w:line="500" w:lineRule="atLeast"/>
        <w:rPr>
          <w:rFonts w:ascii="宋体"/>
          <w:b/>
          <w:sz w:val="24"/>
          <w:szCs w:val="24"/>
        </w:rPr>
      </w:pPr>
    </w:p>
    <w:p>
      <w:pPr>
        <w:pStyle w:val="2"/>
        <w:jc w:val="center"/>
        <w:rPr>
          <w:sz w:val="32"/>
          <w:szCs w:val="32"/>
        </w:rPr>
      </w:pPr>
      <w:r>
        <w:rPr>
          <w:rFonts w:ascii="宋体" w:hAnsi="宋体"/>
          <w:b w:val="0"/>
          <w:sz w:val="24"/>
          <w:szCs w:val="24"/>
        </w:rPr>
        <w:br w:type="page"/>
      </w:r>
      <w:bookmarkStart w:id="18" w:name="_Toc528760903"/>
      <w:r>
        <w:rPr>
          <w:rFonts w:hint="eastAsia"/>
          <w:sz w:val="32"/>
          <w:szCs w:val="32"/>
        </w:rPr>
        <w:t>增资认购报价单</w:t>
      </w:r>
      <w:bookmarkEnd w:id="18"/>
    </w:p>
    <w:p>
      <w:pPr>
        <w:spacing w:line="500" w:lineRule="atLeast"/>
        <w:rPr>
          <w:rFonts w:ascii="宋体"/>
          <w:sz w:val="24"/>
          <w:szCs w:val="24"/>
        </w:rPr>
      </w:pPr>
    </w:p>
    <w:p>
      <w:pPr>
        <w:spacing w:line="520" w:lineRule="exact"/>
        <w:ind w:firstLine="480" w:firstLineChars="200"/>
        <w:rPr>
          <w:rFonts w:ascii="宋体" w:hAnsi="宋体"/>
          <w:sz w:val="24"/>
          <w:szCs w:val="24"/>
        </w:rPr>
      </w:pPr>
      <w:r>
        <w:rPr>
          <w:rFonts w:hint="eastAsia" w:ascii="宋体" w:hAnsi="宋体"/>
          <w:sz w:val="24"/>
          <w:szCs w:val="24"/>
        </w:rPr>
        <w:t>台州市产权交易所有限公司：</w:t>
      </w:r>
    </w:p>
    <w:p>
      <w:pPr>
        <w:pStyle w:val="5"/>
        <w:numPr>
          <w:ilvl w:val="0"/>
          <w:numId w:val="6"/>
        </w:numPr>
        <w:spacing w:line="520" w:lineRule="exact"/>
        <w:ind w:left="0" w:firstLine="480"/>
        <w:rPr>
          <w:rFonts w:ascii="宋体" w:hAnsi="宋体" w:eastAsia="宋体"/>
          <w:sz w:val="24"/>
        </w:rPr>
      </w:pPr>
      <w:r>
        <w:rPr>
          <w:rFonts w:hint="eastAsia" w:ascii="宋体" w:hAnsi="宋体" w:eastAsia="宋体"/>
          <w:sz w:val="24"/>
        </w:rPr>
        <w:t>经认真阅读编号为台交所挂【2018】30号《浙江海晟药业有限公司新增12631.5789万元注册资本项目文件》，我方已充分知悉和理解该增资扩股项目情况及相关风险，同意按照台州市产权交易所规则和公告的投资方择优选择程序参与本次增资认购活动，并接受程序选择结果和承担由此产生的一切后果。在此过程中，如我方有违法违规行为，我方愿意承担相应法律责任，并赔偿相关方损失，包括扣除已缴纳的保证金和承担违约责任等。我方对此次增资报价为：</w:t>
      </w:r>
    </w:p>
    <w:p>
      <w:pPr>
        <w:pStyle w:val="5"/>
        <w:spacing w:line="520" w:lineRule="exact"/>
        <w:ind w:firstLine="480"/>
        <w:rPr>
          <w:rFonts w:ascii="宋体" w:hAnsi="宋体" w:eastAsia="宋体"/>
          <w:sz w:val="24"/>
          <w:u w:val="single"/>
        </w:rPr>
      </w:pPr>
      <w:r>
        <w:rPr>
          <w:rFonts w:hint="eastAsia" w:ascii="宋体" w:hAnsi="宋体" w:eastAsia="宋体"/>
          <w:sz w:val="24"/>
          <w:u w:val="single"/>
        </w:rPr>
        <w:t>报价：增资额 12631.5789   万元，单价            元/股（人民币）。（应当明确所认购12631.5789万元注册资本，报价不得低于每股的起始价格6.3333元人民币。）</w:t>
      </w:r>
    </w:p>
    <w:p>
      <w:pPr>
        <w:pStyle w:val="7"/>
        <w:spacing w:after="0" w:line="520" w:lineRule="exact"/>
        <w:ind w:leftChars="0" w:firstLine="480" w:firstLineChars="200"/>
        <w:rPr>
          <w:rFonts w:ascii="宋体" w:hAnsi="宋体"/>
          <w:sz w:val="24"/>
        </w:rPr>
      </w:pPr>
      <w:r>
        <w:rPr>
          <w:rFonts w:hint="eastAsia" w:ascii="宋体" w:hAnsi="宋体"/>
          <w:sz w:val="24"/>
        </w:rPr>
        <w:t>二、一旦我方有幸成为最终投资方，我方保证：</w:t>
      </w:r>
    </w:p>
    <w:p>
      <w:pPr>
        <w:pStyle w:val="7"/>
        <w:spacing w:after="0" w:line="520" w:lineRule="exact"/>
        <w:ind w:left="0" w:leftChars="0" w:firstLine="480" w:firstLineChars="200"/>
        <w:rPr>
          <w:rFonts w:ascii="宋体" w:hAnsi="宋体"/>
          <w:sz w:val="24"/>
        </w:rPr>
      </w:pPr>
      <w:r>
        <w:rPr>
          <w:rFonts w:hint="eastAsia" w:ascii="宋体" w:hAnsi="宋体"/>
          <w:sz w:val="24"/>
        </w:rPr>
        <w:t>1、当场签订《增资确认书》和《增资协议》；</w:t>
      </w:r>
    </w:p>
    <w:p>
      <w:pPr>
        <w:pStyle w:val="7"/>
        <w:spacing w:after="0" w:line="520" w:lineRule="exact"/>
        <w:ind w:left="0" w:leftChars="0" w:firstLine="480" w:firstLineChars="200"/>
        <w:rPr>
          <w:rFonts w:ascii="宋体" w:hAnsi="宋体"/>
          <w:sz w:val="24"/>
        </w:rPr>
      </w:pPr>
      <w:r>
        <w:rPr>
          <w:rFonts w:hint="eastAsia" w:ascii="宋体" w:hAnsi="宋体"/>
          <w:sz w:val="24"/>
        </w:rPr>
        <w:t>2、如只有我方一家报名并经确认后，我方接受本《增资认购报价单》报价作为成交价。</w:t>
      </w:r>
    </w:p>
    <w:p>
      <w:pPr>
        <w:spacing w:line="520" w:lineRule="exact"/>
        <w:ind w:right="105" w:rightChars="50" w:firstLine="480" w:firstLineChars="200"/>
        <w:jc w:val="left"/>
        <w:rPr>
          <w:rFonts w:ascii="宋体" w:hAnsi="宋体"/>
          <w:sz w:val="24"/>
          <w:szCs w:val="24"/>
        </w:rPr>
      </w:pPr>
      <w:r>
        <w:rPr>
          <w:rFonts w:hint="eastAsia" w:ascii="宋体" w:hAnsi="宋体"/>
          <w:sz w:val="24"/>
          <w:szCs w:val="24"/>
        </w:rPr>
        <w:t>3、如有两家或两家以上报名的，我方愿意按增资文件规定采取竞价方式确定最终投资方。</w:t>
      </w:r>
    </w:p>
    <w:p>
      <w:pPr>
        <w:pStyle w:val="7"/>
        <w:spacing w:after="0" w:line="520" w:lineRule="exact"/>
        <w:ind w:left="0" w:leftChars="0" w:firstLine="480" w:firstLineChars="200"/>
        <w:rPr>
          <w:rFonts w:ascii="宋体" w:hAnsi="宋体"/>
          <w:sz w:val="24"/>
        </w:rPr>
      </w:pPr>
      <w:r>
        <w:rPr>
          <w:rFonts w:hint="eastAsia" w:ascii="宋体" w:hAnsi="宋体"/>
          <w:sz w:val="24"/>
        </w:rPr>
        <w:t>4、成交后二个工作日内一次性支付全部投资款及0.2%服务费并所支付的资金来源合法。</w:t>
      </w:r>
    </w:p>
    <w:p>
      <w:pPr>
        <w:pStyle w:val="7"/>
        <w:spacing w:after="0" w:line="520" w:lineRule="exact"/>
        <w:ind w:left="0" w:leftChars="0" w:firstLine="480" w:firstLineChars="200"/>
        <w:rPr>
          <w:rFonts w:ascii="宋体" w:hAnsi="宋体"/>
          <w:sz w:val="24"/>
        </w:rPr>
      </w:pPr>
      <w:r>
        <w:rPr>
          <w:rFonts w:hint="eastAsia" w:ascii="宋体" w:hAnsi="宋体"/>
          <w:sz w:val="24"/>
        </w:rPr>
        <w:t>5、自愿接受该项目公告所有内容和增资认购的全部要求和条件。</w:t>
      </w:r>
    </w:p>
    <w:p>
      <w:pPr>
        <w:pStyle w:val="7"/>
        <w:spacing w:after="0" w:line="520" w:lineRule="exact"/>
        <w:ind w:left="0" w:leftChars="0" w:right="640" w:firstLine="5520" w:firstLineChars="2300"/>
        <w:rPr>
          <w:rFonts w:ascii="宋体" w:hAnsi="宋体"/>
          <w:sz w:val="24"/>
        </w:rPr>
      </w:pPr>
      <w:r>
        <w:rPr>
          <w:rFonts w:hint="eastAsia" w:ascii="宋体" w:hAnsi="宋体"/>
          <w:sz w:val="24"/>
        </w:rPr>
        <w:t>竞买方(盖章)：</w:t>
      </w:r>
    </w:p>
    <w:p>
      <w:pPr>
        <w:pStyle w:val="7"/>
        <w:spacing w:after="0" w:line="520" w:lineRule="exact"/>
        <w:ind w:left="0" w:leftChars="0" w:right="640" w:firstLine="5520" w:firstLineChars="2300"/>
        <w:rPr>
          <w:rFonts w:ascii="宋体" w:hAnsi="宋体"/>
          <w:sz w:val="24"/>
        </w:rPr>
      </w:pPr>
      <w:r>
        <w:rPr>
          <w:rFonts w:hint="eastAsia" w:ascii="宋体" w:hAnsi="宋体"/>
          <w:sz w:val="24"/>
        </w:rPr>
        <w:t>代表人（签字）：</w:t>
      </w:r>
    </w:p>
    <w:p>
      <w:pPr>
        <w:pStyle w:val="7"/>
        <w:spacing w:after="0" w:line="520" w:lineRule="exact"/>
        <w:ind w:left="0" w:leftChars="0" w:right="640" w:firstLine="5520" w:firstLineChars="2300"/>
        <w:rPr>
          <w:rFonts w:ascii="宋体" w:hAnsi="宋体"/>
          <w:sz w:val="24"/>
        </w:rPr>
      </w:pPr>
      <w:r>
        <w:rPr>
          <w:rFonts w:hint="eastAsia" w:ascii="宋体" w:hAnsi="宋体"/>
          <w:sz w:val="24"/>
        </w:rPr>
        <w:t>联系电话：</w:t>
      </w:r>
    </w:p>
    <w:p>
      <w:pPr>
        <w:spacing w:line="520" w:lineRule="exact"/>
        <w:ind w:right="960" w:firstLine="5520" w:firstLineChars="2300"/>
        <w:rPr>
          <w:rFonts w:ascii="宋体"/>
          <w:b/>
          <w:spacing w:val="12"/>
          <w:sz w:val="36"/>
          <w:szCs w:val="36"/>
        </w:rPr>
      </w:pPr>
      <w:r>
        <w:rPr>
          <w:rFonts w:hint="eastAsia" w:ascii="宋体" w:hAnsi="宋体"/>
          <w:sz w:val="24"/>
          <w:szCs w:val="24"/>
        </w:rPr>
        <w:t xml:space="preserve">二〇一八年  月   日 </w:t>
      </w:r>
      <w:r>
        <w:rPr>
          <w:rFonts w:ascii="宋体" w:hAnsi="宋体" w:cs="Tahoma"/>
          <w:kern w:val="0"/>
          <w:sz w:val="24"/>
          <w:szCs w:val="24"/>
        </w:rPr>
        <w:br w:type="page"/>
      </w:r>
    </w:p>
    <w:p>
      <w:pPr>
        <w:pStyle w:val="2"/>
        <w:jc w:val="center"/>
        <w:rPr>
          <w:sz w:val="32"/>
          <w:szCs w:val="32"/>
        </w:rPr>
      </w:pPr>
      <w:bookmarkStart w:id="19" w:name="_Toc528760904"/>
      <w:r>
        <w:rPr>
          <w:rFonts w:hint="eastAsia"/>
          <w:sz w:val="32"/>
          <w:szCs w:val="32"/>
        </w:rPr>
        <w:t>书面竞价规则</w:t>
      </w:r>
      <w:bookmarkEnd w:id="19"/>
    </w:p>
    <w:p>
      <w:pPr>
        <w:spacing w:line="360" w:lineRule="auto"/>
        <w:ind w:firstLine="480" w:firstLineChars="200"/>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受浙江海晟药业有限公司的委托，台州市产权交易所就浙江海晟药业有限公司新增12631.5789万元注册资本进行公开竞价活动，特制定本次书面竞价规则：</w:t>
      </w:r>
    </w:p>
    <w:p>
      <w:pPr>
        <w:numPr>
          <w:ilvl w:val="0"/>
          <w:numId w:val="7"/>
        </w:numPr>
        <w:spacing w:line="360" w:lineRule="auto"/>
        <w:rPr>
          <w:rFonts w:ascii="宋体" w:hAnsi="宋体" w:cs="宋体"/>
          <w:kern w:val="0"/>
          <w:sz w:val="24"/>
          <w:szCs w:val="24"/>
          <w:shd w:val="clear" w:color="auto" w:fill="FFFFFF"/>
        </w:rPr>
      </w:pPr>
      <w:r>
        <w:rPr>
          <w:rFonts w:hint="eastAsia" w:ascii="宋体" w:hAnsi="宋体" w:cs="宋体"/>
          <w:sz w:val="24"/>
          <w:szCs w:val="24"/>
        </w:rPr>
        <w:t>2018年12月27日(星期四)9：30时</w:t>
      </w:r>
      <w:r>
        <w:rPr>
          <w:rFonts w:hint="eastAsia" w:ascii="宋体" w:hAnsi="宋体" w:cs="宋体"/>
          <w:kern w:val="0"/>
          <w:sz w:val="24"/>
          <w:szCs w:val="24"/>
          <w:shd w:val="clear" w:color="auto" w:fill="FFFFFF"/>
        </w:rPr>
        <w:t>前，各意向投资方凭《</w:t>
      </w:r>
      <w:r>
        <w:rPr>
          <w:rFonts w:hint="eastAsia" w:ascii="宋体" w:hAnsi="宋体" w:cs="宋体"/>
          <w:sz w:val="24"/>
          <w:szCs w:val="24"/>
        </w:rPr>
        <w:t>意向投资方资格确认通知书</w:t>
      </w:r>
      <w:r>
        <w:rPr>
          <w:rFonts w:hint="eastAsia" w:ascii="宋体" w:hAnsi="宋体" w:cs="宋体"/>
          <w:kern w:val="0"/>
          <w:sz w:val="24"/>
          <w:szCs w:val="24"/>
          <w:shd w:val="clear" w:color="auto" w:fill="FFFFFF"/>
        </w:rPr>
        <w:t>》和身份证到在台州市公共资源交易中心三楼三号开标室（地址：台州市市府大道777号浙江民泰商业银行三楼）签到。</w:t>
      </w:r>
    </w:p>
    <w:p>
      <w:pPr>
        <w:numPr>
          <w:ilvl w:val="0"/>
          <w:numId w:val="7"/>
        </w:numPr>
        <w:spacing w:line="360" w:lineRule="auto"/>
        <w:rPr>
          <w:rFonts w:ascii="宋体" w:hAnsi="宋体" w:cs="宋体"/>
          <w:kern w:val="0"/>
          <w:sz w:val="24"/>
          <w:szCs w:val="24"/>
          <w:shd w:val="clear" w:color="auto" w:fill="FFFFFF"/>
        </w:rPr>
      </w:pPr>
      <w:r>
        <w:rPr>
          <w:rFonts w:hint="eastAsia" w:ascii="宋体" w:hAnsi="宋体" w:cs="宋体"/>
          <w:sz w:val="24"/>
          <w:szCs w:val="24"/>
        </w:rPr>
        <w:t>2018年12月27日(星期四)9：30时</w:t>
      </w:r>
      <w:r>
        <w:rPr>
          <w:rFonts w:hint="eastAsia" w:ascii="宋体" w:hAnsi="宋体" w:cs="宋体"/>
          <w:kern w:val="0"/>
          <w:sz w:val="24"/>
          <w:szCs w:val="24"/>
          <w:shd w:val="clear" w:color="auto" w:fill="FFFFFF"/>
        </w:rPr>
        <w:t>，由主持人宣布进入现场书面竞价程序。</w:t>
      </w:r>
    </w:p>
    <w:p>
      <w:pPr>
        <w:numPr>
          <w:ilvl w:val="0"/>
          <w:numId w:val="7"/>
        </w:numPr>
        <w:spacing w:line="360" w:lineRule="auto"/>
        <w:rPr>
          <w:rFonts w:ascii="宋体" w:hAnsi="宋体" w:cs="宋体"/>
          <w:b/>
          <w:bCs/>
          <w:kern w:val="0"/>
          <w:sz w:val="24"/>
          <w:szCs w:val="24"/>
          <w:shd w:val="clear" w:color="auto" w:fill="FFFFFF"/>
        </w:rPr>
      </w:pPr>
      <w:r>
        <w:rPr>
          <w:rFonts w:hint="eastAsia" w:ascii="宋体" w:hAnsi="宋体" w:cs="宋体"/>
          <w:b/>
          <w:bCs/>
          <w:kern w:val="0"/>
          <w:sz w:val="24"/>
          <w:szCs w:val="24"/>
          <w:shd w:val="clear" w:color="auto" w:fill="FFFFFF"/>
        </w:rPr>
        <w:t>书面竞价规则</w:t>
      </w:r>
    </w:p>
    <w:p>
      <w:pPr>
        <w:numPr>
          <w:ilvl w:val="0"/>
          <w:numId w:val="8"/>
        </w:numPr>
        <w:spacing w:line="360" w:lineRule="auto"/>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书面竞价按“轮”次进行。每一轮次报价时间为3分钟。在主持人宣布报价开始后，监督人员开始计时；满3分钟时，由主持人宣布本轮次报价截止；在本轮次已接受有效报价后，主持人可以根据现场情况，宣布提前进入下一轮的书面竞价。</w:t>
      </w:r>
    </w:p>
    <w:p>
      <w:pPr>
        <w:numPr>
          <w:ilvl w:val="0"/>
          <w:numId w:val="8"/>
        </w:numPr>
        <w:spacing w:line="360" w:lineRule="auto"/>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各竞价方应在3分钟内填写报价单，并递交给监督人员，由监督人员按递交的先后顺序编号，经审核人审核为有效报价后，由主持人当场报出本轮次最高有效报价。经审核人审核为无效报价的，竞价方可以在本轮次规定时间未结束前重新提交报价单。</w:t>
      </w:r>
    </w:p>
    <w:p>
      <w:pPr>
        <w:numPr>
          <w:ilvl w:val="0"/>
          <w:numId w:val="8"/>
        </w:numPr>
        <w:spacing w:line="360" w:lineRule="auto"/>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在同一轮次内出现两家或两家以上相同最高有效报价的，按递交的先后顺序确定，先行递交的竞价方即为本轮次的最高竞得方。</w:t>
      </w:r>
    </w:p>
    <w:p>
      <w:pPr>
        <w:numPr>
          <w:ilvl w:val="0"/>
          <w:numId w:val="8"/>
        </w:numPr>
        <w:spacing w:line="360" w:lineRule="auto"/>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从第二轮开始，每一轮报价应高于前一轮最高有效报价，且高出的数额应按照规则规定的加价幅度或由主持人根据现场报价情况调整的加价幅度。（第一轮报价以公告起始价为底价，以后每轮报价均以上一轮的最高有效报价加规定加价幅度为底价）。</w:t>
      </w:r>
    </w:p>
    <w:p>
      <w:pPr>
        <w:numPr>
          <w:ilvl w:val="0"/>
          <w:numId w:val="8"/>
        </w:numPr>
        <w:spacing w:line="360" w:lineRule="auto"/>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在新一轮报价3分钟内无竞价方报价的，则由主持人宣布书面竞价结束，上一轮的最高有效报价及报价方为本项目的成交价及成交方。</w:t>
      </w:r>
    </w:p>
    <w:p>
      <w:pPr>
        <w:tabs>
          <w:tab w:val="left" w:pos="0"/>
        </w:tabs>
        <w:spacing w:line="360" w:lineRule="auto"/>
        <w:ind w:firstLine="400" w:firstLineChars="166"/>
        <w:rPr>
          <w:rFonts w:ascii="宋体" w:hAnsi="宋体" w:cs="宋体"/>
          <w:b/>
          <w:bCs/>
          <w:kern w:val="0"/>
          <w:sz w:val="24"/>
          <w:szCs w:val="24"/>
          <w:shd w:val="clear" w:color="auto" w:fill="FFFFFF"/>
        </w:rPr>
      </w:pPr>
      <w:r>
        <w:rPr>
          <w:rFonts w:hint="eastAsia" w:ascii="宋体" w:hAnsi="宋体" w:cs="宋体"/>
          <w:b/>
          <w:bCs/>
          <w:kern w:val="0"/>
          <w:sz w:val="24"/>
          <w:szCs w:val="24"/>
          <w:shd w:val="clear" w:color="auto" w:fill="FFFFFF"/>
        </w:rPr>
        <w:t>（各意向投资方必须参加每轮的报价，如果在其中一轮报价中未参加的，即丧失下面轮次的报价资格。但上一轮的最高竞得方可以选择参加或者不参加下一轮的报价。）</w:t>
      </w:r>
    </w:p>
    <w:p>
      <w:pPr>
        <w:numPr>
          <w:ilvl w:val="0"/>
          <w:numId w:val="8"/>
        </w:numPr>
        <w:spacing w:line="360" w:lineRule="auto"/>
        <w:rPr>
          <w:rFonts w:ascii="宋体" w:hAnsi="宋体" w:cs="宋体"/>
          <w:sz w:val="24"/>
        </w:rPr>
      </w:pPr>
      <w:r>
        <w:rPr>
          <w:rFonts w:hint="eastAsia" w:ascii="宋体" w:hAnsi="宋体" w:cs="宋体"/>
          <w:sz w:val="24"/>
        </w:rPr>
        <w:t>有下列情形之一的，为无效报价书：</w:t>
      </w:r>
    </w:p>
    <w:p>
      <w:pPr>
        <w:spacing w:line="360" w:lineRule="auto"/>
        <w:ind w:firstLine="480" w:firstLineChars="200"/>
        <w:rPr>
          <w:rFonts w:ascii="宋体" w:hAnsi="宋体" w:cs="宋体"/>
          <w:sz w:val="24"/>
        </w:rPr>
      </w:pPr>
      <w:r>
        <w:rPr>
          <w:rFonts w:hint="eastAsia" w:ascii="宋体" w:hAnsi="宋体" w:cs="宋体"/>
          <w:sz w:val="24"/>
        </w:rPr>
        <w:t>（一）未按加价幅度的有关规定报价的；</w:t>
      </w:r>
    </w:p>
    <w:p>
      <w:pPr>
        <w:spacing w:line="360" w:lineRule="auto"/>
        <w:ind w:firstLine="480" w:firstLineChars="200"/>
        <w:rPr>
          <w:rFonts w:ascii="宋体" w:hAnsi="宋体" w:cs="宋体"/>
          <w:sz w:val="24"/>
        </w:rPr>
      </w:pPr>
      <w:r>
        <w:rPr>
          <w:rFonts w:hint="eastAsia" w:ascii="宋体" w:hAnsi="宋体" w:cs="宋体"/>
          <w:sz w:val="24"/>
        </w:rPr>
        <w:t>（二）报价书未经竞价方签名的，或虽经委托代理人签名，但委托文件不齐全或不符合规定的；</w:t>
      </w:r>
    </w:p>
    <w:p>
      <w:pPr>
        <w:spacing w:line="360" w:lineRule="auto"/>
        <w:ind w:firstLine="480" w:firstLineChars="200"/>
        <w:rPr>
          <w:rFonts w:ascii="宋体" w:hAnsi="宋体" w:cs="宋体"/>
          <w:sz w:val="24"/>
        </w:rPr>
      </w:pPr>
      <w:r>
        <w:rPr>
          <w:rFonts w:hint="eastAsia" w:ascii="宋体" w:hAnsi="宋体" w:cs="宋体"/>
          <w:sz w:val="24"/>
        </w:rPr>
        <w:t>（三）报价书内容未填写齐全或未按规定的格式填写清楚的；</w:t>
      </w:r>
    </w:p>
    <w:p>
      <w:pPr>
        <w:spacing w:line="360" w:lineRule="auto"/>
        <w:ind w:firstLine="480" w:firstLineChars="200"/>
        <w:rPr>
          <w:rFonts w:ascii="宋体" w:hAnsi="宋体" w:cs="宋体"/>
          <w:sz w:val="24"/>
        </w:rPr>
      </w:pPr>
      <w:r>
        <w:rPr>
          <w:rFonts w:hint="eastAsia" w:ascii="宋体" w:hAnsi="宋体" w:cs="宋体"/>
          <w:sz w:val="24"/>
        </w:rPr>
        <w:t>（四）在一份报价书中有两个报价的，或在同一轮报价中同一竞价方有二份或二份以上报价书的；</w:t>
      </w:r>
    </w:p>
    <w:p>
      <w:pPr>
        <w:spacing w:line="360" w:lineRule="auto"/>
        <w:ind w:firstLine="480" w:firstLineChars="200"/>
        <w:rPr>
          <w:rFonts w:ascii="宋体" w:hAnsi="宋体" w:cs="宋体"/>
          <w:sz w:val="24"/>
        </w:rPr>
      </w:pPr>
      <w:r>
        <w:rPr>
          <w:rFonts w:hint="eastAsia" w:ascii="宋体" w:hAnsi="宋体" w:cs="宋体"/>
          <w:sz w:val="24"/>
        </w:rPr>
        <w:t>（五）未报名、未缴纳保证金而参加竞价的；</w:t>
      </w:r>
    </w:p>
    <w:p>
      <w:pPr>
        <w:spacing w:line="360" w:lineRule="auto"/>
        <w:ind w:firstLine="480" w:firstLineChars="200"/>
        <w:rPr>
          <w:rFonts w:ascii="宋体" w:hAnsi="宋体" w:cs="宋体"/>
          <w:sz w:val="24"/>
        </w:rPr>
      </w:pPr>
      <w:r>
        <w:rPr>
          <w:rFonts w:hint="eastAsia" w:ascii="宋体" w:hAnsi="宋体" w:cs="宋体"/>
          <w:sz w:val="24"/>
        </w:rPr>
        <w:t>（六）其它按规定应属无效的。</w:t>
      </w:r>
    </w:p>
    <w:p>
      <w:pPr>
        <w:numPr>
          <w:ilvl w:val="0"/>
          <w:numId w:val="8"/>
        </w:numPr>
        <w:spacing w:line="360" w:lineRule="auto"/>
        <w:rPr>
          <w:rFonts w:ascii="宋体" w:hAnsi="宋体" w:cs="宋体"/>
          <w:b/>
          <w:sz w:val="24"/>
        </w:rPr>
      </w:pPr>
      <w:r>
        <w:rPr>
          <w:rFonts w:hint="eastAsia" w:ascii="宋体" w:hAnsi="宋体" w:cs="宋体"/>
          <w:b/>
          <w:sz w:val="24"/>
        </w:rPr>
        <w:t>有下列情形之一的，没收保证金：</w:t>
      </w:r>
    </w:p>
    <w:p>
      <w:pPr>
        <w:spacing w:line="360" w:lineRule="auto"/>
        <w:ind w:firstLine="482" w:firstLineChars="200"/>
        <w:rPr>
          <w:rFonts w:ascii="宋体" w:hAnsi="宋体" w:cs="宋体"/>
          <w:b/>
          <w:sz w:val="24"/>
          <w:szCs w:val="24"/>
        </w:rPr>
      </w:pPr>
      <w:r>
        <w:rPr>
          <w:rFonts w:hint="eastAsia" w:ascii="宋体" w:hAnsi="宋体" w:cs="宋体"/>
          <w:b/>
          <w:sz w:val="24"/>
        </w:rPr>
        <w:t>（一）</w:t>
      </w:r>
      <w:r>
        <w:rPr>
          <w:rFonts w:hint="eastAsia" w:ascii="宋体" w:hAnsi="宋体" w:cs="宋体"/>
          <w:b/>
          <w:sz w:val="24"/>
          <w:szCs w:val="24"/>
        </w:rPr>
        <w:t>所提交的报名资料和符合资格条件的有关证明文件为虚假、伪造的；</w:t>
      </w:r>
    </w:p>
    <w:p>
      <w:pPr>
        <w:spacing w:line="360" w:lineRule="auto"/>
        <w:ind w:firstLine="482" w:firstLineChars="200"/>
        <w:rPr>
          <w:rFonts w:ascii="宋体" w:hAnsi="宋体" w:cs="宋体"/>
          <w:b/>
          <w:kern w:val="0"/>
          <w:sz w:val="24"/>
        </w:rPr>
      </w:pPr>
      <w:r>
        <w:rPr>
          <w:rFonts w:hint="eastAsia" w:ascii="宋体" w:hAnsi="宋体" w:cs="宋体"/>
          <w:b/>
          <w:sz w:val="24"/>
          <w:szCs w:val="24"/>
        </w:rPr>
        <w:t>（二）投资</w:t>
      </w:r>
      <w:r>
        <w:rPr>
          <w:rFonts w:hint="eastAsia" w:ascii="宋体" w:hAnsi="宋体" w:cs="宋体"/>
          <w:b/>
          <w:kern w:val="0"/>
          <w:sz w:val="24"/>
        </w:rPr>
        <w:t>方撤回报价或成交后拒签《增资确认书》或《增资协议》的；</w:t>
      </w:r>
    </w:p>
    <w:p>
      <w:pPr>
        <w:spacing w:line="360" w:lineRule="auto"/>
        <w:ind w:firstLine="482" w:firstLineChars="200"/>
        <w:rPr>
          <w:rFonts w:ascii="宋体" w:hAnsi="宋体" w:cs="宋体"/>
          <w:b/>
          <w:sz w:val="24"/>
        </w:rPr>
      </w:pPr>
      <w:r>
        <w:rPr>
          <w:rFonts w:hint="eastAsia" w:ascii="宋体" w:hAnsi="宋体" w:cs="宋体"/>
          <w:b/>
          <w:sz w:val="24"/>
          <w:szCs w:val="24"/>
        </w:rPr>
        <w:t>（三）未在规定时间内支付增资价款的。</w:t>
      </w:r>
    </w:p>
    <w:p>
      <w:pPr>
        <w:numPr>
          <w:ilvl w:val="0"/>
          <w:numId w:val="8"/>
        </w:numPr>
        <w:spacing w:line="360" w:lineRule="auto"/>
        <w:rPr>
          <w:rFonts w:ascii="宋体" w:hAnsi="宋体" w:cs="宋体"/>
          <w:b/>
          <w:sz w:val="24"/>
        </w:rPr>
      </w:pPr>
      <w:r>
        <w:rPr>
          <w:rFonts w:hint="eastAsia" w:ascii="宋体" w:hAnsi="宋体" w:cs="宋体"/>
          <w:b/>
          <w:sz w:val="24"/>
        </w:rPr>
        <w:t>请投资方仔细的阅读增资文件资料。</w:t>
      </w:r>
    </w:p>
    <w:p>
      <w:pPr>
        <w:widowControl/>
        <w:shd w:val="clear" w:color="auto" w:fill="FFFFFF"/>
        <w:spacing w:line="480" w:lineRule="auto"/>
        <w:ind w:firstLine="4560" w:firstLineChars="1900"/>
        <w:jc w:val="left"/>
        <w:rPr>
          <w:rFonts w:ascii="宋体" w:hAnsi="宋体" w:cs="宋体"/>
          <w:sz w:val="24"/>
          <w:szCs w:val="24"/>
        </w:rPr>
      </w:pPr>
    </w:p>
    <w:p>
      <w:pPr>
        <w:widowControl/>
        <w:shd w:val="clear" w:color="auto" w:fill="FFFFFF"/>
        <w:spacing w:line="480" w:lineRule="auto"/>
        <w:ind w:firstLine="4560" w:firstLineChars="1900"/>
        <w:jc w:val="left"/>
        <w:rPr>
          <w:rFonts w:ascii="宋体" w:hAnsi="宋体" w:cs="宋体"/>
          <w:sz w:val="24"/>
          <w:szCs w:val="24"/>
        </w:rPr>
      </w:pPr>
    </w:p>
    <w:p>
      <w:pPr>
        <w:widowControl/>
        <w:shd w:val="clear" w:color="auto" w:fill="FFFFFF"/>
        <w:spacing w:line="480" w:lineRule="auto"/>
        <w:ind w:firstLine="4560" w:firstLineChars="1900"/>
        <w:jc w:val="left"/>
        <w:rPr>
          <w:rFonts w:ascii="宋体" w:hAnsi="宋体" w:cs="宋体"/>
          <w:kern w:val="0"/>
          <w:sz w:val="24"/>
        </w:rPr>
      </w:pPr>
      <w:r>
        <w:rPr>
          <w:rFonts w:hint="eastAsia" w:ascii="宋体" w:hAnsi="宋体" w:cs="宋体"/>
          <w:sz w:val="24"/>
        </w:rPr>
        <w:t>台州市产权交易所有限公司</w:t>
      </w:r>
    </w:p>
    <w:p>
      <w:pPr>
        <w:widowControl/>
        <w:shd w:val="clear" w:color="auto" w:fill="FFFFFF"/>
        <w:spacing w:line="480" w:lineRule="auto"/>
        <w:ind w:firstLine="4320" w:firstLineChars="1800"/>
        <w:jc w:val="left"/>
        <w:rPr>
          <w:rFonts w:ascii="宋体" w:hAnsi="宋体" w:cs="宋体"/>
          <w:kern w:val="0"/>
          <w:sz w:val="24"/>
          <w:szCs w:val="24"/>
        </w:rPr>
      </w:pPr>
      <w:r>
        <w:rPr>
          <w:rFonts w:hint="eastAsia" w:ascii="宋体" w:hAnsi="宋体" w:cs="宋体"/>
          <w:kern w:val="0"/>
          <w:sz w:val="24"/>
        </w:rPr>
        <w:t xml:space="preserve">  </w:t>
      </w:r>
      <w:r>
        <w:rPr>
          <w:rFonts w:hint="eastAsia" w:ascii="宋体" w:hAnsi="宋体" w:cs="宋体"/>
          <w:kern w:val="0"/>
          <w:sz w:val="24"/>
          <w:szCs w:val="24"/>
        </w:rPr>
        <w:t>二〇一八年十一月一日</w:t>
      </w: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jc w:val="left"/>
        <w:rPr>
          <w:b/>
          <w:sz w:val="32"/>
          <w:szCs w:val="36"/>
        </w:rPr>
      </w:pPr>
      <w:r>
        <w:rPr>
          <w:b/>
          <w:sz w:val="32"/>
          <w:szCs w:val="36"/>
        </w:rPr>
        <w:br w:type="page"/>
      </w:r>
    </w:p>
    <w:p>
      <w:pPr>
        <w:jc w:val="center"/>
        <w:rPr>
          <w:b/>
          <w:sz w:val="32"/>
          <w:szCs w:val="36"/>
        </w:rPr>
      </w:pPr>
      <w:r>
        <w:rPr>
          <w:rFonts w:hint="eastAsia"/>
          <w:b/>
          <w:sz w:val="32"/>
          <w:szCs w:val="36"/>
        </w:rPr>
        <w:t>浙江海晟药业有限公司新增</w:t>
      </w:r>
      <w:r>
        <w:rPr>
          <w:b/>
          <w:sz w:val="32"/>
          <w:szCs w:val="36"/>
        </w:rPr>
        <w:t>12631.5789</w:t>
      </w:r>
      <w:r>
        <w:rPr>
          <w:rFonts w:hint="eastAsia"/>
          <w:b/>
          <w:sz w:val="32"/>
          <w:szCs w:val="36"/>
        </w:rPr>
        <w:t>万元注册资本</w:t>
      </w:r>
    </w:p>
    <w:p>
      <w:pPr>
        <w:pStyle w:val="2"/>
        <w:jc w:val="center"/>
        <w:rPr>
          <w:sz w:val="32"/>
          <w:szCs w:val="32"/>
        </w:rPr>
      </w:pPr>
      <w:bookmarkStart w:id="20" w:name="_Toc528760905"/>
      <w:r>
        <w:rPr>
          <w:rFonts w:hint="eastAsia"/>
          <w:sz w:val="32"/>
          <w:szCs w:val="32"/>
        </w:rPr>
        <w:t>竞价报价单</w:t>
      </w:r>
      <w:bookmarkEnd w:id="20"/>
    </w:p>
    <w:p>
      <w:pPr>
        <w:jc w:val="left"/>
        <w:rPr>
          <w:rFonts w:ascii="仿宋_GB2312" w:hAnsi="Tahoma" w:eastAsia="仿宋_GB2312" w:cs="Tahoma"/>
          <w:b/>
          <w:kern w:val="0"/>
          <w:sz w:val="48"/>
          <w:szCs w:val="48"/>
        </w:rPr>
      </w:pPr>
      <w:r>
        <w:rPr>
          <w:rFonts w:hint="eastAsia" w:ascii="仿宋_GB2312" w:hAnsi="Tahoma" w:eastAsia="仿宋_GB2312" w:cs="Tahoma"/>
          <w:b/>
          <w:kern w:val="0"/>
          <w:sz w:val="30"/>
          <w:szCs w:val="30"/>
        </w:rPr>
        <w:t>竞价方名称：</w:t>
      </w:r>
      <w:r>
        <w:rPr>
          <w:rFonts w:hint="eastAsia" w:ascii="仿宋_GB2312" w:hAnsi="Tahoma" w:eastAsia="仿宋_GB2312" w:cs="Tahoma"/>
          <w:b/>
          <w:kern w:val="0"/>
          <w:sz w:val="30"/>
          <w:szCs w:val="30"/>
          <w:u w:val="single"/>
        </w:rPr>
        <w:t xml:space="preserve">                            </w:t>
      </w:r>
      <w:r>
        <w:rPr>
          <w:rFonts w:hint="eastAsia" w:ascii="仿宋_GB2312" w:hAnsi="Tahoma" w:eastAsia="仿宋_GB2312" w:cs="Tahoma"/>
          <w:b/>
          <w:kern w:val="0"/>
          <w:sz w:val="32"/>
          <w:szCs w:val="32"/>
        </w:rPr>
        <w:t xml:space="preserve">  2018年12月27日</w:t>
      </w:r>
    </w:p>
    <w:p>
      <w:pPr>
        <w:jc w:val="center"/>
        <w:rPr>
          <w:rFonts w:ascii="仿宋_GB2312" w:hAnsi="Tahoma" w:eastAsia="仿宋_GB2312" w:cs="Tahoma"/>
          <w:kern w:val="0"/>
          <w:sz w:val="24"/>
        </w:rPr>
      </w:pPr>
    </w:p>
    <w:tbl>
      <w:tblPr>
        <w:tblStyle w:val="19"/>
        <w:tblW w:w="96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1"/>
        <w:gridCol w:w="7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2551"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竞价标的物名称</w:t>
            </w:r>
          </w:p>
        </w:tc>
        <w:tc>
          <w:tcPr>
            <w:tcW w:w="7129"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浙江海晟药业有限公司新增12631.5789万元注册资本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7" w:hRule="atLeast"/>
        </w:trPr>
        <w:tc>
          <w:tcPr>
            <w:tcW w:w="2551"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报价（人民币）</w:t>
            </w:r>
          </w:p>
        </w:tc>
        <w:tc>
          <w:tcPr>
            <w:tcW w:w="7129"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单位（人民币元）：小写</w:t>
            </w:r>
            <w:r>
              <w:rPr>
                <w:rFonts w:hint="eastAsia" w:ascii="宋体" w:hAnsi="宋体" w:cs="宋体"/>
                <w:kern w:val="0"/>
                <w:sz w:val="24"/>
                <w:szCs w:val="24"/>
                <w:u w:val="single"/>
                <w:shd w:val="clear" w:color="auto" w:fill="FFFFFF"/>
              </w:rPr>
              <w:t xml:space="preserve">           </w:t>
            </w:r>
            <w:r>
              <w:rPr>
                <w:rFonts w:hint="eastAsia" w:ascii="宋体" w:hAnsi="宋体" w:cs="宋体"/>
                <w:kern w:val="0"/>
                <w:sz w:val="24"/>
                <w:szCs w:val="24"/>
                <w:shd w:val="clear" w:color="auto" w:fill="FFFFFF"/>
              </w:rPr>
              <w:t xml:space="preserve"> 元/股</w:t>
            </w:r>
          </w:p>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增资额（人民币万元）：小写</w:t>
            </w:r>
            <w:r>
              <w:rPr>
                <w:rFonts w:hint="eastAsia" w:ascii="宋体" w:hAnsi="宋体" w:cs="宋体"/>
                <w:kern w:val="0"/>
                <w:sz w:val="24"/>
                <w:szCs w:val="24"/>
                <w:u w:val="single"/>
                <w:shd w:val="clear" w:color="auto" w:fill="FFFFFF"/>
              </w:rPr>
              <w:t xml:space="preserve">         </w:t>
            </w:r>
            <w:r>
              <w:rPr>
                <w:rFonts w:hint="eastAsia" w:ascii="宋体" w:hAnsi="宋体" w:cs="宋体"/>
                <w:kern w:val="0"/>
                <w:sz w:val="24"/>
                <w:szCs w:val="24"/>
                <w:shd w:val="clear" w:color="auto" w:fill="FFFFFF"/>
              </w:rPr>
              <w:t xml:space="preserve"> 万元 ;</w:t>
            </w:r>
          </w:p>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 xml:space="preserve">大写：                         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1" w:hRule="atLeast"/>
        </w:trPr>
        <w:tc>
          <w:tcPr>
            <w:tcW w:w="2551"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竞价方授权委托人</w:t>
            </w:r>
          </w:p>
        </w:tc>
        <w:tc>
          <w:tcPr>
            <w:tcW w:w="7129"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 xml:space="preserve">                                            （签名）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2551" w:type="dxa"/>
            <w:vAlign w:val="center"/>
          </w:tcPr>
          <w:p>
            <w:pPr>
              <w:tabs>
                <w:tab w:val="left" w:pos="5907"/>
              </w:tabs>
              <w:spacing w:line="72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轮次</w:t>
            </w:r>
          </w:p>
        </w:tc>
        <w:tc>
          <w:tcPr>
            <w:tcW w:w="7129" w:type="dxa"/>
            <w:vAlign w:val="center"/>
          </w:tcPr>
          <w:p>
            <w:pPr>
              <w:tabs>
                <w:tab w:val="left" w:pos="5907"/>
              </w:tabs>
              <w:spacing w:line="720" w:lineRule="auto"/>
              <w:jc w:val="center"/>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第          轮</w:t>
            </w:r>
          </w:p>
        </w:tc>
      </w:tr>
    </w:tbl>
    <w:p>
      <w:pPr>
        <w:tabs>
          <w:tab w:val="left" w:pos="5907"/>
        </w:tabs>
        <w:spacing w:line="720" w:lineRule="auto"/>
        <w:jc w:val="left"/>
        <w:rPr>
          <w:rFonts w:ascii="仿宋_GB2312" w:eastAsia="仿宋_GB2312"/>
          <w:sz w:val="24"/>
        </w:rPr>
      </w:pPr>
      <w:r>
        <w:rPr>
          <w:rFonts w:hint="eastAsia" w:ascii="宋体" w:hAnsi="宋体" w:cs="宋体"/>
          <w:kern w:val="0"/>
          <w:sz w:val="24"/>
          <w:szCs w:val="24"/>
          <w:shd w:val="clear" w:color="auto" w:fill="FFFFFF"/>
        </w:rPr>
        <w:t xml:space="preserve">         备注：此报价单由竞价人填写。</w:t>
      </w:r>
    </w:p>
    <w:p>
      <w:pPr>
        <w:spacing w:line="360" w:lineRule="auto"/>
        <w:ind w:firstLine="189" w:firstLineChars="49"/>
        <w:jc w:val="center"/>
        <w:rPr>
          <w:rFonts w:ascii="宋体" w:hAnsi="宋体"/>
          <w:b/>
          <w:spacing w:val="12"/>
          <w:sz w:val="36"/>
          <w:szCs w:val="36"/>
        </w:rPr>
      </w:pPr>
    </w:p>
    <w:p>
      <w:pPr>
        <w:spacing w:line="360" w:lineRule="auto"/>
        <w:ind w:firstLine="189" w:firstLineChars="49"/>
        <w:jc w:val="center"/>
        <w:rPr>
          <w:rFonts w:ascii="宋体" w:hAnsi="宋体"/>
          <w:b/>
          <w:spacing w:val="12"/>
          <w:sz w:val="36"/>
          <w:szCs w:val="36"/>
        </w:rPr>
      </w:pPr>
    </w:p>
    <w:p>
      <w:pPr>
        <w:spacing w:line="360" w:lineRule="auto"/>
        <w:ind w:firstLine="189" w:firstLineChars="49"/>
        <w:jc w:val="center"/>
        <w:rPr>
          <w:rFonts w:ascii="宋体" w:hAnsi="宋体"/>
          <w:b/>
          <w:spacing w:val="12"/>
          <w:sz w:val="36"/>
          <w:szCs w:val="36"/>
        </w:rPr>
      </w:pPr>
    </w:p>
    <w:p>
      <w:pPr>
        <w:spacing w:line="360" w:lineRule="auto"/>
        <w:ind w:firstLine="189" w:firstLineChars="49"/>
        <w:jc w:val="center"/>
        <w:rPr>
          <w:rFonts w:ascii="宋体" w:hAnsi="宋体"/>
          <w:b/>
          <w:spacing w:val="12"/>
          <w:sz w:val="36"/>
          <w:szCs w:val="36"/>
        </w:rPr>
      </w:pPr>
    </w:p>
    <w:p>
      <w:pPr>
        <w:spacing w:line="360" w:lineRule="auto"/>
        <w:ind w:firstLine="189" w:firstLineChars="49"/>
        <w:jc w:val="center"/>
        <w:rPr>
          <w:rFonts w:ascii="宋体" w:hAnsi="宋体"/>
          <w:b/>
          <w:spacing w:val="12"/>
          <w:sz w:val="36"/>
          <w:szCs w:val="36"/>
        </w:rPr>
      </w:pPr>
    </w:p>
    <w:p>
      <w:pPr>
        <w:spacing w:line="360" w:lineRule="auto"/>
        <w:ind w:firstLine="189" w:firstLineChars="49"/>
        <w:jc w:val="center"/>
        <w:rPr>
          <w:rFonts w:ascii="宋体" w:hAnsi="宋体"/>
          <w:b/>
          <w:spacing w:val="12"/>
          <w:sz w:val="36"/>
          <w:szCs w:val="36"/>
        </w:rPr>
      </w:pPr>
    </w:p>
    <w:p>
      <w:pPr>
        <w:pStyle w:val="2"/>
        <w:jc w:val="center"/>
        <w:rPr>
          <w:sz w:val="32"/>
          <w:szCs w:val="32"/>
        </w:rPr>
      </w:pPr>
      <w:bookmarkStart w:id="21" w:name="_Toc528760906"/>
      <w:r>
        <w:rPr>
          <w:rFonts w:hint="eastAsia"/>
          <w:sz w:val="32"/>
          <w:szCs w:val="32"/>
        </w:rPr>
        <w:t>增资确认书</w:t>
      </w:r>
      <w:bookmarkEnd w:id="21"/>
    </w:p>
    <w:p>
      <w:pPr>
        <w:rPr>
          <w:rFonts w:ascii="宋体"/>
        </w:rPr>
      </w:pPr>
    </w:p>
    <w:p>
      <w:pPr>
        <w:spacing w:line="500" w:lineRule="exact"/>
        <w:rPr>
          <w:rFonts w:ascii="宋体"/>
          <w:sz w:val="24"/>
          <w:szCs w:val="24"/>
        </w:rPr>
      </w:pPr>
      <w:r>
        <w:rPr>
          <w:rFonts w:hint="eastAsia" w:ascii="宋体" w:hAnsi="宋体"/>
          <w:sz w:val="24"/>
          <w:szCs w:val="24"/>
        </w:rPr>
        <w:t>主持人：台州市产权交易所有限公司</w:t>
      </w:r>
    </w:p>
    <w:p>
      <w:pPr>
        <w:spacing w:line="500" w:lineRule="exact"/>
        <w:rPr>
          <w:rFonts w:ascii="宋体"/>
          <w:sz w:val="24"/>
          <w:szCs w:val="24"/>
        </w:rPr>
      </w:pPr>
      <w:r>
        <w:rPr>
          <w:rFonts w:hint="eastAsia" w:ascii="宋体" w:hAnsi="宋体"/>
          <w:sz w:val="24"/>
          <w:szCs w:val="24"/>
        </w:rPr>
        <w:t>投资方：                  联系电话：</w:t>
      </w:r>
    </w:p>
    <w:p>
      <w:pPr>
        <w:spacing w:line="500" w:lineRule="exact"/>
        <w:rPr>
          <w:rFonts w:ascii="宋体"/>
          <w:sz w:val="24"/>
          <w:szCs w:val="24"/>
        </w:rPr>
      </w:pPr>
    </w:p>
    <w:p>
      <w:pPr>
        <w:spacing w:line="500" w:lineRule="exact"/>
        <w:ind w:firstLine="480" w:firstLineChars="200"/>
        <w:rPr>
          <w:rFonts w:ascii="宋体"/>
          <w:sz w:val="24"/>
          <w:szCs w:val="24"/>
        </w:rPr>
      </w:pPr>
      <w:r>
        <w:rPr>
          <w:rFonts w:hint="eastAsia" w:ascii="宋体" w:hAnsi="宋体"/>
          <w:sz w:val="24"/>
          <w:szCs w:val="24"/>
        </w:rPr>
        <w:t>投资方于</w:t>
      </w:r>
      <w:r>
        <w:rPr>
          <w:rFonts w:ascii="宋体" w:hAnsi="宋体"/>
          <w:sz w:val="24"/>
          <w:szCs w:val="24"/>
        </w:rPr>
        <w:t xml:space="preserve"> 2018</w:t>
      </w:r>
      <w:r>
        <w:rPr>
          <w:rFonts w:hint="eastAsia" w:ascii="宋体" w:hAnsi="宋体"/>
          <w:sz w:val="24"/>
          <w:szCs w:val="24"/>
        </w:rPr>
        <w:t>年12月27日</w:t>
      </w:r>
      <w:r>
        <w:rPr>
          <w:rStyle w:val="18"/>
          <w:rFonts w:hint="eastAsia"/>
        </w:rPr>
        <w:t>上</w:t>
      </w:r>
      <w:r>
        <w:rPr>
          <w:rFonts w:hint="eastAsia" w:ascii="宋体" w:hAnsi="宋体"/>
          <w:sz w:val="24"/>
          <w:szCs w:val="24"/>
        </w:rPr>
        <w:t>午9</w:t>
      </w:r>
      <w:r>
        <w:rPr>
          <w:rFonts w:ascii="宋体" w:hAnsi="宋体"/>
          <w:sz w:val="24"/>
          <w:szCs w:val="24"/>
        </w:rPr>
        <w:t>：</w:t>
      </w:r>
      <w:r>
        <w:rPr>
          <w:rFonts w:hint="eastAsia" w:ascii="宋体" w:hAnsi="宋体"/>
          <w:sz w:val="24"/>
          <w:szCs w:val="24"/>
        </w:rPr>
        <w:t>3</w:t>
      </w:r>
      <w:r>
        <w:rPr>
          <w:rFonts w:ascii="宋体" w:hAnsi="宋体"/>
          <w:sz w:val="24"/>
          <w:szCs w:val="24"/>
        </w:rPr>
        <w:t>0</w:t>
      </w:r>
      <w:r>
        <w:rPr>
          <w:rFonts w:hint="eastAsia" w:ascii="宋体" w:hAnsi="宋体"/>
          <w:sz w:val="24"/>
          <w:szCs w:val="24"/>
        </w:rPr>
        <w:t>时整在台州市市府大道</w:t>
      </w:r>
      <w:r>
        <w:rPr>
          <w:rFonts w:ascii="宋体" w:hAnsi="宋体"/>
          <w:sz w:val="24"/>
          <w:szCs w:val="24"/>
        </w:rPr>
        <w:t>777</w:t>
      </w:r>
      <w:r>
        <w:rPr>
          <w:rFonts w:hint="eastAsia" w:ascii="宋体" w:hAnsi="宋体"/>
          <w:sz w:val="24"/>
          <w:szCs w:val="24"/>
        </w:rPr>
        <w:t>号浙江民泰商业银行三楼三号开标室就浙江海晟药业有限公司新增12631.5789万元注册资本项目会上，根据相关法律法规规定，双方签订增资确认书如下：</w:t>
      </w:r>
    </w:p>
    <w:p>
      <w:pPr>
        <w:spacing w:line="500" w:lineRule="exact"/>
        <w:ind w:firstLine="480" w:firstLineChars="200"/>
        <w:rPr>
          <w:rFonts w:ascii="宋体" w:hAnsi="宋体"/>
          <w:sz w:val="24"/>
          <w:szCs w:val="24"/>
        </w:rPr>
      </w:pPr>
    </w:p>
    <w:p>
      <w:pPr>
        <w:spacing w:line="500" w:lineRule="exact"/>
        <w:ind w:firstLine="480" w:firstLineChars="200"/>
        <w:rPr>
          <w:rFonts w:ascii="宋体"/>
          <w:sz w:val="24"/>
          <w:szCs w:val="24"/>
        </w:rPr>
      </w:pPr>
      <w:r>
        <w:rPr>
          <w:rFonts w:hint="eastAsia" w:ascii="宋体" w:hAnsi="宋体"/>
          <w:sz w:val="24"/>
          <w:szCs w:val="24"/>
        </w:rPr>
        <w:t>一、</w:t>
      </w:r>
      <w:r>
        <w:rPr>
          <w:rFonts w:hint="eastAsia" w:ascii="宋体" w:hAnsi="宋体"/>
          <w:sz w:val="24"/>
          <w:szCs w:val="24"/>
          <w:u w:val="single"/>
        </w:rPr>
        <w:t>投资方投资总额</w:t>
      </w:r>
      <w:r>
        <w:rPr>
          <w:rFonts w:ascii="宋体" w:hAnsi="宋体"/>
          <w:sz w:val="24"/>
          <w:szCs w:val="24"/>
          <w:u w:val="single"/>
        </w:rPr>
        <w:t xml:space="preserve">           </w:t>
      </w:r>
      <w:r>
        <w:rPr>
          <w:rFonts w:hint="eastAsia" w:ascii="宋体" w:hAnsi="宋体"/>
          <w:sz w:val="24"/>
          <w:szCs w:val="24"/>
          <w:u w:val="single"/>
        </w:rPr>
        <w:t>万元，单价</w:t>
      </w:r>
      <w:r>
        <w:rPr>
          <w:rFonts w:ascii="宋体" w:hAnsi="宋体"/>
          <w:sz w:val="24"/>
          <w:szCs w:val="24"/>
          <w:u w:val="single"/>
        </w:rPr>
        <w:t xml:space="preserve">       元</w:t>
      </w:r>
      <w:r>
        <w:rPr>
          <w:rFonts w:hint="eastAsia" w:ascii="宋体" w:hAnsi="宋体"/>
          <w:sz w:val="24"/>
          <w:szCs w:val="24"/>
          <w:u w:val="single"/>
        </w:rPr>
        <w:t>/股，增资后占得海晟药业公司</w:t>
      </w:r>
      <w:r>
        <w:rPr>
          <w:rFonts w:ascii="宋体" w:hAnsi="宋体"/>
          <w:sz w:val="24"/>
          <w:szCs w:val="24"/>
          <w:u w:val="single"/>
        </w:rPr>
        <w:t xml:space="preserve">         %</w:t>
      </w:r>
      <w:r>
        <w:rPr>
          <w:rFonts w:hint="eastAsia" w:ascii="宋体" w:hAnsi="宋体"/>
          <w:sz w:val="24"/>
          <w:szCs w:val="24"/>
          <w:u w:val="single"/>
        </w:rPr>
        <w:t>股权</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二、服务费：该投资总金额的</w:t>
      </w:r>
      <w:r>
        <w:rPr>
          <w:rFonts w:ascii="宋体" w:hAnsi="宋体"/>
          <w:sz w:val="24"/>
          <w:szCs w:val="24"/>
        </w:rPr>
        <w:t>0.2%收取</w:t>
      </w:r>
      <w:r>
        <w:rPr>
          <w:rFonts w:hint="eastAsia" w:ascii="宋体" w:hAnsi="宋体"/>
          <w:sz w:val="24"/>
          <w:szCs w:val="24"/>
        </w:rPr>
        <w:t>，即服务费</w:t>
      </w:r>
      <w:r>
        <w:rPr>
          <w:rFonts w:ascii="宋体" w:hAnsi="宋体"/>
          <w:sz w:val="24"/>
          <w:szCs w:val="24"/>
        </w:rPr>
        <w:t xml:space="preserve">             </w:t>
      </w:r>
      <w:r>
        <w:rPr>
          <w:rFonts w:hint="eastAsia" w:ascii="宋体" w:hAnsi="宋体"/>
          <w:sz w:val="24"/>
          <w:szCs w:val="24"/>
        </w:rPr>
        <w:t>万元（大写：</w:t>
      </w:r>
      <w:r>
        <w:rPr>
          <w:rFonts w:ascii="宋体" w:hAnsi="宋体"/>
          <w:sz w:val="24"/>
          <w:szCs w:val="24"/>
        </w:rPr>
        <w:t xml:space="preserve">      </w:t>
      </w:r>
      <w:r>
        <w:rPr>
          <w:rFonts w:hint="eastAsia" w:ascii="宋体" w:hAnsi="宋体"/>
          <w:sz w:val="24"/>
          <w:szCs w:val="24"/>
        </w:rPr>
        <w:t>）。</w:t>
      </w:r>
    </w:p>
    <w:p>
      <w:pPr>
        <w:spacing w:line="500" w:lineRule="exact"/>
        <w:ind w:firstLine="480"/>
        <w:rPr>
          <w:rFonts w:ascii="宋体"/>
          <w:sz w:val="24"/>
          <w:szCs w:val="24"/>
        </w:rPr>
      </w:pPr>
      <w:r>
        <w:rPr>
          <w:rFonts w:hint="eastAsia" w:ascii="宋体" w:hAnsi="宋体"/>
          <w:sz w:val="24"/>
          <w:szCs w:val="24"/>
        </w:rPr>
        <w:t>三、付款方式：增资成交后，投资方当天签署本《增资确认书》和《增资协议》，《增资协议》生效后2</w:t>
      </w:r>
      <w:r>
        <w:rPr>
          <w:rFonts w:ascii="宋体" w:hAnsi="宋体"/>
          <w:sz w:val="24"/>
          <w:szCs w:val="24"/>
        </w:rPr>
        <w:t>个工作日</w:t>
      </w:r>
      <w:r>
        <w:rPr>
          <w:rFonts w:hint="eastAsia" w:ascii="宋体" w:hAnsi="宋体"/>
          <w:sz w:val="24"/>
          <w:szCs w:val="24"/>
        </w:rPr>
        <w:t>内一次性支付全部投资款及服务费。成交款和服务费以人民币方式汇入（</w:t>
      </w:r>
      <w:r>
        <w:rPr>
          <w:rFonts w:hint="eastAsia" w:ascii="宋体" w:hAnsi="宋体"/>
          <w:b/>
          <w:sz w:val="24"/>
          <w:szCs w:val="24"/>
        </w:rPr>
        <w:t>单位名称</w:t>
      </w:r>
      <w:r>
        <w:rPr>
          <w:rFonts w:hint="eastAsia" w:ascii="宋体" w:hAnsi="宋体"/>
          <w:b/>
          <w:bCs/>
          <w:sz w:val="24"/>
          <w:szCs w:val="24"/>
        </w:rPr>
        <w:t>：台州市产权交易所有限公司</w:t>
      </w:r>
      <w:r>
        <w:rPr>
          <w:rFonts w:hint="eastAsia" w:ascii="宋体" w:hAnsi="宋体"/>
          <w:b/>
          <w:sz w:val="24"/>
          <w:szCs w:val="24"/>
        </w:rPr>
        <w:t>，</w:t>
      </w:r>
      <w:r>
        <w:rPr>
          <w:rFonts w:hint="eastAsia" w:ascii="宋体" w:hAnsi="宋体"/>
          <w:b/>
          <w:bCs/>
          <w:sz w:val="24"/>
          <w:szCs w:val="24"/>
        </w:rPr>
        <w:t>开户行：浙江民泰商业银行台州椒江支行，帐号：</w:t>
      </w:r>
      <w:r>
        <w:rPr>
          <w:rFonts w:ascii="宋体" w:hAnsi="宋体"/>
          <w:b/>
          <w:bCs/>
          <w:sz w:val="24"/>
          <w:szCs w:val="24"/>
        </w:rPr>
        <w:t>5830162608000</w:t>
      </w:r>
      <w:r>
        <w:rPr>
          <w:rFonts w:hint="eastAsia" w:ascii="宋体" w:hAnsi="宋体"/>
          <w:b/>
          <w:bCs/>
          <w:sz w:val="24"/>
          <w:szCs w:val="24"/>
        </w:rPr>
        <w:t>28</w:t>
      </w:r>
      <w:r>
        <w:rPr>
          <w:rFonts w:hint="eastAsia" w:ascii="宋体" w:hAnsi="宋体"/>
          <w:sz w:val="24"/>
          <w:szCs w:val="24"/>
        </w:rPr>
        <w:t>）。</w:t>
      </w:r>
    </w:p>
    <w:p>
      <w:pPr>
        <w:spacing w:line="500" w:lineRule="exact"/>
        <w:ind w:firstLine="480"/>
        <w:rPr>
          <w:rFonts w:ascii="宋体" w:hAnsi="宋体"/>
          <w:bCs/>
          <w:sz w:val="24"/>
          <w:szCs w:val="24"/>
        </w:rPr>
      </w:pPr>
      <w:r>
        <w:rPr>
          <w:rFonts w:hint="eastAsia" w:ascii="宋体" w:hAnsi="宋体"/>
          <w:sz w:val="24"/>
          <w:szCs w:val="24"/>
        </w:rPr>
        <w:t>四、投资方成交后拒绝签署《增资确认书》、《增资协议》，或不依本确认书足额支付投资款项的，视为其毁约，台交所有权追究其违约责任；投资方逾期支付增资成交款项的，视为投资方根本违约；</w:t>
      </w:r>
      <w:r>
        <w:rPr>
          <w:rFonts w:hint="eastAsia" w:ascii="宋体" w:hAnsi="宋体"/>
          <w:bCs/>
          <w:sz w:val="24"/>
          <w:szCs w:val="24"/>
        </w:rPr>
        <w:t>融资方有权解除《增资协议》，台交所有权解除《增资确认书》</w:t>
      </w:r>
      <w:r>
        <w:rPr>
          <w:rFonts w:hint="eastAsia" w:ascii="宋体" w:hAnsi="宋体"/>
          <w:sz w:val="24"/>
          <w:szCs w:val="24"/>
        </w:rPr>
        <w:t>，保证金不予退还。</w:t>
      </w:r>
    </w:p>
    <w:p>
      <w:pPr>
        <w:spacing w:line="500" w:lineRule="exact"/>
        <w:ind w:firstLine="480" w:firstLineChars="200"/>
        <w:rPr>
          <w:rFonts w:ascii="宋体"/>
          <w:sz w:val="24"/>
          <w:szCs w:val="24"/>
        </w:rPr>
      </w:pPr>
      <w:r>
        <w:rPr>
          <w:rFonts w:hint="eastAsia" w:ascii="宋体" w:hAnsi="宋体"/>
          <w:sz w:val="24"/>
          <w:szCs w:val="24"/>
        </w:rPr>
        <w:t>五、投资方凭本《增资确认书》当场与申请方签订《增资协议》，并按增资协议进行履约。</w:t>
      </w:r>
    </w:p>
    <w:p>
      <w:pPr>
        <w:spacing w:line="500" w:lineRule="exact"/>
        <w:ind w:firstLine="480"/>
        <w:rPr>
          <w:rFonts w:ascii="宋体"/>
          <w:sz w:val="24"/>
          <w:szCs w:val="24"/>
        </w:rPr>
      </w:pPr>
      <w:r>
        <w:rPr>
          <w:rFonts w:hint="eastAsia" w:ascii="宋体" w:hAnsi="宋体"/>
          <w:sz w:val="24"/>
          <w:szCs w:val="24"/>
        </w:rPr>
        <w:t>六、确定本增资扩股活动各方当事人权利义务的依据：</w:t>
      </w:r>
    </w:p>
    <w:p>
      <w:pPr>
        <w:spacing w:line="500" w:lineRule="exact"/>
        <w:ind w:firstLine="480"/>
        <w:rPr>
          <w:rFonts w:ascii="宋体"/>
          <w:sz w:val="24"/>
          <w:szCs w:val="24"/>
        </w:rPr>
      </w:pPr>
      <w:r>
        <w:rPr>
          <w:rFonts w:ascii="宋体" w:hAnsi="宋体"/>
          <w:sz w:val="24"/>
          <w:szCs w:val="24"/>
        </w:rPr>
        <w:t>1</w:t>
      </w:r>
      <w:r>
        <w:rPr>
          <w:rFonts w:hint="eastAsia" w:ascii="宋体" w:hAnsi="宋体"/>
          <w:sz w:val="24"/>
          <w:szCs w:val="24"/>
        </w:rPr>
        <w:t>、《委托增资服务协议》；</w:t>
      </w:r>
    </w:p>
    <w:p>
      <w:pPr>
        <w:spacing w:line="500" w:lineRule="exact"/>
        <w:ind w:firstLine="480"/>
        <w:rPr>
          <w:rFonts w:ascii="宋体"/>
          <w:sz w:val="24"/>
          <w:szCs w:val="24"/>
        </w:rPr>
      </w:pPr>
      <w:r>
        <w:rPr>
          <w:rFonts w:ascii="宋体" w:hAnsi="宋体"/>
          <w:sz w:val="24"/>
          <w:szCs w:val="24"/>
        </w:rPr>
        <w:t>2</w:t>
      </w:r>
      <w:r>
        <w:rPr>
          <w:rFonts w:hint="eastAsia" w:ascii="宋体" w:hAnsi="宋体"/>
          <w:sz w:val="24"/>
          <w:szCs w:val="24"/>
        </w:rPr>
        <w:t>、《增资协议》；</w:t>
      </w:r>
    </w:p>
    <w:p>
      <w:pPr>
        <w:spacing w:line="500" w:lineRule="exact"/>
        <w:ind w:firstLine="480"/>
        <w:rPr>
          <w:rFonts w:ascii="宋体"/>
          <w:sz w:val="24"/>
          <w:szCs w:val="24"/>
        </w:rPr>
      </w:pPr>
      <w:r>
        <w:rPr>
          <w:rFonts w:ascii="宋体" w:hAnsi="宋体"/>
          <w:sz w:val="24"/>
          <w:szCs w:val="24"/>
        </w:rPr>
        <w:t>3</w:t>
      </w:r>
      <w:r>
        <w:rPr>
          <w:rFonts w:hint="eastAsia" w:ascii="宋体" w:hAnsi="宋体"/>
          <w:sz w:val="24"/>
          <w:szCs w:val="24"/>
        </w:rPr>
        <w:t>、《须知及特别约定》；</w:t>
      </w:r>
    </w:p>
    <w:p>
      <w:pPr>
        <w:spacing w:line="500" w:lineRule="exact"/>
        <w:ind w:firstLine="480"/>
        <w:rPr>
          <w:rFonts w:ascii="宋体"/>
          <w:sz w:val="24"/>
          <w:szCs w:val="24"/>
        </w:rPr>
      </w:pPr>
      <w:r>
        <w:rPr>
          <w:rFonts w:ascii="宋体" w:hAnsi="宋体"/>
          <w:sz w:val="24"/>
          <w:szCs w:val="24"/>
        </w:rPr>
        <w:t>4</w:t>
      </w:r>
      <w:r>
        <w:rPr>
          <w:rFonts w:hint="eastAsia" w:ascii="宋体" w:hAnsi="宋体"/>
          <w:sz w:val="24"/>
          <w:szCs w:val="24"/>
        </w:rPr>
        <w:t>、投资方办理的增资申请书及提供的有关文件和资料；</w:t>
      </w:r>
    </w:p>
    <w:p>
      <w:pPr>
        <w:spacing w:line="500" w:lineRule="exact"/>
        <w:ind w:firstLine="480"/>
        <w:rPr>
          <w:rFonts w:ascii="宋体"/>
          <w:sz w:val="24"/>
          <w:szCs w:val="24"/>
        </w:rPr>
      </w:pPr>
      <w:r>
        <w:rPr>
          <w:rFonts w:ascii="宋体" w:hAnsi="宋体"/>
          <w:sz w:val="24"/>
          <w:szCs w:val="24"/>
        </w:rPr>
        <w:t>5</w:t>
      </w:r>
      <w:r>
        <w:rPr>
          <w:rFonts w:hint="eastAsia" w:ascii="宋体" w:hAnsi="宋体"/>
          <w:sz w:val="24"/>
          <w:szCs w:val="24"/>
        </w:rPr>
        <w:t>、其他本次增资文件中的有关内容。</w:t>
      </w:r>
    </w:p>
    <w:p>
      <w:pPr>
        <w:spacing w:line="500" w:lineRule="exact"/>
        <w:ind w:firstLine="480" w:firstLineChars="200"/>
        <w:rPr>
          <w:rFonts w:ascii="宋体"/>
          <w:sz w:val="24"/>
          <w:szCs w:val="24"/>
        </w:rPr>
      </w:pPr>
      <w:r>
        <w:rPr>
          <w:rFonts w:hint="eastAsia" w:ascii="宋体" w:hAnsi="宋体"/>
          <w:sz w:val="24"/>
          <w:szCs w:val="24"/>
        </w:rPr>
        <w:t>七、本确认书在履行中若发生争议，双方应协商解决，协商不成的，应向台交所所在地人民法院以起诉方式解决。</w:t>
      </w:r>
    </w:p>
    <w:p>
      <w:pPr>
        <w:spacing w:line="500" w:lineRule="exact"/>
        <w:ind w:firstLine="480"/>
        <w:rPr>
          <w:rFonts w:ascii="宋体"/>
          <w:sz w:val="24"/>
          <w:szCs w:val="24"/>
        </w:rPr>
      </w:pPr>
      <w:r>
        <w:rPr>
          <w:rFonts w:hint="eastAsia" w:ascii="宋体" w:hAnsi="宋体"/>
          <w:sz w:val="24"/>
          <w:szCs w:val="24"/>
        </w:rPr>
        <w:t>八、本《增资确认书》一式陆份。组织人、投资方各执二份，融资方、监管部门各执一份。</w:t>
      </w:r>
    </w:p>
    <w:p>
      <w:pPr>
        <w:spacing w:line="500" w:lineRule="exact"/>
        <w:ind w:firstLine="480"/>
        <w:rPr>
          <w:rFonts w:ascii="宋体"/>
          <w:sz w:val="24"/>
          <w:szCs w:val="24"/>
        </w:rPr>
      </w:pPr>
    </w:p>
    <w:p>
      <w:pPr>
        <w:spacing w:line="500" w:lineRule="exact"/>
        <w:rPr>
          <w:rFonts w:ascii="宋体"/>
          <w:sz w:val="24"/>
          <w:szCs w:val="24"/>
        </w:rPr>
      </w:pPr>
    </w:p>
    <w:p>
      <w:pPr>
        <w:spacing w:line="500" w:lineRule="exact"/>
        <w:rPr>
          <w:rFonts w:ascii="宋体"/>
          <w:sz w:val="24"/>
          <w:szCs w:val="24"/>
        </w:rPr>
      </w:pPr>
      <w:r>
        <w:rPr>
          <w:rFonts w:hint="eastAsia" w:ascii="宋体" w:hAnsi="宋体"/>
          <w:sz w:val="24"/>
          <w:szCs w:val="24"/>
        </w:rPr>
        <w:t>组织人（盖章）：台州市产权交易所有限公司     投资方：</w:t>
      </w:r>
    </w:p>
    <w:p>
      <w:pPr>
        <w:tabs>
          <w:tab w:val="left" w:pos="5210"/>
        </w:tabs>
        <w:spacing w:line="500" w:lineRule="exact"/>
        <w:rPr>
          <w:rFonts w:ascii="宋体"/>
          <w:sz w:val="24"/>
          <w:szCs w:val="24"/>
        </w:rPr>
      </w:pPr>
      <w:r>
        <w:rPr>
          <w:rFonts w:hint="eastAsia" w:ascii="宋体" w:hAnsi="宋体"/>
          <w:sz w:val="24"/>
          <w:szCs w:val="24"/>
        </w:rPr>
        <w:t>法定代表人：</w:t>
      </w:r>
      <w:r>
        <w:rPr>
          <w:rFonts w:ascii="宋体"/>
          <w:sz w:val="24"/>
          <w:szCs w:val="24"/>
        </w:rPr>
        <w:tab/>
      </w:r>
      <w:r>
        <w:rPr>
          <w:rFonts w:hint="eastAsia" w:ascii="宋体" w:hAnsi="宋体"/>
          <w:sz w:val="24"/>
          <w:szCs w:val="24"/>
        </w:rPr>
        <w:t>法定代表人：</w:t>
      </w:r>
    </w:p>
    <w:p>
      <w:pPr>
        <w:tabs>
          <w:tab w:val="left" w:pos="5210"/>
        </w:tabs>
        <w:spacing w:line="500" w:lineRule="exact"/>
        <w:rPr>
          <w:rFonts w:ascii="宋体"/>
          <w:sz w:val="24"/>
          <w:szCs w:val="24"/>
        </w:rPr>
      </w:pPr>
      <w:r>
        <w:rPr>
          <w:rFonts w:hint="eastAsia" w:ascii="宋体" w:hAnsi="宋体"/>
          <w:sz w:val="24"/>
          <w:szCs w:val="24"/>
        </w:rPr>
        <w:t>委托代理人：</w:t>
      </w:r>
      <w:r>
        <w:rPr>
          <w:rFonts w:ascii="宋体"/>
          <w:sz w:val="24"/>
          <w:szCs w:val="24"/>
        </w:rPr>
        <w:tab/>
      </w:r>
      <w:r>
        <w:rPr>
          <w:rFonts w:hint="eastAsia" w:ascii="宋体" w:hAnsi="宋体"/>
          <w:sz w:val="24"/>
          <w:szCs w:val="24"/>
        </w:rPr>
        <w:t>委托代理人：</w:t>
      </w:r>
    </w:p>
    <w:p>
      <w:pPr>
        <w:tabs>
          <w:tab w:val="left" w:pos="5210"/>
        </w:tabs>
        <w:spacing w:line="500" w:lineRule="exact"/>
        <w:rPr>
          <w:rFonts w:ascii="宋体"/>
          <w:sz w:val="23"/>
          <w:szCs w:val="23"/>
        </w:rPr>
      </w:pPr>
      <w:r>
        <w:rPr>
          <w:rFonts w:hint="eastAsia" w:ascii="宋体" w:hAnsi="宋体"/>
          <w:sz w:val="24"/>
          <w:szCs w:val="24"/>
        </w:rPr>
        <w:t>签订日期：  年   月   日                    签订日期：  年  月   日</w:t>
      </w:r>
    </w:p>
    <w:p>
      <w:pPr>
        <w:tabs>
          <w:tab w:val="left" w:pos="5210"/>
        </w:tabs>
        <w:spacing w:line="360" w:lineRule="auto"/>
        <w:rPr>
          <w:rFonts w:ascii="宋体"/>
          <w:sz w:val="23"/>
          <w:szCs w:val="23"/>
        </w:rPr>
      </w:pPr>
    </w:p>
    <w:p>
      <w:pPr>
        <w:widowControl/>
        <w:spacing w:line="580" w:lineRule="exact"/>
        <w:jc w:val="center"/>
        <w:rPr>
          <w:rFonts w:ascii="宋体" w:cs="宋体"/>
          <w:b/>
          <w:bCs/>
          <w:kern w:val="0"/>
          <w:sz w:val="44"/>
          <w:szCs w:val="44"/>
        </w:rPr>
      </w:pPr>
      <w:r>
        <w:rPr>
          <w:rFonts w:ascii="宋体"/>
          <w:sz w:val="23"/>
          <w:szCs w:val="23"/>
        </w:rPr>
        <w:br w:type="page"/>
      </w:r>
      <w:r>
        <w:rPr>
          <w:rFonts w:hint="eastAsia" w:ascii="宋体" w:hAnsi="宋体" w:cs="宋体"/>
          <w:b/>
          <w:bCs/>
          <w:kern w:val="0"/>
          <w:sz w:val="44"/>
          <w:szCs w:val="44"/>
        </w:rPr>
        <w:t>浙江海晟药业有限公司</w:t>
      </w:r>
    </w:p>
    <w:p>
      <w:pPr>
        <w:pStyle w:val="2"/>
        <w:jc w:val="center"/>
        <w:rPr>
          <w:szCs w:val="32"/>
        </w:rPr>
      </w:pPr>
      <w:bookmarkStart w:id="22" w:name="_Toc528760907"/>
      <w:r>
        <w:rPr>
          <w:rFonts w:hint="eastAsia"/>
          <w:szCs w:val="32"/>
        </w:rPr>
        <w:t>增资扩股协议</w:t>
      </w:r>
      <w:bookmarkEnd w:id="22"/>
    </w:p>
    <w:p>
      <w:pPr>
        <w:widowControl/>
        <w:spacing w:line="580" w:lineRule="exact"/>
        <w:jc w:val="center"/>
        <w:rPr>
          <w:rFonts w:ascii="黑体" w:hAnsi="宋体" w:eastAsia="黑体" w:cs="宋体"/>
          <w:b/>
          <w:bCs/>
          <w:kern w:val="0"/>
          <w:sz w:val="22"/>
        </w:rPr>
      </w:pPr>
    </w:p>
    <w:p>
      <w:pPr>
        <w:widowControl/>
        <w:spacing w:line="580" w:lineRule="exact"/>
        <w:jc w:val="center"/>
        <w:rPr>
          <w:rFonts w:ascii="黑体" w:eastAsia="黑体" w:cs="宋体"/>
          <w:kern w:val="0"/>
          <w:sz w:val="16"/>
          <w:szCs w:val="18"/>
        </w:rPr>
      </w:pPr>
    </w:p>
    <w:p>
      <w:pPr>
        <w:widowControl/>
        <w:spacing w:line="500" w:lineRule="exact"/>
        <w:rPr>
          <w:rFonts w:ascii="宋体" w:cs="宋体"/>
          <w:kern w:val="0"/>
          <w:sz w:val="24"/>
          <w:szCs w:val="24"/>
        </w:rPr>
      </w:pPr>
      <w:r>
        <w:rPr>
          <w:rFonts w:hint="eastAsia" w:ascii="宋体" w:hAnsi="宋体" w:cs="宋体"/>
          <w:kern w:val="0"/>
          <w:sz w:val="24"/>
          <w:szCs w:val="24"/>
        </w:rPr>
        <w:t>甲方：浙江海晟药业有限公司</w:t>
      </w:r>
    </w:p>
    <w:p>
      <w:pPr>
        <w:widowControl/>
        <w:spacing w:line="500" w:lineRule="exact"/>
        <w:jc w:val="left"/>
        <w:rPr>
          <w:rFonts w:ascii="宋体" w:hAnsi="宋体" w:cs="宋体"/>
          <w:kern w:val="0"/>
          <w:sz w:val="24"/>
          <w:szCs w:val="24"/>
        </w:rPr>
      </w:pPr>
      <w:r>
        <w:rPr>
          <w:rFonts w:hint="eastAsia" w:ascii="宋体" w:hAnsi="宋体" w:cs="宋体"/>
          <w:kern w:val="0"/>
          <w:sz w:val="24"/>
          <w:szCs w:val="24"/>
        </w:rPr>
        <w:t>主体资格证号：</w:t>
      </w:r>
      <w:r>
        <w:rPr>
          <w:rFonts w:ascii="宋体" w:hAnsi="宋体" w:cs="宋体"/>
          <w:kern w:val="0"/>
          <w:sz w:val="24"/>
          <w:szCs w:val="24"/>
        </w:rPr>
        <w:t>91331002MA2AMRGN3Q</w:t>
      </w:r>
    </w:p>
    <w:p>
      <w:pPr>
        <w:widowControl/>
        <w:spacing w:line="500" w:lineRule="exact"/>
        <w:jc w:val="left"/>
        <w:rPr>
          <w:rFonts w:ascii="宋体" w:hAnsi="宋体" w:cs="宋体"/>
          <w:kern w:val="0"/>
          <w:sz w:val="24"/>
          <w:szCs w:val="24"/>
        </w:rPr>
      </w:pPr>
      <w:r>
        <w:rPr>
          <w:rFonts w:hint="eastAsia" w:ascii="宋体" w:hAnsi="宋体" w:cs="宋体"/>
          <w:kern w:val="0"/>
          <w:sz w:val="24"/>
          <w:szCs w:val="24"/>
        </w:rPr>
        <w:t>注册地址</w:t>
      </w:r>
      <w:r>
        <w:rPr>
          <w:rFonts w:ascii="宋体" w:hAnsi="宋体" w:cs="宋体"/>
          <w:kern w:val="0"/>
          <w:sz w:val="24"/>
          <w:szCs w:val="24"/>
        </w:rPr>
        <w:t>/</w:t>
      </w:r>
      <w:r>
        <w:rPr>
          <w:rFonts w:hint="eastAsia" w:ascii="宋体" w:hAnsi="宋体" w:cs="宋体"/>
          <w:kern w:val="0"/>
          <w:sz w:val="24"/>
          <w:szCs w:val="24"/>
        </w:rPr>
        <w:t>住所：台州</w:t>
      </w:r>
    </w:p>
    <w:p>
      <w:pPr>
        <w:widowControl/>
        <w:spacing w:line="500" w:lineRule="exact"/>
        <w:jc w:val="left"/>
        <w:rPr>
          <w:rFonts w:ascii="宋体" w:cs="宋体"/>
          <w:kern w:val="0"/>
          <w:sz w:val="24"/>
          <w:szCs w:val="24"/>
        </w:rPr>
      </w:pPr>
      <w:r>
        <w:rPr>
          <w:rFonts w:hint="eastAsia" w:ascii="宋体" w:hAnsi="宋体" w:cs="宋体"/>
          <w:kern w:val="0"/>
          <w:sz w:val="24"/>
          <w:szCs w:val="24"/>
        </w:rPr>
        <w:t>经济性质：其他有限责任公司</w:t>
      </w:r>
    </w:p>
    <w:p>
      <w:pPr>
        <w:widowControl/>
        <w:spacing w:line="500" w:lineRule="exact"/>
        <w:jc w:val="left"/>
        <w:rPr>
          <w:rFonts w:ascii="宋体" w:cs="宋体"/>
          <w:kern w:val="0"/>
          <w:sz w:val="24"/>
          <w:szCs w:val="24"/>
        </w:rPr>
      </w:pPr>
      <w:r>
        <w:rPr>
          <w:rFonts w:hint="eastAsia" w:ascii="宋体" w:hAnsi="宋体" w:cs="宋体"/>
          <w:kern w:val="0"/>
          <w:sz w:val="24"/>
          <w:szCs w:val="24"/>
        </w:rPr>
        <w:t>法定代表人：白  骅</w:t>
      </w:r>
    </w:p>
    <w:p>
      <w:pPr>
        <w:widowControl/>
        <w:spacing w:line="500" w:lineRule="exact"/>
        <w:jc w:val="left"/>
        <w:rPr>
          <w:rFonts w:ascii="宋体" w:cs="宋体"/>
          <w:kern w:val="0"/>
          <w:sz w:val="24"/>
          <w:szCs w:val="24"/>
        </w:rPr>
      </w:pPr>
    </w:p>
    <w:p>
      <w:pPr>
        <w:spacing w:line="500" w:lineRule="exact"/>
        <w:rPr>
          <w:rFonts w:ascii="宋体"/>
          <w:sz w:val="24"/>
          <w:szCs w:val="24"/>
        </w:rPr>
      </w:pPr>
    </w:p>
    <w:p>
      <w:pPr>
        <w:widowControl/>
        <w:spacing w:line="500" w:lineRule="exact"/>
        <w:rPr>
          <w:rFonts w:ascii="宋体" w:cs="宋体"/>
          <w:kern w:val="0"/>
          <w:sz w:val="24"/>
          <w:szCs w:val="24"/>
        </w:rPr>
      </w:pPr>
      <w:r>
        <w:rPr>
          <w:rFonts w:hint="eastAsia" w:ascii="宋体" w:hAnsi="宋体" w:cs="宋体"/>
          <w:kern w:val="0"/>
          <w:sz w:val="24"/>
          <w:szCs w:val="24"/>
        </w:rPr>
        <w:t>乙方：</w:t>
      </w:r>
    </w:p>
    <w:p>
      <w:pPr>
        <w:widowControl/>
        <w:spacing w:line="500" w:lineRule="exact"/>
        <w:rPr>
          <w:rFonts w:ascii="宋体" w:cs="宋体"/>
          <w:kern w:val="0"/>
          <w:sz w:val="24"/>
          <w:szCs w:val="24"/>
        </w:rPr>
      </w:pPr>
      <w:r>
        <w:rPr>
          <w:rFonts w:hint="eastAsia" w:ascii="宋体" w:hAnsi="宋体" w:cs="宋体"/>
          <w:kern w:val="0"/>
          <w:sz w:val="24"/>
          <w:szCs w:val="24"/>
        </w:rPr>
        <w:t>主体资格证号：</w:t>
      </w:r>
    </w:p>
    <w:p>
      <w:pPr>
        <w:widowControl/>
        <w:spacing w:line="500" w:lineRule="exact"/>
        <w:rPr>
          <w:rFonts w:ascii="宋体" w:cs="宋体"/>
          <w:kern w:val="0"/>
          <w:sz w:val="24"/>
          <w:szCs w:val="24"/>
        </w:rPr>
      </w:pPr>
      <w:r>
        <w:rPr>
          <w:rFonts w:hint="eastAsia" w:ascii="宋体" w:hAnsi="宋体" w:cs="宋体"/>
          <w:kern w:val="0"/>
          <w:sz w:val="24"/>
          <w:szCs w:val="24"/>
        </w:rPr>
        <w:t>注册地址</w:t>
      </w:r>
      <w:r>
        <w:rPr>
          <w:rFonts w:ascii="宋体" w:hAnsi="宋体" w:cs="宋体"/>
          <w:kern w:val="0"/>
          <w:sz w:val="24"/>
          <w:szCs w:val="24"/>
        </w:rPr>
        <w:t>/</w:t>
      </w:r>
      <w:r>
        <w:rPr>
          <w:rFonts w:hint="eastAsia" w:ascii="宋体" w:hAnsi="宋体" w:cs="宋体"/>
          <w:kern w:val="0"/>
          <w:sz w:val="24"/>
          <w:szCs w:val="24"/>
        </w:rPr>
        <w:t>住所：</w:t>
      </w:r>
    </w:p>
    <w:p>
      <w:pPr>
        <w:widowControl/>
        <w:spacing w:line="500" w:lineRule="exact"/>
        <w:rPr>
          <w:rFonts w:ascii="宋体" w:cs="宋体"/>
          <w:kern w:val="0"/>
          <w:sz w:val="24"/>
          <w:szCs w:val="24"/>
        </w:rPr>
      </w:pPr>
      <w:r>
        <w:rPr>
          <w:rFonts w:hint="eastAsia" w:ascii="宋体" w:hAnsi="宋体" w:cs="宋体"/>
          <w:kern w:val="0"/>
          <w:sz w:val="24"/>
          <w:szCs w:val="24"/>
        </w:rPr>
        <w:t>经济性质：</w:t>
      </w:r>
    </w:p>
    <w:p>
      <w:pPr>
        <w:widowControl/>
        <w:spacing w:line="500" w:lineRule="exact"/>
        <w:rPr>
          <w:rFonts w:ascii="宋体" w:cs="宋体"/>
          <w:kern w:val="0"/>
          <w:sz w:val="24"/>
          <w:szCs w:val="24"/>
        </w:rPr>
      </w:pPr>
      <w:r>
        <w:rPr>
          <w:rFonts w:hint="eastAsia" w:ascii="宋体" w:hAnsi="宋体" w:cs="宋体"/>
          <w:kern w:val="0"/>
          <w:sz w:val="24"/>
          <w:szCs w:val="24"/>
        </w:rPr>
        <w:t>法定代表人：</w:t>
      </w:r>
    </w:p>
    <w:p>
      <w:pPr>
        <w:widowControl/>
        <w:spacing w:line="500" w:lineRule="exact"/>
        <w:rPr>
          <w:rFonts w:ascii="宋体" w:cs="宋体"/>
          <w:kern w:val="0"/>
          <w:sz w:val="24"/>
          <w:szCs w:val="24"/>
        </w:rPr>
      </w:pPr>
    </w:p>
    <w:p>
      <w:pPr>
        <w:widowControl/>
        <w:spacing w:line="500" w:lineRule="exact"/>
        <w:jc w:val="left"/>
        <w:rPr>
          <w:rFonts w:ascii="宋体" w:cs="宋体"/>
          <w:b/>
          <w:kern w:val="0"/>
          <w:sz w:val="24"/>
          <w:szCs w:val="24"/>
        </w:rPr>
      </w:pPr>
      <w:r>
        <w:rPr>
          <w:rFonts w:ascii="宋体" w:cs="宋体"/>
          <w:b/>
          <w:kern w:val="0"/>
          <w:sz w:val="24"/>
          <w:szCs w:val="24"/>
        </w:rPr>
        <w:br w:type="page"/>
      </w:r>
      <w:r>
        <w:rPr>
          <w:rFonts w:hint="eastAsia" w:ascii="宋体" w:hAnsi="宋体" w:cs="宋体"/>
          <w:b/>
          <w:kern w:val="0"/>
          <w:sz w:val="24"/>
          <w:szCs w:val="24"/>
        </w:rPr>
        <w:t>鉴于：</w:t>
      </w:r>
    </w:p>
    <w:p>
      <w:pPr>
        <w:spacing w:line="500" w:lineRule="exact"/>
        <w:ind w:firstLine="480" w:firstLineChars="200"/>
        <w:rPr>
          <w:rFonts w:ascii="宋体" w:cs="宋体"/>
          <w:kern w:val="0"/>
          <w:sz w:val="24"/>
          <w:szCs w:val="24"/>
        </w:rPr>
      </w:pPr>
      <w:r>
        <w:rPr>
          <w:rFonts w:hint="eastAsia" w:ascii="宋体" w:hAnsi="宋体" w:cs="宋体"/>
          <w:kern w:val="0"/>
          <w:sz w:val="24"/>
          <w:szCs w:val="24"/>
        </w:rPr>
        <w:t>（一）甲方是依法设立、合法存续的有限责任公司；</w:t>
      </w:r>
    </w:p>
    <w:p>
      <w:pPr>
        <w:spacing w:line="500" w:lineRule="exact"/>
        <w:ind w:firstLine="480" w:firstLineChars="200"/>
        <w:rPr>
          <w:rFonts w:ascii="宋体" w:cs="宋体"/>
          <w:kern w:val="0"/>
          <w:sz w:val="24"/>
          <w:szCs w:val="24"/>
        </w:rPr>
      </w:pPr>
      <w:r>
        <w:rPr>
          <w:rFonts w:hint="eastAsia" w:ascii="宋体" w:hAnsi="宋体" w:cs="宋体"/>
          <w:kern w:val="0"/>
          <w:sz w:val="24"/>
          <w:szCs w:val="24"/>
        </w:rPr>
        <w:t>（二）乙方是</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spacing w:line="500" w:lineRule="exact"/>
        <w:ind w:firstLine="480" w:firstLineChars="200"/>
        <w:rPr>
          <w:rFonts w:ascii="宋体" w:cs="宋体"/>
          <w:kern w:val="0"/>
          <w:sz w:val="24"/>
          <w:szCs w:val="24"/>
        </w:rPr>
      </w:pPr>
      <w:r>
        <w:rPr>
          <w:rFonts w:hint="eastAsia" w:ascii="宋体" w:hAnsi="宋体" w:cs="宋体"/>
          <w:kern w:val="0"/>
          <w:sz w:val="24"/>
          <w:szCs w:val="24"/>
        </w:rPr>
        <w:t>（三）甲方通过台州市产权交易所有限公司，以公开征集投资方（即新增加股东）的方式认购12631.5789万元注册资本，投资方以台州市产权交易所有限公司公布的报名条件和增资规则对上述标的进行增资；</w:t>
      </w:r>
    </w:p>
    <w:p>
      <w:pPr>
        <w:wordWrap w:val="0"/>
        <w:spacing w:line="500" w:lineRule="exact"/>
        <w:ind w:firstLine="480" w:firstLineChars="200"/>
        <w:rPr>
          <w:rFonts w:ascii="宋体" w:cs="宋体"/>
          <w:kern w:val="0"/>
          <w:sz w:val="24"/>
          <w:szCs w:val="24"/>
        </w:rPr>
      </w:pPr>
      <w:r>
        <w:rPr>
          <w:rFonts w:hint="eastAsia" w:ascii="宋体" w:hAnsi="宋体" w:cs="宋体"/>
          <w:kern w:val="0"/>
          <w:sz w:val="24"/>
          <w:szCs w:val="24"/>
        </w:rPr>
        <w:t>（四）乙方自愿参与甲方本次增资扩股计划，且已通过台州市产权交易所有限公司的增资程序拟投资</w:t>
      </w:r>
      <w:r>
        <w:rPr>
          <w:rFonts w:hint="eastAsia" w:ascii="宋体" w:hAnsi="宋体" w:cs="宋体"/>
          <w:kern w:val="0"/>
          <w:sz w:val="24"/>
          <w:szCs w:val="24"/>
          <w:u w:val="single"/>
        </w:rPr>
        <w:t xml:space="preserve">          </w:t>
      </w:r>
      <w:r>
        <w:rPr>
          <w:rFonts w:hint="eastAsia" w:ascii="宋体" w:hAnsi="宋体" w:cs="宋体"/>
          <w:kern w:val="0"/>
          <w:sz w:val="24"/>
          <w:szCs w:val="24"/>
        </w:rPr>
        <w:t>万元，投资后</w:t>
      </w:r>
      <w:r>
        <w:rPr>
          <w:rFonts w:hint="eastAsia" w:ascii="宋体" w:hAnsi="宋体"/>
          <w:sz w:val="24"/>
          <w:szCs w:val="24"/>
        </w:rPr>
        <w:t>占得浙江海晟药业有限公司股权比例为</w:t>
      </w:r>
      <w:r>
        <w:rPr>
          <w:rFonts w:hint="eastAsia" w:ascii="宋体" w:hAnsi="宋体"/>
          <w:sz w:val="24"/>
          <w:szCs w:val="24"/>
          <w:u w:val="single"/>
        </w:rPr>
        <w:t>﹍        %</w:t>
      </w:r>
      <w:r>
        <w:rPr>
          <w:rFonts w:hint="eastAsia" w:ascii="宋体" w:hAnsi="宋体" w:cs="宋体"/>
          <w:kern w:val="0"/>
          <w:sz w:val="24"/>
          <w:szCs w:val="24"/>
        </w:rPr>
        <w:t>；</w:t>
      </w:r>
    </w:p>
    <w:p>
      <w:pPr>
        <w:spacing w:line="500" w:lineRule="exact"/>
        <w:ind w:firstLine="480" w:firstLineChars="200"/>
        <w:rPr>
          <w:rFonts w:ascii="宋体" w:cs="宋体"/>
          <w:kern w:val="0"/>
          <w:sz w:val="24"/>
          <w:szCs w:val="24"/>
        </w:rPr>
      </w:pPr>
      <w:r>
        <w:rPr>
          <w:rFonts w:hint="eastAsia" w:ascii="宋体" w:hAnsi="宋体" w:cs="宋体"/>
          <w:kern w:val="0"/>
          <w:sz w:val="24"/>
          <w:szCs w:val="24"/>
        </w:rPr>
        <w:t>基于友好协商、平等合作的基础，根据《中华人民共和国公司法》、《中华人民共和国合同法》及其他有关法律、法规，就甲方本次增资扩股事宜，达成如下协议，以资共同遵守。</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第一条</w:t>
      </w:r>
      <w:r>
        <w:rPr>
          <w:rFonts w:hint="eastAsia" w:ascii="宋体" w:hAnsi="宋体" w:cs="宋体"/>
          <w:kern w:val="0"/>
          <w:sz w:val="24"/>
          <w:szCs w:val="24"/>
        </w:rPr>
        <w:t>公司的名称、法定代表人、注册地址</w:t>
      </w:r>
    </w:p>
    <w:p>
      <w:pPr>
        <w:spacing w:line="500" w:lineRule="exact"/>
        <w:ind w:firstLine="480" w:firstLineChars="200"/>
        <w:rPr>
          <w:rFonts w:ascii="宋体" w:cs="宋体"/>
          <w:kern w:val="0"/>
          <w:sz w:val="24"/>
          <w:szCs w:val="24"/>
        </w:rPr>
      </w:pPr>
      <w:r>
        <w:rPr>
          <w:rFonts w:hint="eastAsia" w:ascii="宋体" w:hAnsi="宋体" w:cs="宋体"/>
          <w:kern w:val="0"/>
          <w:sz w:val="24"/>
          <w:szCs w:val="24"/>
        </w:rPr>
        <w:t>公司中文名称：浙江海晟药业有限公司</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法定代表人：白  骅</w:t>
      </w:r>
    </w:p>
    <w:p>
      <w:pPr>
        <w:widowControl/>
        <w:spacing w:line="500" w:lineRule="exact"/>
        <w:ind w:firstLine="480" w:firstLineChars="200"/>
        <w:jc w:val="left"/>
        <w:rPr>
          <w:rFonts w:ascii="宋体"/>
          <w:sz w:val="24"/>
          <w:szCs w:val="24"/>
        </w:rPr>
      </w:pPr>
      <w:r>
        <w:rPr>
          <w:rFonts w:hint="eastAsia" w:ascii="宋体" w:hAnsi="宋体" w:cs="宋体"/>
          <w:kern w:val="0"/>
          <w:sz w:val="24"/>
          <w:szCs w:val="24"/>
        </w:rPr>
        <w:t>注册地址：浙江省台州市椒江区外沙路46号38幢131室</w:t>
      </w:r>
    </w:p>
    <w:p>
      <w:pPr>
        <w:spacing w:line="500" w:lineRule="exact"/>
        <w:ind w:firstLine="361" w:firstLineChars="150"/>
        <w:rPr>
          <w:rFonts w:ascii="宋体" w:cs="宋体"/>
          <w:kern w:val="0"/>
          <w:sz w:val="24"/>
          <w:szCs w:val="24"/>
        </w:rPr>
      </w:pPr>
      <w:r>
        <w:rPr>
          <w:rFonts w:hint="eastAsia" w:ascii="宋体" w:hAnsi="宋体" w:cs="宋体"/>
          <w:b/>
          <w:kern w:val="0"/>
          <w:sz w:val="24"/>
          <w:szCs w:val="24"/>
        </w:rPr>
        <w:t>第二条</w:t>
      </w:r>
      <w:r>
        <w:rPr>
          <w:rFonts w:hint="eastAsia" w:ascii="宋体" w:hAnsi="宋体" w:cs="宋体"/>
          <w:kern w:val="0"/>
          <w:sz w:val="24"/>
          <w:szCs w:val="24"/>
        </w:rPr>
        <w:t>公司增资前的注册资本</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注册资本为：（人民币）3</w:t>
      </w:r>
      <w:r>
        <w:rPr>
          <w:rFonts w:ascii="宋体" w:hAnsi="宋体" w:cs="宋体"/>
          <w:kern w:val="0"/>
          <w:sz w:val="24"/>
          <w:szCs w:val="24"/>
        </w:rPr>
        <w:t>0,000</w:t>
      </w:r>
      <w:r>
        <w:rPr>
          <w:rFonts w:hint="eastAsia" w:ascii="宋体" w:hAnsi="宋体" w:cs="宋体"/>
          <w:kern w:val="0"/>
          <w:sz w:val="24"/>
          <w:szCs w:val="24"/>
        </w:rPr>
        <w:t>万元</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第三条</w:t>
      </w:r>
      <w:r>
        <w:rPr>
          <w:rFonts w:hint="eastAsia" w:ascii="宋体" w:hAnsi="宋体" w:cs="宋体"/>
          <w:kern w:val="0"/>
          <w:sz w:val="24"/>
          <w:szCs w:val="24"/>
        </w:rPr>
        <w:t>公司增资前的股东结构</w:t>
      </w:r>
    </w:p>
    <w:tbl>
      <w:tblPr>
        <w:tblStyle w:val="19"/>
        <w:tblW w:w="7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260"/>
        <w:gridCol w:w="226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04" w:type="dxa"/>
            <w:vAlign w:val="center"/>
          </w:tcPr>
          <w:p>
            <w:pPr>
              <w:spacing w:line="500" w:lineRule="exact"/>
              <w:rPr>
                <w:rFonts w:ascii="宋体"/>
                <w:sz w:val="24"/>
                <w:szCs w:val="24"/>
              </w:rPr>
            </w:pPr>
            <w:r>
              <w:rPr>
                <w:rFonts w:hint="eastAsia" w:ascii="宋体" w:hAnsi="宋体"/>
                <w:sz w:val="24"/>
                <w:szCs w:val="24"/>
              </w:rPr>
              <w:t>序号</w:t>
            </w:r>
          </w:p>
        </w:tc>
        <w:tc>
          <w:tcPr>
            <w:tcW w:w="3260" w:type="dxa"/>
            <w:vAlign w:val="center"/>
          </w:tcPr>
          <w:p>
            <w:pPr>
              <w:spacing w:line="500" w:lineRule="exact"/>
              <w:jc w:val="center"/>
              <w:rPr>
                <w:rFonts w:ascii="宋体"/>
                <w:sz w:val="24"/>
                <w:szCs w:val="24"/>
              </w:rPr>
            </w:pPr>
            <w:r>
              <w:rPr>
                <w:rFonts w:hint="eastAsia" w:ascii="宋体" w:hAnsi="宋体"/>
                <w:sz w:val="24"/>
                <w:szCs w:val="24"/>
              </w:rPr>
              <w:t>股东名称</w:t>
            </w:r>
          </w:p>
        </w:tc>
        <w:tc>
          <w:tcPr>
            <w:tcW w:w="2268" w:type="dxa"/>
            <w:vAlign w:val="center"/>
          </w:tcPr>
          <w:p>
            <w:pPr>
              <w:spacing w:line="500" w:lineRule="exact"/>
              <w:jc w:val="center"/>
              <w:rPr>
                <w:rFonts w:ascii="宋体"/>
                <w:sz w:val="24"/>
                <w:szCs w:val="24"/>
              </w:rPr>
            </w:pPr>
            <w:r>
              <w:rPr>
                <w:rFonts w:hint="eastAsia" w:ascii="宋体" w:hAnsi="宋体"/>
                <w:sz w:val="24"/>
                <w:szCs w:val="24"/>
              </w:rPr>
              <w:t>认缴出资（万元）</w:t>
            </w:r>
          </w:p>
        </w:tc>
        <w:tc>
          <w:tcPr>
            <w:tcW w:w="1596" w:type="dxa"/>
            <w:vAlign w:val="center"/>
          </w:tcPr>
          <w:p>
            <w:pPr>
              <w:spacing w:line="500" w:lineRule="exact"/>
              <w:jc w:val="center"/>
              <w:rPr>
                <w:rFonts w:ascii="宋体"/>
                <w:sz w:val="24"/>
                <w:szCs w:val="24"/>
              </w:rPr>
            </w:pPr>
            <w:r>
              <w:rPr>
                <w:rFonts w:hint="eastAsia" w:ascii="宋体" w:hAnsi="宋体"/>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804" w:type="dxa"/>
            <w:vAlign w:val="center"/>
          </w:tcPr>
          <w:p>
            <w:pPr>
              <w:spacing w:line="500" w:lineRule="exact"/>
              <w:jc w:val="center"/>
              <w:rPr>
                <w:rFonts w:ascii="宋体"/>
                <w:sz w:val="24"/>
                <w:szCs w:val="24"/>
              </w:rPr>
            </w:pPr>
            <w:r>
              <w:rPr>
                <w:rFonts w:ascii="宋体" w:hAnsi="宋体"/>
                <w:sz w:val="24"/>
                <w:szCs w:val="24"/>
              </w:rPr>
              <w:t>1</w:t>
            </w:r>
          </w:p>
        </w:tc>
        <w:tc>
          <w:tcPr>
            <w:tcW w:w="3260" w:type="dxa"/>
            <w:vAlign w:val="center"/>
          </w:tcPr>
          <w:p>
            <w:pPr>
              <w:jc w:val="left"/>
              <w:rPr>
                <w:rFonts w:ascii="宋体" w:hAnsi="宋体"/>
                <w:sz w:val="24"/>
                <w:szCs w:val="24"/>
              </w:rPr>
            </w:pPr>
            <w:r>
              <w:rPr>
                <w:rFonts w:hint="eastAsia" w:ascii="宋体" w:hAnsi="宋体"/>
                <w:sz w:val="24"/>
                <w:szCs w:val="24"/>
              </w:rPr>
              <w:t>浙江海正药业股份有限公司</w:t>
            </w:r>
          </w:p>
        </w:tc>
        <w:tc>
          <w:tcPr>
            <w:tcW w:w="2268" w:type="dxa"/>
            <w:vAlign w:val="center"/>
          </w:tcPr>
          <w:p>
            <w:pPr>
              <w:jc w:val="center"/>
              <w:rPr>
                <w:rFonts w:ascii="宋体" w:hAnsi="宋体"/>
                <w:sz w:val="24"/>
                <w:szCs w:val="24"/>
              </w:rPr>
            </w:pPr>
            <w:r>
              <w:rPr>
                <w:rFonts w:ascii="宋体" w:hAnsi="宋体"/>
                <w:sz w:val="24"/>
                <w:szCs w:val="24"/>
              </w:rPr>
              <w:t>10,086.18</w:t>
            </w:r>
            <w:r>
              <w:rPr>
                <w:rFonts w:hint="eastAsia" w:ascii="宋体" w:hAnsi="宋体"/>
                <w:sz w:val="24"/>
                <w:szCs w:val="24"/>
              </w:rPr>
              <w:t>万元</w:t>
            </w:r>
          </w:p>
        </w:tc>
        <w:tc>
          <w:tcPr>
            <w:tcW w:w="1596" w:type="dxa"/>
            <w:vAlign w:val="center"/>
          </w:tcPr>
          <w:p>
            <w:pPr>
              <w:jc w:val="center"/>
              <w:rPr>
                <w:rFonts w:ascii="宋体" w:hAnsi="宋体"/>
                <w:sz w:val="24"/>
                <w:szCs w:val="24"/>
              </w:rPr>
            </w:pPr>
            <w:r>
              <w:rPr>
                <w:rFonts w:ascii="宋体" w:hAnsi="宋体"/>
                <w:sz w:val="24"/>
                <w:szCs w:val="24"/>
              </w:rPr>
              <w:t>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04" w:type="dxa"/>
            <w:vAlign w:val="center"/>
          </w:tcPr>
          <w:p>
            <w:pPr>
              <w:spacing w:line="500" w:lineRule="exact"/>
              <w:jc w:val="center"/>
              <w:rPr>
                <w:rFonts w:ascii="宋体"/>
                <w:sz w:val="24"/>
                <w:szCs w:val="24"/>
              </w:rPr>
            </w:pPr>
            <w:r>
              <w:rPr>
                <w:rFonts w:ascii="宋体" w:hAnsi="宋体"/>
                <w:sz w:val="24"/>
                <w:szCs w:val="24"/>
              </w:rPr>
              <w:t>2</w:t>
            </w:r>
          </w:p>
        </w:tc>
        <w:tc>
          <w:tcPr>
            <w:tcW w:w="3260" w:type="dxa"/>
            <w:vAlign w:val="center"/>
          </w:tcPr>
          <w:p>
            <w:pPr>
              <w:jc w:val="left"/>
              <w:rPr>
                <w:rFonts w:ascii="宋体" w:hAnsi="宋体"/>
                <w:sz w:val="24"/>
                <w:szCs w:val="24"/>
              </w:rPr>
            </w:pPr>
            <w:r>
              <w:rPr>
                <w:rFonts w:hint="eastAsia" w:ascii="宋体" w:hAnsi="宋体"/>
                <w:sz w:val="24"/>
                <w:szCs w:val="24"/>
              </w:rPr>
              <w:t>海正药业（杭州）有限公司</w:t>
            </w:r>
          </w:p>
        </w:tc>
        <w:tc>
          <w:tcPr>
            <w:tcW w:w="2268" w:type="dxa"/>
            <w:vAlign w:val="center"/>
          </w:tcPr>
          <w:p>
            <w:pPr>
              <w:jc w:val="center"/>
              <w:rPr>
                <w:rFonts w:ascii="宋体" w:hAnsi="宋体"/>
                <w:sz w:val="24"/>
                <w:szCs w:val="24"/>
              </w:rPr>
            </w:pPr>
            <w:r>
              <w:rPr>
                <w:rFonts w:ascii="宋体" w:hAnsi="宋体"/>
                <w:sz w:val="24"/>
                <w:szCs w:val="24"/>
              </w:rPr>
              <w:t>19,913.82</w:t>
            </w:r>
            <w:r>
              <w:rPr>
                <w:rFonts w:hint="eastAsia" w:ascii="宋体" w:hAnsi="宋体"/>
                <w:sz w:val="24"/>
                <w:szCs w:val="24"/>
              </w:rPr>
              <w:t>万元</w:t>
            </w:r>
          </w:p>
        </w:tc>
        <w:tc>
          <w:tcPr>
            <w:tcW w:w="1596" w:type="dxa"/>
            <w:vAlign w:val="center"/>
          </w:tcPr>
          <w:p>
            <w:pPr>
              <w:jc w:val="center"/>
              <w:rPr>
                <w:rFonts w:ascii="宋体" w:hAnsi="宋体"/>
                <w:sz w:val="24"/>
                <w:szCs w:val="24"/>
              </w:rPr>
            </w:pPr>
            <w:r>
              <w:rPr>
                <w:rFonts w:ascii="宋体" w:hAnsi="宋体"/>
                <w:sz w:val="24"/>
                <w:szCs w:val="24"/>
              </w:rPr>
              <w:t>66.38</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064" w:type="dxa"/>
            <w:gridSpan w:val="2"/>
            <w:vAlign w:val="center"/>
          </w:tcPr>
          <w:p>
            <w:pPr>
              <w:spacing w:line="500" w:lineRule="exact"/>
              <w:ind w:firstLine="480"/>
              <w:jc w:val="center"/>
              <w:rPr>
                <w:rFonts w:ascii="宋体"/>
                <w:sz w:val="24"/>
                <w:szCs w:val="24"/>
              </w:rPr>
            </w:pPr>
            <w:r>
              <w:rPr>
                <w:rFonts w:hint="eastAsia" w:ascii="宋体" w:hAnsi="宋体"/>
                <w:sz w:val="24"/>
                <w:szCs w:val="24"/>
              </w:rPr>
              <w:t>合计</w:t>
            </w:r>
          </w:p>
        </w:tc>
        <w:tc>
          <w:tcPr>
            <w:tcW w:w="2268" w:type="dxa"/>
            <w:vAlign w:val="center"/>
          </w:tcPr>
          <w:p>
            <w:pPr>
              <w:spacing w:line="500" w:lineRule="exact"/>
              <w:jc w:val="center"/>
              <w:rPr>
                <w:rFonts w:ascii="宋体"/>
                <w:sz w:val="24"/>
                <w:szCs w:val="24"/>
              </w:rPr>
            </w:pPr>
            <w:r>
              <w:rPr>
                <w:rFonts w:ascii="宋体" w:hAnsi="宋体"/>
                <w:sz w:val="24"/>
                <w:szCs w:val="24"/>
              </w:rPr>
              <w:t>30,000.00</w:t>
            </w:r>
            <w:r>
              <w:rPr>
                <w:rFonts w:hint="eastAsia" w:ascii="宋体" w:hAnsi="宋体"/>
                <w:sz w:val="24"/>
                <w:szCs w:val="24"/>
              </w:rPr>
              <w:t>万元</w:t>
            </w:r>
          </w:p>
        </w:tc>
        <w:tc>
          <w:tcPr>
            <w:tcW w:w="1596" w:type="dxa"/>
          </w:tcPr>
          <w:p>
            <w:pPr>
              <w:spacing w:line="500" w:lineRule="exact"/>
              <w:jc w:val="center"/>
              <w:rPr>
                <w:rFonts w:ascii="宋体"/>
                <w:sz w:val="24"/>
                <w:szCs w:val="24"/>
              </w:rPr>
            </w:pPr>
            <w:r>
              <w:rPr>
                <w:rFonts w:ascii="宋体" w:hAnsi="宋体"/>
                <w:sz w:val="24"/>
                <w:szCs w:val="24"/>
              </w:rPr>
              <w:t>100.00%</w:t>
            </w:r>
          </w:p>
        </w:tc>
      </w:tr>
    </w:tbl>
    <w:p>
      <w:pPr>
        <w:spacing w:line="500" w:lineRule="exact"/>
        <w:ind w:firstLine="482" w:firstLineChars="200"/>
        <w:rPr>
          <w:rFonts w:ascii="宋体" w:cs="宋体"/>
          <w:kern w:val="0"/>
          <w:sz w:val="24"/>
          <w:szCs w:val="24"/>
        </w:rPr>
      </w:pPr>
      <w:r>
        <w:rPr>
          <w:rFonts w:hint="eastAsia" w:ascii="宋体" w:hAnsi="宋体" w:cs="宋体"/>
          <w:b/>
          <w:kern w:val="0"/>
          <w:sz w:val="24"/>
          <w:szCs w:val="24"/>
        </w:rPr>
        <w:t>第四条</w:t>
      </w:r>
      <w:r>
        <w:rPr>
          <w:rFonts w:hint="eastAsia" w:ascii="宋体" w:hAnsi="宋体" w:cs="宋体"/>
          <w:kern w:val="0"/>
          <w:sz w:val="24"/>
          <w:szCs w:val="24"/>
        </w:rPr>
        <w:t>增资方案</w:t>
      </w:r>
    </w:p>
    <w:p>
      <w:pPr>
        <w:spacing w:line="500" w:lineRule="exact"/>
        <w:ind w:firstLine="480" w:firstLineChars="200"/>
        <w:rPr>
          <w:rFonts w:ascii="宋体" w:cs="宋体"/>
          <w:kern w:val="0"/>
          <w:sz w:val="24"/>
          <w:szCs w:val="24"/>
        </w:rPr>
      </w:pPr>
      <w:r>
        <w:rPr>
          <w:rFonts w:hint="eastAsia" w:ascii="宋体" w:hAnsi="宋体" w:cs="宋体"/>
          <w:kern w:val="0"/>
          <w:sz w:val="24"/>
          <w:szCs w:val="24"/>
        </w:rPr>
        <w:t>乙方以现金方式投资</w:t>
      </w:r>
      <w:r>
        <w:rPr>
          <w:rFonts w:hint="eastAsia" w:ascii="宋体" w:hAnsi="宋体" w:cs="宋体"/>
          <w:kern w:val="0"/>
          <w:sz w:val="24"/>
          <w:szCs w:val="24"/>
          <w:u w:val="single"/>
        </w:rPr>
        <w:t xml:space="preserve">             </w:t>
      </w:r>
      <w:r>
        <w:rPr>
          <w:rFonts w:hint="eastAsia" w:ascii="宋体" w:hAnsi="宋体" w:cs="宋体"/>
          <w:kern w:val="0"/>
          <w:sz w:val="24"/>
          <w:szCs w:val="24"/>
        </w:rPr>
        <w:t>万元，其中</w:t>
      </w:r>
      <w:r>
        <w:rPr>
          <w:rFonts w:ascii="宋体" w:hAnsi="宋体" w:cs="宋体"/>
          <w:kern w:val="0"/>
          <w:sz w:val="24"/>
          <w:szCs w:val="24"/>
          <w:u w:val="single"/>
        </w:rPr>
        <w:t>12631.5789万元</w:t>
      </w:r>
      <w:r>
        <w:rPr>
          <w:rFonts w:hint="eastAsia" w:ascii="宋体" w:hAnsi="宋体" w:cs="宋体"/>
          <w:kern w:val="0"/>
          <w:sz w:val="24"/>
          <w:szCs w:val="24"/>
        </w:rPr>
        <w:t>作为注册资本，其余计入资本公积金。</w:t>
      </w:r>
    </w:p>
    <w:p>
      <w:pPr>
        <w:spacing w:line="500" w:lineRule="exact"/>
        <w:ind w:firstLine="482" w:firstLineChars="200"/>
        <w:rPr>
          <w:rFonts w:ascii="宋体" w:hAnsi="宋体" w:cs="宋体"/>
          <w:kern w:val="0"/>
          <w:sz w:val="24"/>
          <w:szCs w:val="24"/>
        </w:rPr>
      </w:pPr>
      <w:r>
        <w:rPr>
          <w:rFonts w:hint="eastAsia" w:ascii="宋体" w:hAnsi="宋体" w:cs="宋体"/>
          <w:b/>
          <w:kern w:val="0"/>
          <w:sz w:val="24"/>
          <w:szCs w:val="24"/>
        </w:rPr>
        <w:t>第五条</w:t>
      </w:r>
      <w:r>
        <w:rPr>
          <w:rFonts w:hint="eastAsia" w:ascii="宋体" w:hAnsi="宋体" w:cs="宋体"/>
          <w:kern w:val="0"/>
          <w:sz w:val="24"/>
          <w:szCs w:val="24"/>
        </w:rPr>
        <w:t>公司增资后的注册资本及股东结构</w:t>
      </w:r>
    </w:p>
    <w:p>
      <w:pPr>
        <w:spacing w:line="500" w:lineRule="exact"/>
        <w:ind w:firstLine="480" w:firstLineChars="200"/>
        <w:jc w:val="left"/>
        <w:rPr>
          <w:rFonts w:ascii="宋体" w:cs="宋体"/>
          <w:kern w:val="0"/>
          <w:sz w:val="24"/>
          <w:szCs w:val="24"/>
        </w:rPr>
      </w:pPr>
      <w:r>
        <w:rPr>
          <w:rFonts w:hint="eastAsia" w:ascii="宋体" w:cs="宋体"/>
          <w:kern w:val="0"/>
          <w:sz w:val="24"/>
          <w:szCs w:val="24"/>
        </w:rPr>
        <w:t>注册资本为：</w:t>
      </w:r>
      <w:r>
        <w:rPr>
          <w:rFonts w:ascii="宋体" w:cs="宋体"/>
          <w:kern w:val="0"/>
          <w:sz w:val="24"/>
          <w:szCs w:val="24"/>
        </w:rPr>
        <w:t>42,631.58</w:t>
      </w:r>
      <w:r>
        <w:rPr>
          <w:rFonts w:hint="eastAsia" w:ascii="宋体" w:cs="宋体"/>
          <w:kern w:val="0"/>
          <w:sz w:val="24"/>
          <w:szCs w:val="24"/>
        </w:rPr>
        <w:t>万元。</w:t>
      </w:r>
    </w:p>
    <w:p>
      <w:pPr>
        <w:spacing w:line="500" w:lineRule="exact"/>
        <w:ind w:firstLine="480"/>
        <w:jc w:val="right"/>
        <w:rPr>
          <w:rFonts w:ascii="宋体" w:hAnsi="宋体"/>
          <w:sz w:val="24"/>
          <w:szCs w:val="24"/>
        </w:rPr>
      </w:pPr>
      <w:r>
        <w:rPr>
          <w:rFonts w:hint="eastAsia" w:ascii="宋体" w:hAnsi="宋体"/>
          <w:sz w:val="24"/>
          <w:szCs w:val="24"/>
        </w:rPr>
        <w:t>单位：万元</w:t>
      </w:r>
    </w:p>
    <w:tbl>
      <w:tblPr>
        <w:tblStyle w:val="19"/>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4"/>
        <w:gridCol w:w="1559"/>
        <w:gridCol w:w="155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0" w:type="dxa"/>
            <w:shd w:val="clear" w:color="auto" w:fill="D9D9D9"/>
            <w:vAlign w:val="center"/>
          </w:tcPr>
          <w:p>
            <w:pPr>
              <w:widowControl/>
              <w:spacing w:line="360" w:lineRule="auto"/>
              <w:jc w:val="center"/>
              <w:rPr>
                <w:rFonts w:ascii="宋体" w:cs="宋体"/>
                <w:bCs/>
                <w:kern w:val="0"/>
                <w:sz w:val="24"/>
              </w:rPr>
            </w:pPr>
            <w:r>
              <w:rPr>
                <w:rFonts w:hint="eastAsia" w:ascii="宋体" w:hAnsi="宋体" w:cs="宋体"/>
                <w:bCs/>
                <w:kern w:val="0"/>
                <w:sz w:val="24"/>
              </w:rPr>
              <w:t>序号</w:t>
            </w:r>
          </w:p>
        </w:tc>
        <w:tc>
          <w:tcPr>
            <w:tcW w:w="1974" w:type="dxa"/>
            <w:shd w:val="clear" w:color="auto" w:fill="D9D9D9"/>
            <w:vAlign w:val="center"/>
          </w:tcPr>
          <w:p>
            <w:pPr>
              <w:widowControl/>
              <w:spacing w:line="360" w:lineRule="auto"/>
              <w:rPr>
                <w:rFonts w:ascii="宋体" w:cs="宋体"/>
                <w:bCs/>
                <w:kern w:val="0"/>
                <w:sz w:val="24"/>
              </w:rPr>
            </w:pPr>
            <w:r>
              <w:rPr>
                <w:rFonts w:hint="eastAsia" w:ascii="宋体" w:hAnsi="宋体" w:cs="宋体"/>
                <w:bCs/>
                <w:kern w:val="0"/>
                <w:sz w:val="24"/>
              </w:rPr>
              <w:t>股东名称或姓名</w:t>
            </w:r>
          </w:p>
        </w:tc>
        <w:tc>
          <w:tcPr>
            <w:tcW w:w="1559" w:type="dxa"/>
            <w:shd w:val="clear" w:color="auto" w:fill="D9D9D9"/>
            <w:vAlign w:val="center"/>
          </w:tcPr>
          <w:p>
            <w:pPr>
              <w:widowControl/>
              <w:spacing w:line="360" w:lineRule="auto"/>
              <w:jc w:val="center"/>
              <w:rPr>
                <w:rFonts w:ascii="宋体" w:cs="宋体"/>
                <w:bCs/>
                <w:kern w:val="0"/>
                <w:sz w:val="24"/>
              </w:rPr>
            </w:pPr>
            <w:r>
              <w:rPr>
                <w:rFonts w:hint="eastAsia" w:ascii="宋体" w:hAnsi="宋体" w:cs="宋体"/>
                <w:bCs/>
                <w:kern w:val="0"/>
                <w:sz w:val="24"/>
              </w:rPr>
              <w:t>增资金额</w:t>
            </w:r>
          </w:p>
        </w:tc>
        <w:tc>
          <w:tcPr>
            <w:tcW w:w="1559" w:type="dxa"/>
            <w:shd w:val="clear" w:color="auto" w:fill="D9D9D9"/>
            <w:vAlign w:val="center"/>
          </w:tcPr>
          <w:p>
            <w:pPr>
              <w:widowControl/>
              <w:spacing w:line="360" w:lineRule="auto"/>
              <w:jc w:val="center"/>
              <w:rPr>
                <w:rFonts w:ascii="宋体" w:cs="宋体"/>
                <w:bCs/>
                <w:kern w:val="0"/>
                <w:sz w:val="24"/>
              </w:rPr>
            </w:pPr>
            <w:r>
              <w:rPr>
                <w:rFonts w:hint="eastAsia" w:ascii="宋体" w:hAnsi="宋体" w:cs="宋体"/>
                <w:bCs/>
                <w:kern w:val="0"/>
                <w:sz w:val="24"/>
              </w:rPr>
              <w:t>新增注册资本</w:t>
            </w:r>
          </w:p>
        </w:tc>
        <w:tc>
          <w:tcPr>
            <w:tcW w:w="1843" w:type="dxa"/>
            <w:shd w:val="clear" w:color="auto" w:fill="D9D9D9"/>
            <w:vAlign w:val="center"/>
          </w:tcPr>
          <w:p>
            <w:pPr>
              <w:widowControl/>
              <w:spacing w:line="360" w:lineRule="auto"/>
              <w:jc w:val="center"/>
              <w:rPr>
                <w:rFonts w:ascii="宋体" w:cs="宋体"/>
                <w:bCs/>
                <w:kern w:val="0"/>
                <w:sz w:val="24"/>
              </w:rPr>
            </w:pPr>
            <w:r>
              <w:rPr>
                <w:rFonts w:hint="eastAsia" w:ascii="宋体" w:hAnsi="宋体" w:cs="宋体"/>
                <w:bCs/>
                <w:kern w:val="0"/>
                <w:sz w:val="24"/>
              </w:rPr>
              <w:t>增资后持股数</w:t>
            </w:r>
          </w:p>
        </w:tc>
        <w:tc>
          <w:tcPr>
            <w:tcW w:w="1559" w:type="dxa"/>
            <w:shd w:val="clear" w:color="auto" w:fill="D9D9D9"/>
            <w:vAlign w:val="center"/>
          </w:tcPr>
          <w:p>
            <w:pPr>
              <w:widowControl/>
              <w:spacing w:line="360" w:lineRule="auto"/>
              <w:jc w:val="center"/>
              <w:rPr>
                <w:rFonts w:ascii="宋体" w:cs="宋体"/>
                <w:bCs/>
                <w:kern w:val="0"/>
                <w:sz w:val="24"/>
              </w:rPr>
            </w:pPr>
            <w:r>
              <w:rPr>
                <w:rFonts w:hint="eastAsia" w:ascii="宋体" w:hAnsi="宋体" w:cs="宋体"/>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0" w:type="dxa"/>
            <w:vAlign w:val="center"/>
          </w:tcPr>
          <w:p>
            <w:pPr>
              <w:widowControl/>
              <w:spacing w:line="360" w:lineRule="auto"/>
              <w:jc w:val="center"/>
              <w:rPr>
                <w:rFonts w:ascii="宋体" w:cs="宋体"/>
                <w:bCs/>
                <w:kern w:val="0"/>
                <w:sz w:val="24"/>
              </w:rPr>
            </w:pPr>
            <w:r>
              <w:rPr>
                <w:rFonts w:ascii="宋体" w:hAnsi="宋体" w:cs="宋体"/>
                <w:bCs/>
                <w:kern w:val="0"/>
                <w:sz w:val="24"/>
              </w:rPr>
              <w:t>1</w:t>
            </w:r>
          </w:p>
        </w:tc>
        <w:tc>
          <w:tcPr>
            <w:tcW w:w="1974" w:type="dxa"/>
          </w:tcPr>
          <w:p>
            <w:r>
              <w:rPr>
                <w:rFonts w:hint="eastAsia"/>
              </w:rPr>
              <w:t>浙江海正药业股份有限公司</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w:t>
            </w:r>
          </w:p>
        </w:tc>
        <w:tc>
          <w:tcPr>
            <w:tcW w:w="1843" w:type="dxa"/>
            <w:vAlign w:val="center"/>
          </w:tcPr>
          <w:p>
            <w:pPr>
              <w:widowControl/>
              <w:jc w:val="right"/>
              <w:rPr>
                <w:rFonts w:ascii="宋体" w:hAnsi="宋体" w:cs="宋体"/>
                <w:kern w:val="0"/>
                <w:sz w:val="24"/>
                <w:szCs w:val="24"/>
              </w:rPr>
            </w:pPr>
            <w:r>
              <w:rPr>
                <w:rFonts w:hint="eastAsia" w:ascii="宋体" w:hAnsi="宋体" w:cs="宋体"/>
                <w:kern w:val="0"/>
                <w:sz w:val="24"/>
                <w:szCs w:val="24"/>
              </w:rPr>
              <w:t>10,086.18</w:t>
            </w:r>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0" w:type="dxa"/>
            <w:vAlign w:val="center"/>
          </w:tcPr>
          <w:p>
            <w:pPr>
              <w:widowControl/>
              <w:spacing w:line="360" w:lineRule="auto"/>
              <w:jc w:val="center"/>
              <w:rPr>
                <w:rFonts w:ascii="宋体" w:cs="宋体"/>
                <w:bCs/>
                <w:kern w:val="0"/>
                <w:sz w:val="24"/>
              </w:rPr>
            </w:pPr>
            <w:r>
              <w:rPr>
                <w:rFonts w:ascii="宋体" w:hAnsi="宋体" w:cs="宋体"/>
                <w:bCs/>
                <w:kern w:val="0"/>
                <w:sz w:val="24"/>
              </w:rPr>
              <w:t>2</w:t>
            </w:r>
          </w:p>
        </w:tc>
        <w:tc>
          <w:tcPr>
            <w:tcW w:w="1974" w:type="dxa"/>
          </w:tcPr>
          <w:p>
            <w:r>
              <w:rPr>
                <w:rFonts w:hint="eastAsia"/>
              </w:rPr>
              <w:t>海正药业（杭州）有限公司</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w:t>
            </w:r>
          </w:p>
        </w:tc>
        <w:tc>
          <w:tcPr>
            <w:tcW w:w="1843" w:type="dxa"/>
            <w:vAlign w:val="center"/>
          </w:tcPr>
          <w:p>
            <w:pPr>
              <w:widowControl/>
              <w:jc w:val="right"/>
              <w:rPr>
                <w:rFonts w:ascii="宋体" w:hAnsi="宋体" w:cs="宋体"/>
                <w:kern w:val="0"/>
                <w:sz w:val="24"/>
                <w:szCs w:val="24"/>
              </w:rPr>
            </w:pPr>
            <w:r>
              <w:rPr>
                <w:rFonts w:hint="eastAsia" w:ascii="宋体" w:hAnsi="宋体" w:cs="宋体"/>
                <w:kern w:val="0"/>
                <w:sz w:val="24"/>
                <w:szCs w:val="24"/>
              </w:rPr>
              <w:t>19,913.82</w:t>
            </w:r>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46.71%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0" w:type="dxa"/>
            <w:vAlign w:val="center"/>
          </w:tcPr>
          <w:p>
            <w:pPr>
              <w:widowControl/>
              <w:spacing w:line="360" w:lineRule="auto"/>
              <w:jc w:val="center"/>
              <w:rPr>
                <w:rFonts w:ascii="宋体" w:cs="宋体"/>
                <w:bCs/>
                <w:kern w:val="0"/>
                <w:sz w:val="24"/>
              </w:rPr>
            </w:pPr>
            <w:r>
              <w:rPr>
                <w:rFonts w:hint="eastAsia" w:ascii="宋体" w:cs="宋体"/>
                <w:bCs/>
                <w:kern w:val="0"/>
                <w:sz w:val="24"/>
              </w:rPr>
              <w:t>3</w:t>
            </w:r>
          </w:p>
        </w:tc>
        <w:tc>
          <w:tcPr>
            <w:tcW w:w="1974" w:type="dxa"/>
            <w:vAlign w:val="center"/>
          </w:tcPr>
          <w:p>
            <w:pPr>
              <w:widowControl/>
              <w:rPr>
                <w:rFonts w:ascii="宋体" w:hAnsi="宋体" w:cs="宋体"/>
                <w:bCs/>
                <w:kern w:val="0"/>
                <w:sz w:val="24"/>
              </w:rPr>
            </w:pPr>
            <w:r>
              <w:rPr>
                <w:rFonts w:hint="eastAsia" w:ascii="宋体" w:hAnsi="宋体" w:cs="宋体"/>
                <w:bCs/>
                <w:kern w:val="0"/>
                <w:sz w:val="24"/>
              </w:rPr>
              <w:t>新增投资者</w:t>
            </w:r>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0,000.00</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12631.5789</w:t>
            </w:r>
          </w:p>
        </w:tc>
        <w:tc>
          <w:tcPr>
            <w:tcW w:w="1843" w:type="dxa"/>
            <w:vAlign w:val="center"/>
          </w:tcPr>
          <w:p>
            <w:pPr>
              <w:widowControl/>
              <w:jc w:val="right"/>
              <w:rPr>
                <w:rFonts w:ascii="宋体" w:hAnsi="宋体" w:cs="宋体"/>
                <w:kern w:val="0"/>
                <w:sz w:val="24"/>
                <w:szCs w:val="24"/>
              </w:rPr>
            </w:pPr>
            <w:r>
              <w:rPr>
                <w:rFonts w:hint="eastAsia" w:ascii="宋体" w:hAnsi="宋体" w:cs="宋体"/>
                <w:kern w:val="0"/>
                <w:sz w:val="24"/>
                <w:szCs w:val="24"/>
              </w:rPr>
              <w:t>12631.5789</w:t>
            </w:r>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29.63%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0" w:type="dxa"/>
            <w:vAlign w:val="center"/>
          </w:tcPr>
          <w:p>
            <w:pPr>
              <w:widowControl/>
              <w:spacing w:line="360" w:lineRule="auto"/>
              <w:jc w:val="center"/>
              <w:rPr>
                <w:rFonts w:ascii="宋体" w:cs="宋体"/>
                <w:bCs/>
                <w:kern w:val="0"/>
                <w:sz w:val="24"/>
              </w:rPr>
            </w:pPr>
          </w:p>
        </w:tc>
        <w:tc>
          <w:tcPr>
            <w:tcW w:w="1974" w:type="dxa"/>
            <w:vAlign w:val="center"/>
          </w:tcPr>
          <w:p>
            <w:pPr>
              <w:widowControl/>
              <w:rPr>
                <w:rFonts w:ascii="宋体" w:hAnsi="宋体" w:cs="宋体"/>
                <w:bCs/>
                <w:kern w:val="0"/>
                <w:sz w:val="24"/>
              </w:rPr>
            </w:pPr>
            <w:r>
              <w:rPr>
                <w:rFonts w:hint="eastAsia" w:ascii="宋体" w:hAnsi="宋体" w:cs="宋体"/>
                <w:bCs/>
                <w:kern w:val="0"/>
                <w:sz w:val="24"/>
              </w:rPr>
              <w:t>合计</w:t>
            </w:r>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0,000.00</w:t>
            </w:r>
          </w:p>
        </w:tc>
        <w:tc>
          <w:tcPr>
            <w:tcW w:w="1559" w:type="dxa"/>
            <w:vAlign w:val="center"/>
          </w:tcPr>
          <w:p>
            <w:pPr>
              <w:widowControl/>
              <w:jc w:val="right"/>
              <w:rPr>
                <w:rFonts w:ascii="宋体" w:hAnsi="宋体" w:cs="宋体"/>
                <w:kern w:val="0"/>
                <w:sz w:val="24"/>
                <w:szCs w:val="24"/>
              </w:rPr>
            </w:pPr>
            <w:r>
              <w:rPr>
                <w:rFonts w:hint="eastAsia" w:ascii="宋体" w:hAnsi="宋体" w:cs="宋体"/>
                <w:kern w:val="0"/>
                <w:sz w:val="24"/>
                <w:szCs w:val="24"/>
              </w:rPr>
              <w:t>12631.5789</w:t>
            </w:r>
          </w:p>
        </w:tc>
        <w:tc>
          <w:tcPr>
            <w:tcW w:w="1843" w:type="dxa"/>
            <w:vAlign w:val="center"/>
          </w:tcPr>
          <w:p>
            <w:pPr>
              <w:widowControl/>
              <w:jc w:val="right"/>
              <w:rPr>
                <w:rFonts w:ascii="宋体" w:hAnsi="宋体" w:cs="宋体"/>
                <w:kern w:val="0"/>
                <w:sz w:val="24"/>
                <w:szCs w:val="24"/>
              </w:rPr>
            </w:pPr>
            <w:bookmarkStart w:id="23" w:name="_Hlk527712646"/>
            <w:r>
              <w:rPr>
                <w:rFonts w:ascii="宋体" w:hAnsi="宋体" w:cs="宋体"/>
                <w:kern w:val="0"/>
                <w:sz w:val="24"/>
                <w:szCs w:val="24"/>
              </w:rPr>
              <w:t>4</w:t>
            </w:r>
            <w:r>
              <w:rPr>
                <w:rFonts w:hint="eastAsia" w:ascii="宋体" w:hAnsi="宋体" w:cs="宋体"/>
                <w:kern w:val="0"/>
                <w:sz w:val="24"/>
                <w:szCs w:val="24"/>
              </w:rPr>
              <w:t>2,631.5789</w:t>
            </w:r>
            <w:bookmarkEnd w:id="23"/>
          </w:p>
        </w:tc>
        <w:tc>
          <w:tcPr>
            <w:tcW w:w="1559" w:type="dxa"/>
            <w:vAlign w:val="center"/>
          </w:tcPr>
          <w:p>
            <w:pPr>
              <w:widowControl/>
              <w:jc w:val="right"/>
              <w:rPr>
                <w:rFonts w:ascii="宋体" w:hAnsi="宋体" w:cs="宋体"/>
                <w:kern w:val="0"/>
                <w:sz w:val="24"/>
                <w:szCs w:val="24"/>
              </w:rPr>
            </w:pPr>
            <w:r>
              <w:rPr>
                <w:rFonts w:ascii="宋体" w:hAnsi="宋体" w:cs="宋体"/>
                <w:kern w:val="0"/>
                <w:sz w:val="24"/>
                <w:szCs w:val="24"/>
              </w:rPr>
              <w:t>100%</w:t>
            </w:r>
          </w:p>
        </w:tc>
      </w:tr>
    </w:tbl>
    <w:p>
      <w:pPr>
        <w:spacing w:line="500" w:lineRule="exact"/>
        <w:ind w:firstLine="480"/>
        <w:jc w:val="left"/>
        <w:rPr>
          <w:rFonts w:ascii="宋体"/>
          <w:sz w:val="24"/>
          <w:szCs w:val="24"/>
        </w:rPr>
      </w:pP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第六条</w:t>
      </w:r>
      <w:r>
        <w:rPr>
          <w:rFonts w:hint="eastAsia" w:ascii="宋体" w:hAnsi="宋体" w:cs="宋体"/>
          <w:kern w:val="0"/>
          <w:sz w:val="24"/>
          <w:szCs w:val="24"/>
        </w:rPr>
        <w:t>投资款的支付</w:t>
      </w:r>
    </w:p>
    <w:p>
      <w:pPr>
        <w:spacing w:line="500" w:lineRule="exact"/>
        <w:ind w:firstLine="480"/>
        <w:rPr>
          <w:rFonts w:ascii="宋体"/>
          <w:bCs/>
          <w:sz w:val="24"/>
          <w:szCs w:val="24"/>
        </w:rPr>
      </w:pPr>
      <w:r>
        <w:rPr>
          <w:rFonts w:hint="eastAsia" w:ascii="宋体" w:hAnsi="宋体"/>
          <w:sz w:val="24"/>
          <w:szCs w:val="24"/>
        </w:rPr>
        <w:t>乙方增资甲方的投资款须一次性付清，在本协议签订之日起</w:t>
      </w:r>
      <w:r>
        <w:rPr>
          <w:rFonts w:ascii="宋体" w:hAnsi="宋体"/>
          <w:sz w:val="24"/>
          <w:szCs w:val="24"/>
        </w:rPr>
        <w:t>2个工作日</w:t>
      </w:r>
      <w:r>
        <w:rPr>
          <w:rFonts w:hint="eastAsia" w:ascii="宋体" w:hAnsi="宋体"/>
          <w:sz w:val="24"/>
          <w:szCs w:val="24"/>
        </w:rPr>
        <w:t>内一次性支付投资款</w:t>
      </w:r>
      <w:r>
        <w:rPr>
          <w:rFonts w:hint="eastAsia" w:ascii="宋体" w:hAnsi="宋体"/>
          <w:sz w:val="24"/>
          <w:szCs w:val="24"/>
          <w:u w:val="single"/>
        </w:rPr>
        <w:t>　　　</w:t>
      </w:r>
      <w:r>
        <w:rPr>
          <w:rFonts w:hint="eastAsia" w:ascii="宋体" w:hAnsi="宋体"/>
          <w:sz w:val="24"/>
          <w:szCs w:val="24"/>
        </w:rPr>
        <w:t>万元。投资款汇入（单位名称：台州市产权交易所有限公司，开户行：浙江民泰商业银行台州椒江支行，帐号：583016260800028）。逾期支付增资成交款项的，视为乙方根本违约。</w:t>
      </w:r>
      <w:r>
        <w:rPr>
          <w:rFonts w:hint="eastAsia" w:ascii="宋体" w:hAnsi="宋体"/>
          <w:bCs/>
          <w:sz w:val="24"/>
          <w:szCs w:val="24"/>
        </w:rPr>
        <w:t>甲方有权解除《增资协议》和《增资确认书》，保证金不予返还。</w:t>
      </w:r>
    </w:p>
    <w:p>
      <w:pPr>
        <w:spacing w:line="500" w:lineRule="exact"/>
        <w:ind w:firstLine="480"/>
        <w:rPr>
          <w:rFonts w:ascii="宋体" w:hAnsi="宋体"/>
          <w:sz w:val="24"/>
          <w:szCs w:val="24"/>
        </w:rPr>
      </w:pPr>
      <w:r>
        <w:rPr>
          <w:rFonts w:hint="eastAsia" w:ascii="宋体" w:hAnsi="宋体"/>
          <w:sz w:val="24"/>
          <w:szCs w:val="24"/>
        </w:rPr>
        <w:t>增资协议签订后，乙方先期汇入的8,000万元竞买保证金转为履约保证金，该保证金可转作部分增资价款。</w:t>
      </w:r>
    </w:p>
    <w:p>
      <w:pPr>
        <w:spacing w:line="500" w:lineRule="exact"/>
        <w:ind w:firstLine="602" w:firstLineChars="250"/>
        <w:rPr>
          <w:rFonts w:ascii="宋体"/>
          <w:kern w:val="0"/>
          <w:sz w:val="24"/>
          <w:szCs w:val="24"/>
        </w:rPr>
      </w:pPr>
      <w:r>
        <w:rPr>
          <w:rFonts w:hint="eastAsia" w:ascii="宋体" w:hAnsi="宋体"/>
          <w:b/>
          <w:kern w:val="0"/>
          <w:sz w:val="24"/>
          <w:szCs w:val="24"/>
        </w:rPr>
        <w:t xml:space="preserve">第七条  </w:t>
      </w:r>
      <w:r>
        <w:rPr>
          <w:rFonts w:hint="eastAsia" w:ascii="宋体" w:hAnsi="宋体"/>
          <w:kern w:val="0"/>
          <w:sz w:val="24"/>
          <w:szCs w:val="24"/>
        </w:rPr>
        <w:t>新股东享有的基本权利</w:t>
      </w:r>
    </w:p>
    <w:p>
      <w:pPr>
        <w:spacing w:line="500" w:lineRule="exact"/>
        <w:ind w:firstLine="480" w:firstLineChars="200"/>
        <w:rPr>
          <w:rFonts w:ascii="宋体"/>
          <w:sz w:val="24"/>
          <w:szCs w:val="24"/>
        </w:rPr>
      </w:pPr>
      <w:r>
        <w:rPr>
          <w:rFonts w:hint="eastAsia" w:ascii="宋体" w:hAnsi="宋体"/>
          <w:sz w:val="24"/>
          <w:szCs w:val="24"/>
        </w:rPr>
        <w:t>享有认购股份项下的全部股东权利。</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 xml:space="preserve">第八条  </w:t>
      </w:r>
      <w:r>
        <w:rPr>
          <w:rFonts w:hint="eastAsia" w:ascii="宋体" w:hAnsi="宋体" w:cs="宋体"/>
          <w:kern w:val="0"/>
          <w:sz w:val="24"/>
          <w:szCs w:val="24"/>
        </w:rPr>
        <w:t>新股东的义务与责任</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1. </w:t>
      </w:r>
      <w:r>
        <w:rPr>
          <w:rFonts w:hint="eastAsia" w:ascii="宋体" w:hAnsi="宋体" w:cs="宋体"/>
          <w:kern w:val="0"/>
          <w:sz w:val="24"/>
          <w:szCs w:val="24"/>
        </w:rPr>
        <w:t>于本协议签订之日起</w:t>
      </w:r>
      <w:r>
        <w:rPr>
          <w:rFonts w:ascii="宋体" w:hAnsi="宋体"/>
          <w:sz w:val="24"/>
          <w:szCs w:val="24"/>
        </w:rPr>
        <w:t>2个工作日</w:t>
      </w:r>
      <w:r>
        <w:rPr>
          <w:rFonts w:hint="eastAsia" w:ascii="宋体" w:hAnsi="宋体" w:cs="宋体"/>
          <w:kern w:val="0"/>
          <w:sz w:val="24"/>
          <w:szCs w:val="24"/>
        </w:rPr>
        <w:t>内，按本协议足额交纳投资款；</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承担</w:t>
      </w:r>
      <w:r>
        <w:rPr>
          <w:rFonts w:hint="eastAsia" w:ascii="宋体" w:hAnsi="宋体"/>
          <w:sz w:val="24"/>
          <w:szCs w:val="24"/>
        </w:rPr>
        <w:t>认购股份项下的全部股东</w:t>
      </w:r>
      <w:r>
        <w:rPr>
          <w:rFonts w:hint="eastAsia" w:ascii="宋体" w:hAnsi="宋体" w:cs="宋体"/>
          <w:kern w:val="0"/>
          <w:sz w:val="24"/>
          <w:szCs w:val="24"/>
        </w:rPr>
        <w:t>义务。</w:t>
      </w:r>
    </w:p>
    <w:p>
      <w:pPr>
        <w:spacing w:line="360" w:lineRule="auto"/>
        <w:ind w:firstLine="482" w:firstLineChars="200"/>
        <w:rPr>
          <w:rFonts w:ascii="宋体"/>
          <w:b/>
          <w:sz w:val="24"/>
        </w:rPr>
      </w:pPr>
      <w:r>
        <w:rPr>
          <w:rFonts w:hint="eastAsia" w:ascii="宋体"/>
          <w:b/>
          <w:sz w:val="24"/>
        </w:rPr>
        <w:t>第九条</w:t>
      </w:r>
      <w:r>
        <w:rPr>
          <w:rFonts w:hint="eastAsia" w:ascii="宋体"/>
          <w:sz w:val="24"/>
        </w:rPr>
        <w:t>本次增资的税收和费用</w:t>
      </w:r>
    </w:p>
    <w:p>
      <w:pPr>
        <w:spacing w:line="360" w:lineRule="auto"/>
        <w:ind w:firstLine="480" w:firstLineChars="200"/>
        <w:rPr>
          <w:rFonts w:ascii="宋体"/>
          <w:sz w:val="24"/>
        </w:rPr>
      </w:pPr>
      <w:r>
        <w:rPr>
          <w:rFonts w:hint="eastAsia" w:ascii="宋体"/>
          <w:sz w:val="24"/>
        </w:rPr>
        <w:t>增资扩股中涉及的有关税收，按照国家有关法律规定甲乙双方自行缴纳。</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 xml:space="preserve">第十条  </w:t>
      </w:r>
      <w:r>
        <w:rPr>
          <w:rFonts w:hint="eastAsia" w:ascii="宋体" w:hAnsi="宋体" w:cs="宋体"/>
          <w:kern w:val="0"/>
          <w:sz w:val="24"/>
          <w:szCs w:val="24"/>
        </w:rPr>
        <w:t>期间损益</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本协议双方一致同意，资产评估基准日到增资工商变更完成日期间的损益由新老股东按持股比例共享。</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 xml:space="preserve">第十一条 </w:t>
      </w:r>
      <w:r>
        <w:rPr>
          <w:rFonts w:hint="eastAsia" w:ascii="宋体" w:hAnsi="宋体" w:cs="宋体"/>
          <w:kern w:val="0"/>
          <w:sz w:val="24"/>
          <w:szCs w:val="24"/>
        </w:rPr>
        <w:t>章程修改及工商变更程序</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本协议双方一致同意根据本协议内容对《公司章程》进行相应修改，并承诺在协议签订后完成向有关国家工商行政管理部门申报的一切必备手续。</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第十二条  违约责任</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本合同各方当事人应当按照法律规定及本协议的约定严格履行各自的义务。当事人一方不履行协议义务或者履行协议义务不符合约定的，应当承担继续履行、采取补救措施或者赔偿损失等违约责任。</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1、甲方应按协议约定履行交付转让标的义务，涉及权属变更登记的应当及时协助乙方办理。如因甲方原因导致逾期交付或迟延办理权属变更登记的，则应自逾期之日起至实际交付或办理之日止按增资总价款的日0.05%向乙方支付违约金。</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2、乙方违反法律或本合同约定导致本合同目的不能实现的，甲方可解除合同并没收乙方履约保证金，对所造成的实际损失违约方应当另行承担赔偿责任。</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3、由于一方的过错造成本合同被认定为无效时，由过错的一方承担违约责任，双方均有过错，则由双方按责任大小承担各自相应的责任。</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第十三条</w:t>
      </w:r>
      <w:bookmarkStart w:id="24" w:name="_Toc145404789"/>
      <w:r>
        <w:rPr>
          <w:rFonts w:hint="eastAsia" w:ascii="宋体" w:hAnsi="宋体" w:cs="宋体"/>
          <w:kern w:val="0"/>
          <w:sz w:val="24"/>
          <w:szCs w:val="24"/>
        </w:rPr>
        <w:t>适用法律、争议的解决</w:t>
      </w:r>
      <w:bookmarkEnd w:id="24"/>
      <w:r>
        <w:rPr>
          <w:rFonts w:hint="eastAsia" w:ascii="宋体" w:hAnsi="宋体" w:cs="宋体"/>
          <w:kern w:val="0"/>
          <w:sz w:val="24"/>
          <w:szCs w:val="24"/>
        </w:rPr>
        <w:t>及违约责任</w:t>
      </w:r>
    </w:p>
    <w:p>
      <w:pPr>
        <w:pStyle w:val="5"/>
        <w:spacing w:line="500" w:lineRule="exact"/>
        <w:ind w:firstLine="480"/>
        <w:rPr>
          <w:rFonts w:ascii="宋体" w:hAnsi="宋体" w:eastAsia="宋体"/>
          <w:sz w:val="24"/>
        </w:rPr>
      </w:pPr>
      <w:r>
        <w:rPr>
          <w:rFonts w:ascii="宋体" w:hAnsi="宋体" w:eastAsia="宋体" w:cs="宋体"/>
          <w:kern w:val="0"/>
          <w:sz w:val="24"/>
        </w:rPr>
        <w:t>1.</w:t>
      </w:r>
      <w:r>
        <w:rPr>
          <w:rFonts w:hint="eastAsia" w:ascii="宋体" w:hAnsi="宋体" w:eastAsia="宋体"/>
          <w:sz w:val="24"/>
        </w:rPr>
        <w:t>适用法律：中华人民共和国法律。</w:t>
      </w:r>
    </w:p>
    <w:p>
      <w:pPr>
        <w:pStyle w:val="5"/>
        <w:spacing w:line="500" w:lineRule="exact"/>
        <w:ind w:firstLine="480"/>
        <w:rPr>
          <w:rFonts w:ascii="宋体" w:hAnsi="宋体" w:eastAsia="宋体"/>
          <w:sz w:val="24"/>
        </w:rPr>
      </w:pPr>
      <w:r>
        <w:rPr>
          <w:rFonts w:ascii="宋体" w:hAnsi="宋体" w:eastAsia="宋体" w:cs="宋体"/>
          <w:kern w:val="0"/>
          <w:sz w:val="24"/>
        </w:rPr>
        <w:t>2.</w:t>
      </w:r>
      <w:r>
        <w:rPr>
          <w:rFonts w:hint="eastAsia" w:ascii="宋体" w:hAnsi="宋体" w:eastAsia="宋体"/>
          <w:sz w:val="24"/>
        </w:rPr>
        <w:t>甲乙双方同意，因本协议而产生的任何争议都将首先通过友好协商自行解决，协商未果的，本协议任何一方均可向甲方所在地人民法院提起诉讼。</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第十四条</w:t>
      </w:r>
      <w:r>
        <w:rPr>
          <w:rFonts w:hint="eastAsia" w:ascii="宋体" w:hAnsi="宋体" w:cs="宋体"/>
          <w:kern w:val="0"/>
          <w:sz w:val="24"/>
          <w:szCs w:val="24"/>
        </w:rPr>
        <w:t>未尽事宜</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本协议为双方就本次增资扩股行为所确定的基本原则与内容，其中涉及的各具体事项及未尽事宜，可由双方在不违反本协议规定的前提下订立补充协议，补充协议与本协议具有同等的法律效力。</w:t>
      </w:r>
    </w:p>
    <w:p>
      <w:pPr>
        <w:spacing w:line="500" w:lineRule="exact"/>
        <w:ind w:firstLine="482" w:firstLineChars="200"/>
        <w:rPr>
          <w:rFonts w:ascii="宋体" w:cs="宋体"/>
          <w:kern w:val="0"/>
          <w:sz w:val="24"/>
          <w:szCs w:val="24"/>
        </w:rPr>
      </w:pPr>
      <w:r>
        <w:rPr>
          <w:rFonts w:hint="eastAsia" w:ascii="宋体" w:hAnsi="宋体" w:cs="宋体"/>
          <w:b/>
          <w:kern w:val="0"/>
          <w:sz w:val="24"/>
          <w:szCs w:val="24"/>
        </w:rPr>
        <w:t>第十五条</w:t>
      </w:r>
      <w:r>
        <w:rPr>
          <w:rFonts w:hint="eastAsia" w:ascii="宋体" w:hAnsi="宋体" w:cs="宋体"/>
          <w:kern w:val="0"/>
          <w:sz w:val="24"/>
          <w:szCs w:val="24"/>
        </w:rPr>
        <w:t>生效</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本协议书于协议双方盖章、双方法定代表人或授权代表签字后生效。非经双方一致通过，不得终止本协议。</w:t>
      </w:r>
    </w:p>
    <w:p>
      <w:pPr>
        <w:spacing w:line="500" w:lineRule="exact"/>
        <w:ind w:firstLine="480" w:firstLineChars="200"/>
        <w:rPr>
          <w:rFonts w:ascii="宋体" w:cs="宋体"/>
          <w:kern w:val="0"/>
          <w:sz w:val="24"/>
          <w:szCs w:val="24"/>
        </w:rPr>
      </w:pPr>
      <w:r>
        <w:rPr>
          <w:rFonts w:hint="eastAsia" w:ascii="宋体" w:hAnsi="宋体" w:cs="宋体"/>
          <w:kern w:val="0"/>
          <w:sz w:val="24"/>
          <w:szCs w:val="24"/>
        </w:rPr>
        <w:t>本协议书一式</w:t>
      </w:r>
      <w:r>
        <w:rPr>
          <w:rFonts w:ascii="宋体" w:hAnsi="宋体" w:cs="宋体"/>
          <w:kern w:val="0"/>
          <w:sz w:val="24"/>
          <w:szCs w:val="24"/>
        </w:rPr>
        <w:t>6</w:t>
      </w:r>
      <w:r>
        <w:rPr>
          <w:rFonts w:hint="eastAsia" w:ascii="宋体" w:hAnsi="宋体" w:cs="宋体"/>
          <w:kern w:val="0"/>
          <w:sz w:val="24"/>
          <w:szCs w:val="24"/>
        </w:rPr>
        <w:t>份，甲乙及甲方原股东（</w:t>
      </w:r>
      <w:r>
        <w:rPr>
          <w:rFonts w:ascii="宋体" w:hAnsi="宋体" w:cs="宋体"/>
          <w:kern w:val="0"/>
          <w:sz w:val="24"/>
          <w:szCs w:val="24"/>
        </w:rPr>
        <w:t>2</w:t>
      </w:r>
      <w:r>
        <w:rPr>
          <w:rFonts w:hint="eastAsia" w:ascii="宋体" w:hAnsi="宋体" w:cs="宋体"/>
          <w:kern w:val="0"/>
          <w:sz w:val="24"/>
          <w:szCs w:val="24"/>
        </w:rPr>
        <w:t>家）各执一份，台州市产权交易所一份，备案一份，具有同等法律效力。</w:t>
      </w:r>
    </w:p>
    <w:p>
      <w:pPr>
        <w:spacing w:line="500" w:lineRule="exact"/>
        <w:ind w:left="720" w:leftChars="343" w:firstLine="6385" w:firstLineChars="2650"/>
        <w:jc w:val="left"/>
        <w:rPr>
          <w:rFonts w:ascii="宋体"/>
          <w:b/>
          <w:sz w:val="24"/>
          <w:szCs w:val="24"/>
        </w:rPr>
      </w:pPr>
    </w:p>
    <w:p>
      <w:pPr>
        <w:spacing w:line="500" w:lineRule="exact"/>
      </w:pPr>
      <w:r>
        <w:rPr>
          <w:rFonts w:ascii="宋体"/>
          <w:sz w:val="24"/>
          <w:szCs w:val="24"/>
        </w:rPr>
        <w:br w:type="page"/>
      </w:r>
      <w:r>
        <w:rPr>
          <w:rFonts w:hint="eastAsia"/>
        </w:rPr>
        <w:t>（此页为增资协议签署页，无正文）</w:t>
      </w:r>
    </w:p>
    <w:p>
      <w:pPr>
        <w:spacing w:line="360" w:lineRule="auto"/>
        <w:rPr>
          <w:b/>
          <w:sz w:val="28"/>
          <w:szCs w:val="28"/>
        </w:rPr>
      </w:pPr>
      <w:r>
        <w:rPr>
          <w:rFonts w:hint="eastAsia"/>
          <w:b/>
          <w:sz w:val="28"/>
          <w:szCs w:val="28"/>
        </w:rPr>
        <w:t>甲方：浙江海晟药业有限公司</w:t>
      </w:r>
    </w:p>
    <w:p>
      <w:pPr>
        <w:spacing w:line="360" w:lineRule="auto"/>
        <w:rPr>
          <w:b/>
          <w:sz w:val="28"/>
          <w:szCs w:val="28"/>
        </w:rPr>
      </w:pPr>
      <w:r>
        <w:rPr>
          <w:rFonts w:hint="eastAsia"/>
          <w:b/>
          <w:sz w:val="28"/>
          <w:szCs w:val="28"/>
        </w:rPr>
        <w:t>法定代表</w:t>
      </w:r>
      <w:r>
        <w:rPr>
          <w:b/>
          <w:sz w:val="28"/>
          <w:szCs w:val="28"/>
        </w:rPr>
        <w:t>/</w:t>
      </w:r>
      <w:r>
        <w:rPr>
          <w:rFonts w:hint="eastAsia"/>
          <w:b/>
          <w:sz w:val="28"/>
          <w:szCs w:val="28"/>
        </w:rPr>
        <w:t>授权代表人（签字）：</w:t>
      </w:r>
    </w:p>
    <w:p>
      <w:pPr>
        <w:spacing w:line="360" w:lineRule="auto"/>
        <w:rPr>
          <w:b/>
          <w:sz w:val="28"/>
          <w:szCs w:val="28"/>
        </w:rPr>
      </w:pPr>
      <w:r>
        <w:rPr>
          <w:rFonts w:hint="eastAsia"/>
          <w:b/>
          <w:sz w:val="28"/>
          <w:szCs w:val="28"/>
        </w:rPr>
        <w:t>签署日期：</w:t>
      </w:r>
    </w:p>
    <w:p>
      <w:pPr>
        <w:spacing w:line="360" w:lineRule="auto"/>
        <w:rPr>
          <w:b/>
          <w:sz w:val="28"/>
          <w:szCs w:val="28"/>
        </w:rPr>
      </w:pPr>
    </w:p>
    <w:p>
      <w:pPr>
        <w:spacing w:line="360" w:lineRule="auto"/>
        <w:rPr>
          <w:b/>
          <w:sz w:val="28"/>
          <w:szCs w:val="28"/>
        </w:rPr>
      </w:pPr>
      <w:r>
        <w:rPr>
          <w:rFonts w:hint="eastAsia"/>
          <w:b/>
          <w:sz w:val="28"/>
          <w:szCs w:val="28"/>
        </w:rPr>
        <w:t>乙方：</w:t>
      </w:r>
    </w:p>
    <w:p>
      <w:pPr>
        <w:spacing w:line="360" w:lineRule="auto"/>
        <w:rPr>
          <w:b/>
          <w:sz w:val="28"/>
          <w:szCs w:val="28"/>
        </w:rPr>
      </w:pPr>
      <w:r>
        <w:rPr>
          <w:rFonts w:hint="eastAsia"/>
          <w:b/>
          <w:sz w:val="28"/>
          <w:szCs w:val="28"/>
        </w:rPr>
        <w:t>法定代表</w:t>
      </w:r>
      <w:r>
        <w:rPr>
          <w:b/>
          <w:sz w:val="28"/>
          <w:szCs w:val="28"/>
        </w:rPr>
        <w:t>/</w:t>
      </w:r>
      <w:r>
        <w:rPr>
          <w:rFonts w:hint="eastAsia"/>
          <w:b/>
          <w:sz w:val="28"/>
          <w:szCs w:val="28"/>
        </w:rPr>
        <w:t>授权代表人（签字）：</w:t>
      </w:r>
    </w:p>
    <w:p>
      <w:pPr>
        <w:spacing w:line="360" w:lineRule="auto"/>
        <w:rPr>
          <w:b/>
          <w:sz w:val="28"/>
          <w:szCs w:val="28"/>
        </w:rPr>
      </w:pPr>
      <w:r>
        <w:rPr>
          <w:rFonts w:hint="eastAsia"/>
          <w:b/>
          <w:sz w:val="28"/>
          <w:szCs w:val="28"/>
        </w:rPr>
        <w:t>签署日期：</w:t>
      </w:r>
    </w:p>
    <w:p>
      <w:pPr>
        <w:spacing w:line="360" w:lineRule="auto"/>
        <w:rPr>
          <w:b/>
          <w:sz w:val="28"/>
          <w:szCs w:val="28"/>
        </w:rPr>
      </w:pPr>
    </w:p>
    <w:p>
      <w:pPr>
        <w:spacing w:line="360" w:lineRule="auto"/>
        <w:rPr>
          <w:b/>
          <w:sz w:val="28"/>
          <w:szCs w:val="28"/>
        </w:rPr>
      </w:pPr>
      <w:r>
        <w:rPr>
          <w:rFonts w:hint="eastAsia"/>
          <w:b/>
          <w:sz w:val="28"/>
          <w:szCs w:val="28"/>
        </w:rPr>
        <w:t>鉴证方：台州市产权交易所有限公司</w:t>
      </w:r>
    </w:p>
    <w:p>
      <w:pPr>
        <w:spacing w:line="360" w:lineRule="auto"/>
        <w:rPr>
          <w:b/>
          <w:sz w:val="28"/>
          <w:szCs w:val="28"/>
        </w:rPr>
      </w:pPr>
      <w:r>
        <w:rPr>
          <w:rFonts w:hint="eastAsia"/>
          <w:b/>
          <w:sz w:val="28"/>
          <w:szCs w:val="28"/>
        </w:rPr>
        <w:t>法定代表</w:t>
      </w:r>
      <w:r>
        <w:rPr>
          <w:b/>
          <w:sz w:val="28"/>
          <w:szCs w:val="28"/>
        </w:rPr>
        <w:t>/</w:t>
      </w:r>
      <w:r>
        <w:rPr>
          <w:rFonts w:hint="eastAsia"/>
          <w:b/>
          <w:sz w:val="28"/>
          <w:szCs w:val="28"/>
        </w:rPr>
        <w:t>授权代表人（签字）：</w:t>
      </w:r>
    </w:p>
    <w:p>
      <w:pPr>
        <w:spacing w:line="360" w:lineRule="auto"/>
        <w:rPr>
          <w:b/>
          <w:sz w:val="28"/>
          <w:szCs w:val="28"/>
        </w:rPr>
      </w:pPr>
      <w:r>
        <w:rPr>
          <w:rFonts w:hint="eastAsia"/>
          <w:b/>
          <w:sz w:val="28"/>
          <w:szCs w:val="28"/>
        </w:rPr>
        <w:t>鉴证日期：</w:t>
      </w:r>
    </w:p>
    <w:p>
      <w:pPr>
        <w:spacing w:line="360" w:lineRule="auto"/>
        <w:rPr>
          <w:b/>
          <w:sz w:val="28"/>
          <w:szCs w:val="28"/>
        </w:rPr>
      </w:pPr>
    </w:p>
    <w:p>
      <w:pPr>
        <w:spacing w:line="360" w:lineRule="auto"/>
        <w:rPr>
          <w:b/>
          <w:sz w:val="28"/>
          <w:szCs w:val="28"/>
        </w:rPr>
      </w:pPr>
      <w:r>
        <w:rPr>
          <w:rFonts w:hint="eastAsia"/>
          <w:b/>
          <w:sz w:val="28"/>
          <w:szCs w:val="28"/>
        </w:rPr>
        <w:t>签署地：浙江台州</w:t>
      </w:r>
    </w:p>
    <w:p>
      <w:pPr>
        <w:spacing w:line="360" w:lineRule="auto"/>
        <w:rPr>
          <w:b/>
          <w:sz w:val="28"/>
          <w:szCs w:val="28"/>
        </w:rPr>
      </w:pPr>
    </w:p>
    <w:p>
      <w:pPr>
        <w:spacing w:line="360" w:lineRule="auto"/>
        <w:rPr>
          <w:b/>
          <w:sz w:val="28"/>
          <w:szCs w:val="28"/>
        </w:rPr>
      </w:pPr>
    </w:p>
    <w:p>
      <w:pPr>
        <w:spacing w:line="360" w:lineRule="auto"/>
        <w:rPr>
          <w:b/>
          <w:sz w:val="28"/>
          <w:szCs w:val="28"/>
        </w:rPr>
      </w:pPr>
    </w:p>
    <w:sectPr>
      <w:head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922"/>
    <w:multiLevelType w:val="multilevel"/>
    <w:tmpl w:val="0EBA1922"/>
    <w:lvl w:ilvl="0" w:tentative="0">
      <w:start w:val="1"/>
      <w:numFmt w:val="decimal"/>
      <w:lvlText w:val="%1."/>
      <w:lvlJc w:val="left"/>
      <w:pPr>
        <w:tabs>
          <w:tab w:val="left" w:pos="780"/>
        </w:tabs>
        <w:ind w:left="780" w:hanging="360"/>
      </w:pPr>
      <w:rPr>
        <w:rFonts w:hint="default"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5F04B3D"/>
    <w:multiLevelType w:val="multilevel"/>
    <w:tmpl w:val="15F04B3D"/>
    <w:lvl w:ilvl="0" w:tentative="0">
      <w:start w:val="1"/>
      <w:numFmt w:val="decimal"/>
      <w:lvlText w:val="%1."/>
      <w:lvlJc w:val="left"/>
      <w:pPr>
        <w:tabs>
          <w:tab w:val="left" w:pos="680"/>
        </w:tabs>
        <w:ind w:firstLine="397"/>
      </w:pPr>
      <w:rPr>
        <w:rFonts w:hint="default" w:cs="Times New Roman"/>
        <w:color w:val="000000"/>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2F5511FD"/>
    <w:multiLevelType w:val="multilevel"/>
    <w:tmpl w:val="2F5511FD"/>
    <w:lvl w:ilvl="0" w:tentative="0">
      <w:start w:val="4"/>
      <w:numFmt w:val="japaneseCounting"/>
      <w:lvlText w:val="%1、"/>
      <w:lvlJc w:val="left"/>
      <w:pPr>
        <w:tabs>
          <w:tab w:val="left" w:pos="900"/>
        </w:tabs>
        <w:ind w:left="900" w:hanging="48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35843FF4"/>
    <w:multiLevelType w:val="multilevel"/>
    <w:tmpl w:val="35843FF4"/>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E68286C"/>
    <w:multiLevelType w:val="multilevel"/>
    <w:tmpl w:val="4E68286C"/>
    <w:lvl w:ilvl="0" w:tentative="0">
      <w:start w:val="1"/>
      <w:numFmt w:val="chineseCountingThousand"/>
      <w:lvlText w:val="(%1)"/>
      <w:lvlJc w:val="left"/>
      <w:pPr>
        <w:tabs>
          <w:tab w:val="left" w:pos="1320"/>
        </w:tabs>
        <w:ind w:left="1320" w:hanging="420"/>
      </w:pPr>
      <w:rPr>
        <w:rFonts w:hint="default" w:cs="Times New Roman"/>
        <w:b w:val="0"/>
        <w:color w:val="000000"/>
        <w:sz w:val="21"/>
        <w:szCs w:val="21"/>
      </w:rPr>
    </w:lvl>
    <w:lvl w:ilvl="1" w:tentative="0">
      <w:start w:val="1"/>
      <w:numFmt w:val="decimal"/>
      <w:lvlText w:val="%2."/>
      <w:lvlJc w:val="left"/>
      <w:pPr>
        <w:tabs>
          <w:tab w:val="left" w:pos="860"/>
        </w:tabs>
        <w:ind w:firstLine="454"/>
      </w:pPr>
      <w:rPr>
        <w:rFonts w:hint="default" w:cs="Times New Roman"/>
        <w:b w:val="0"/>
        <w:color w:val="000000"/>
        <w:sz w:val="21"/>
        <w:szCs w:val="21"/>
      </w:rPr>
    </w:lvl>
    <w:lvl w:ilvl="2" w:tentative="0">
      <w:start w:val="2"/>
      <w:numFmt w:val="japaneseCounting"/>
      <w:lvlText w:val="（%3）"/>
      <w:lvlJc w:val="left"/>
      <w:pPr>
        <w:tabs>
          <w:tab w:val="left" w:pos="1740"/>
        </w:tabs>
        <w:ind w:left="1740" w:hanging="720"/>
      </w:pPr>
      <w:rPr>
        <w:rFonts w:hint="default" w:cs="Times New Roman"/>
      </w:rPr>
    </w:lvl>
    <w:lvl w:ilvl="3" w:tentative="0">
      <w:start w:val="2009"/>
      <w:numFmt w:val="decimal"/>
      <w:lvlText w:val="%4年"/>
      <w:lvlJc w:val="left"/>
      <w:pPr>
        <w:tabs>
          <w:tab w:val="left" w:pos="7170"/>
        </w:tabs>
        <w:ind w:left="7170" w:hanging="690"/>
      </w:pPr>
      <w:rPr>
        <w:rFonts w:hint="default" w:cs="Times New Roman"/>
      </w:rPr>
    </w:lvl>
    <w:lvl w:ilvl="4" w:tentative="0">
      <w:start w:val="1"/>
      <w:numFmt w:val="decimal"/>
      <w:lvlText w:val="（%5）"/>
      <w:lvlJc w:val="left"/>
      <w:pPr>
        <w:tabs>
          <w:tab w:val="left" w:pos="2580"/>
        </w:tabs>
        <w:ind w:left="2580" w:hanging="720"/>
      </w:pPr>
      <w:rPr>
        <w:rFonts w:hint="default" w:hAnsi="宋体"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5">
    <w:nsid w:val="56A79F75"/>
    <w:multiLevelType w:val="singleLevel"/>
    <w:tmpl w:val="56A79F75"/>
    <w:lvl w:ilvl="0" w:tentative="0">
      <w:start w:val="1"/>
      <w:numFmt w:val="chineseCounting"/>
      <w:suff w:val="nothing"/>
      <w:lvlText w:val="%1、"/>
      <w:lvlJc w:val="left"/>
      <w:pPr>
        <w:tabs>
          <w:tab w:val="left" w:pos="0"/>
        </w:tabs>
        <w:ind w:left="0" w:firstLine="420"/>
      </w:pPr>
      <w:rPr>
        <w:rFonts w:hint="eastAsia"/>
      </w:rPr>
    </w:lvl>
  </w:abstractNum>
  <w:abstractNum w:abstractNumId="6">
    <w:nsid w:val="5832B567"/>
    <w:multiLevelType w:val="singleLevel"/>
    <w:tmpl w:val="5832B567"/>
    <w:lvl w:ilvl="0" w:tentative="0">
      <w:start w:val="1"/>
      <w:numFmt w:val="decimal"/>
      <w:suff w:val="nothing"/>
      <w:lvlText w:val="%1、"/>
      <w:lvlJc w:val="left"/>
      <w:pPr>
        <w:tabs>
          <w:tab w:val="left" w:pos="0"/>
        </w:tabs>
        <w:ind w:left="0" w:firstLine="400"/>
      </w:pPr>
      <w:rPr>
        <w:rFonts w:hint="default"/>
      </w:rPr>
    </w:lvl>
  </w:abstractNum>
  <w:abstractNum w:abstractNumId="7">
    <w:nsid w:val="67706FDB"/>
    <w:multiLevelType w:val="multilevel"/>
    <w:tmpl w:val="67706FDB"/>
    <w:lvl w:ilvl="0" w:tentative="0">
      <w:start w:val="1"/>
      <w:numFmt w:val="japaneseCounting"/>
      <w:lvlText w:val="%1、"/>
      <w:lvlJc w:val="left"/>
      <w:pPr>
        <w:ind w:left="1655" w:hanging="1095"/>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D"/>
    <w:rsid w:val="00011453"/>
    <w:rsid w:val="0001583B"/>
    <w:rsid w:val="000174AA"/>
    <w:rsid w:val="000178EF"/>
    <w:rsid w:val="00027FA4"/>
    <w:rsid w:val="000325C3"/>
    <w:rsid w:val="00044DD6"/>
    <w:rsid w:val="00045748"/>
    <w:rsid w:val="000472CF"/>
    <w:rsid w:val="00047F88"/>
    <w:rsid w:val="000543F1"/>
    <w:rsid w:val="00054D77"/>
    <w:rsid w:val="00055327"/>
    <w:rsid w:val="000628A1"/>
    <w:rsid w:val="00064643"/>
    <w:rsid w:val="00083140"/>
    <w:rsid w:val="0008335C"/>
    <w:rsid w:val="000960F1"/>
    <w:rsid w:val="0009716B"/>
    <w:rsid w:val="000977DE"/>
    <w:rsid w:val="000A0A7A"/>
    <w:rsid w:val="000B2835"/>
    <w:rsid w:val="000B5975"/>
    <w:rsid w:val="000B6621"/>
    <w:rsid w:val="000C3C26"/>
    <w:rsid w:val="000C3CBF"/>
    <w:rsid w:val="000D6530"/>
    <w:rsid w:val="000D68E6"/>
    <w:rsid w:val="000E5BDB"/>
    <w:rsid w:val="000E65CB"/>
    <w:rsid w:val="000E70D4"/>
    <w:rsid w:val="000F3F55"/>
    <w:rsid w:val="000F407E"/>
    <w:rsid w:val="000F500A"/>
    <w:rsid w:val="00103AD3"/>
    <w:rsid w:val="00105E84"/>
    <w:rsid w:val="00116170"/>
    <w:rsid w:val="001256FA"/>
    <w:rsid w:val="001277A3"/>
    <w:rsid w:val="001302F7"/>
    <w:rsid w:val="00134152"/>
    <w:rsid w:val="00136C61"/>
    <w:rsid w:val="0014364C"/>
    <w:rsid w:val="00153CDB"/>
    <w:rsid w:val="00156C1A"/>
    <w:rsid w:val="001669C5"/>
    <w:rsid w:val="00170533"/>
    <w:rsid w:val="00171018"/>
    <w:rsid w:val="0017110F"/>
    <w:rsid w:val="001743B2"/>
    <w:rsid w:val="00180AB4"/>
    <w:rsid w:val="001836F0"/>
    <w:rsid w:val="00185B9B"/>
    <w:rsid w:val="00187A41"/>
    <w:rsid w:val="00187C70"/>
    <w:rsid w:val="00194865"/>
    <w:rsid w:val="00195F78"/>
    <w:rsid w:val="00196069"/>
    <w:rsid w:val="0019704E"/>
    <w:rsid w:val="001A057A"/>
    <w:rsid w:val="001A4DEB"/>
    <w:rsid w:val="001B5832"/>
    <w:rsid w:val="001C42A3"/>
    <w:rsid w:val="001C449A"/>
    <w:rsid w:val="001D0648"/>
    <w:rsid w:val="001E0181"/>
    <w:rsid w:val="001E4BE4"/>
    <w:rsid w:val="001F5B14"/>
    <w:rsid w:val="001F6319"/>
    <w:rsid w:val="00213550"/>
    <w:rsid w:val="00215D11"/>
    <w:rsid w:val="00222BB3"/>
    <w:rsid w:val="00224863"/>
    <w:rsid w:val="00231324"/>
    <w:rsid w:val="002356DA"/>
    <w:rsid w:val="00235C38"/>
    <w:rsid w:val="00236C2B"/>
    <w:rsid w:val="00252512"/>
    <w:rsid w:val="00254BE6"/>
    <w:rsid w:val="00257968"/>
    <w:rsid w:val="00261B39"/>
    <w:rsid w:val="0026245B"/>
    <w:rsid w:val="0026360D"/>
    <w:rsid w:val="00272B6B"/>
    <w:rsid w:val="002766D0"/>
    <w:rsid w:val="0027676C"/>
    <w:rsid w:val="00280AAA"/>
    <w:rsid w:val="00281FDC"/>
    <w:rsid w:val="002908F2"/>
    <w:rsid w:val="002909AA"/>
    <w:rsid w:val="002911C3"/>
    <w:rsid w:val="00291818"/>
    <w:rsid w:val="00296FF0"/>
    <w:rsid w:val="002A36DD"/>
    <w:rsid w:val="002A6BCB"/>
    <w:rsid w:val="002B3192"/>
    <w:rsid w:val="002C3307"/>
    <w:rsid w:val="002C5E2B"/>
    <w:rsid w:val="002D0439"/>
    <w:rsid w:val="002D0523"/>
    <w:rsid w:val="002D64C9"/>
    <w:rsid w:val="002E3D69"/>
    <w:rsid w:val="002E4BC0"/>
    <w:rsid w:val="002F0261"/>
    <w:rsid w:val="002F2B0E"/>
    <w:rsid w:val="0030065E"/>
    <w:rsid w:val="00300FD4"/>
    <w:rsid w:val="00305346"/>
    <w:rsid w:val="003077F0"/>
    <w:rsid w:val="00311AA7"/>
    <w:rsid w:val="00313A42"/>
    <w:rsid w:val="00314CB9"/>
    <w:rsid w:val="003449BB"/>
    <w:rsid w:val="003538EB"/>
    <w:rsid w:val="00357AC9"/>
    <w:rsid w:val="00361257"/>
    <w:rsid w:val="00363A79"/>
    <w:rsid w:val="003704A7"/>
    <w:rsid w:val="00370946"/>
    <w:rsid w:val="003750A3"/>
    <w:rsid w:val="003760D4"/>
    <w:rsid w:val="003803AD"/>
    <w:rsid w:val="00380A62"/>
    <w:rsid w:val="00390354"/>
    <w:rsid w:val="0039163E"/>
    <w:rsid w:val="00393AD5"/>
    <w:rsid w:val="003A5A9C"/>
    <w:rsid w:val="003A7003"/>
    <w:rsid w:val="003A7735"/>
    <w:rsid w:val="003B5FE4"/>
    <w:rsid w:val="003B6DB6"/>
    <w:rsid w:val="003B79C6"/>
    <w:rsid w:val="003C40D8"/>
    <w:rsid w:val="003D426E"/>
    <w:rsid w:val="003E1DEE"/>
    <w:rsid w:val="003E562D"/>
    <w:rsid w:val="003F2695"/>
    <w:rsid w:val="003F29E1"/>
    <w:rsid w:val="003F2EED"/>
    <w:rsid w:val="003F7050"/>
    <w:rsid w:val="0040498E"/>
    <w:rsid w:val="00405D4B"/>
    <w:rsid w:val="0041024D"/>
    <w:rsid w:val="00413AF3"/>
    <w:rsid w:val="00414257"/>
    <w:rsid w:val="00416A26"/>
    <w:rsid w:val="00417FBB"/>
    <w:rsid w:val="00420596"/>
    <w:rsid w:val="00421256"/>
    <w:rsid w:val="004238EA"/>
    <w:rsid w:val="004253F3"/>
    <w:rsid w:val="004261A8"/>
    <w:rsid w:val="00437BEE"/>
    <w:rsid w:val="00441BDC"/>
    <w:rsid w:val="00441CDC"/>
    <w:rsid w:val="00444FD1"/>
    <w:rsid w:val="004509DE"/>
    <w:rsid w:val="00457074"/>
    <w:rsid w:val="00466BE1"/>
    <w:rsid w:val="0047121E"/>
    <w:rsid w:val="00471294"/>
    <w:rsid w:val="00472FE6"/>
    <w:rsid w:val="00474C2C"/>
    <w:rsid w:val="00482D69"/>
    <w:rsid w:val="0048437B"/>
    <w:rsid w:val="00490023"/>
    <w:rsid w:val="0049193B"/>
    <w:rsid w:val="00497733"/>
    <w:rsid w:val="004A4758"/>
    <w:rsid w:val="004B4CE4"/>
    <w:rsid w:val="004C15C6"/>
    <w:rsid w:val="004C396B"/>
    <w:rsid w:val="004C49EC"/>
    <w:rsid w:val="004C4BBB"/>
    <w:rsid w:val="004C78E6"/>
    <w:rsid w:val="004D0865"/>
    <w:rsid w:val="004E0B87"/>
    <w:rsid w:val="004E4565"/>
    <w:rsid w:val="004E64EF"/>
    <w:rsid w:val="004E67BC"/>
    <w:rsid w:val="004E75E5"/>
    <w:rsid w:val="004F0115"/>
    <w:rsid w:val="004F0ACD"/>
    <w:rsid w:val="004F2D37"/>
    <w:rsid w:val="004F40B0"/>
    <w:rsid w:val="00500007"/>
    <w:rsid w:val="005012FA"/>
    <w:rsid w:val="00501BF8"/>
    <w:rsid w:val="00504186"/>
    <w:rsid w:val="00505F66"/>
    <w:rsid w:val="00507204"/>
    <w:rsid w:val="005122A1"/>
    <w:rsid w:val="005158EE"/>
    <w:rsid w:val="0051632A"/>
    <w:rsid w:val="005179EC"/>
    <w:rsid w:val="00530825"/>
    <w:rsid w:val="0053189A"/>
    <w:rsid w:val="0053258B"/>
    <w:rsid w:val="00537210"/>
    <w:rsid w:val="00541706"/>
    <w:rsid w:val="00542C2E"/>
    <w:rsid w:val="005538D5"/>
    <w:rsid w:val="00556FDF"/>
    <w:rsid w:val="0055701F"/>
    <w:rsid w:val="00557A9F"/>
    <w:rsid w:val="00563963"/>
    <w:rsid w:val="00564475"/>
    <w:rsid w:val="0057134C"/>
    <w:rsid w:val="00574BFD"/>
    <w:rsid w:val="00577FB1"/>
    <w:rsid w:val="00584839"/>
    <w:rsid w:val="0059254E"/>
    <w:rsid w:val="005A0B3B"/>
    <w:rsid w:val="005A0F2E"/>
    <w:rsid w:val="005A7C0D"/>
    <w:rsid w:val="005B2F82"/>
    <w:rsid w:val="005B7DFB"/>
    <w:rsid w:val="005C02C4"/>
    <w:rsid w:val="005C0660"/>
    <w:rsid w:val="005C3460"/>
    <w:rsid w:val="005C59E6"/>
    <w:rsid w:val="005C6365"/>
    <w:rsid w:val="005D0972"/>
    <w:rsid w:val="005D0D13"/>
    <w:rsid w:val="005E2574"/>
    <w:rsid w:val="005E2F83"/>
    <w:rsid w:val="005E3D8F"/>
    <w:rsid w:val="005F46F7"/>
    <w:rsid w:val="005F7373"/>
    <w:rsid w:val="00600E8C"/>
    <w:rsid w:val="00605BBB"/>
    <w:rsid w:val="00614806"/>
    <w:rsid w:val="0061644A"/>
    <w:rsid w:val="0062584F"/>
    <w:rsid w:val="00625908"/>
    <w:rsid w:val="00626421"/>
    <w:rsid w:val="00626F21"/>
    <w:rsid w:val="00646200"/>
    <w:rsid w:val="006626BD"/>
    <w:rsid w:val="00665FA6"/>
    <w:rsid w:val="00680B37"/>
    <w:rsid w:val="00680DB1"/>
    <w:rsid w:val="006930BE"/>
    <w:rsid w:val="00693114"/>
    <w:rsid w:val="00694AE9"/>
    <w:rsid w:val="006A4C45"/>
    <w:rsid w:val="006B2744"/>
    <w:rsid w:val="006B3BCF"/>
    <w:rsid w:val="006B4860"/>
    <w:rsid w:val="006B4E68"/>
    <w:rsid w:val="006C6E0C"/>
    <w:rsid w:val="006D2684"/>
    <w:rsid w:val="006D3CB2"/>
    <w:rsid w:val="006D5780"/>
    <w:rsid w:val="006D61BE"/>
    <w:rsid w:val="006E0D9D"/>
    <w:rsid w:val="006F0CA3"/>
    <w:rsid w:val="006F2713"/>
    <w:rsid w:val="006F64E5"/>
    <w:rsid w:val="006F7EEC"/>
    <w:rsid w:val="0070706B"/>
    <w:rsid w:val="007072D8"/>
    <w:rsid w:val="0071314A"/>
    <w:rsid w:val="00720578"/>
    <w:rsid w:val="00743588"/>
    <w:rsid w:val="00745F4A"/>
    <w:rsid w:val="007475A2"/>
    <w:rsid w:val="007517EC"/>
    <w:rsid w:val="00752097"/>
    <w:rsid w:val="00752C5F"/>
    <w:rsid w:val="0075323A"/>
    <w:rsid w:val="00753483"/>
    <w:rsid w:val="007560BD"/>
    <w:rsid w:val="00760DB3"/>
    <w:rsid w:val="00761F47"/>
    <w:rsid w:val="007657E2"/>
    <w:rsid w:val="00767C54"/>
    <w:rsid w:val="00767CF1"/>
    <w:rsid w:val="0077711C"/>
    <w:rsid w:val="00787253"/>
    <w:rsid w:val="007913BF"/>
    <w:rsid w:val="007A175E"/>
    <w:rsid w:val="007B41E8"/>
    <w:rsid w:val="007B70FF"/>
    <w:rsid w:val="007C330A"/>
    <w:rsid w:val="007C370D"/>
    <w:rsid w:val="007C3775"/>
    <w:rsid w:val="007C7B52"/>
    <w:rsid w:val="007D279C"/>
    <w:rsid w:val="007E4D02"/>
    <w:rsid w:val="007E6DCA"/>
    <w:rsid w:val="007E74B0"/>
    <w:rsid w:val="007E759B"/>
    <w:rsid w:val="007F5D5A"/>
    <w:rsid w:val="008006DE"/>
    <w:rsid w:val="008039C6"/>
    <w:rsid w:val="00803F03"/>
    <w:rsid w:val="008055D4"/>
    <w:rsid w:val="00805BDC"/>
    <w:rsid w:val="00812138"/>
    <w:rsid w:val="0081264B"/>
    <w:rsid w:val="00813FD1"/>
    <w:rsid w:val="00814E8D"/>
    <w:rsid w:val="00815BE6"/>
    <w:rsid w:val="0081649E"/>
    <w:rsid w:val="008177A4"/>
    <w:rsid w:val="00821FC1"/>
    <w:rsid w:val="008269E3"/>
    <w:rsid w:val="00827B91"/>
    <w:rsid w:val="008314A2"/>
    <w:rsid w:val="008315ED"/>
    <w:rsid w:val="00833A2B"/>
    <w:rsid w:val="00842326"/>
    <w:rsid w:val="00847E73"/>
    <w:rsid w:val="00853372"/>
    <w:rsid w:val="00863788"/>
    <w:rsid w:val="00867B9A"/>
    <w:rsid w:val="00871B04"/>
    <w:rsid w:val="00875A08"/>
    <w:rsid w:val="00884404"/>
    <w:rsid w:val="008911FF"/>
    <w:rsid w:val="00896270"/>
    <w:rsid w:val="00897357"/>
    <w:rsid w:val="008A1F2E"/>
    <w:rsid w:val="008B2B50"/>
    <w:rsid w:val="008B41D7"/>
    <w:rsid w:val="008B48FF"/>
    <w:rsid w:val="008B50BA"/>
    <w:rsid w:val="008C0958"/>
    <w:rsid w:val="008C1AE7"/>
    <w:rsid w:val="008D2AF6"/>
    <w:rsid w:val="008D5181"/>
    <w:rsid w:val="008E26C6"/>
    <w:rsid w:val="008F07AC"/>
    <w:rsid w:val="008F0B6C"/>
    <w:rsid w:val="008F368F"/>
    <w:rsid w:val="0090227F"/>
    <w:rsid w:val="00913A2E"/>
    <w:rsid w:val="00932E2F"/>
    <w:rsid w:val="009378BF"/>
    <w:rsid w:val="00942E63"/>
    <w:rsid w:val="009549AD"/>
    <w:rsid w:val="00956BC8"/>
    <w:rsid w:val="00962B83"/>
    <w:rsid w:val="00972033"/>
    <w:rsid w:val="00976558"/>
    <w:rsid w:val="00980273"/>
    <w:rsid w:val="0098169A"/>
    <w:rsid w:val="009848B9"/>
    <w:rsid w:val="00991923"/>
    <w:rsid w:val="0099309D"/>
    <w:rsid w:val="0099339F"/>
    <w:rsid w:val="009947CF"/>
    <w:rsid w:val="009A128E"/>
    <w:rsid w:val="009A27C6"/>
    <w:rsid w:val="009B03A9"/>
    <w:rsid w:val="009D0837"/>
    <w:rsid w:val="009D2CEB"/>
    <w:rsid w:val="009D3E18"/>
    <w:rsid w:val="009D4D56"/>
    <w:rsid w:val="009F2F43"/>
    <w:rsid w:val="009F442A"/>
    <w:rsid w:val="009F5D50"/>
    <w:rsid w:val="009F6DD4"/>
    <w:rsid w:val="00A07F64"/>
    <w:rsid w:val="00A101E5"/>
    <w:rsid w:val="00A10C06"/>
    <w:rsid w:val="00A27117"/>
    <w:rsid w:val="00A30025"/>
    <w:rsid w:val="00A313AF"/>
    <w:rsid w:val="00A32C0F"/>
    <w:rsid w:val="00A33721"/>
    <w:rsid w:val="00A36394"/>
    <w:rsid w:val="00A3778F"/>
    <w:rsid w:val="00A45033"/>
    <w:rsid w:val="00A45ADD"/>
    <w:rsid w:val="00A465EE"/>
    <w:rsid w:val="00A467BA"/>
    <w:rsid w:val="00A473B0"/>
    <w:rsid w:val="00A54943"/>
    <w:rsid w:val="00A573B8"/>
    <w:rsid w:val="00A57524"/>
    <w:rsid w:val="00A72D1A"/>
    <w:rsid w:val="00A73808"/>
    <w:rsid w:val="00A75B31"/>
    <w:rsid w:val="00A772EC"/>
    <w:rsid w:val="00A80F26"/>
    <w:rsid w:val="00A90C74"/>
    <w:rsid w:val="00AA078E"/>
    <w:rsid w:val="00AA0D64"/>
    <w:rsid w:val="00AA224A"/>
    <w:rsid w:val="00AA2D92"/>
    <w:rsid w:val="00AA5228"/>
    <w:rsid w:val="00AA53C4"/>
    <w:rsid w:val="00AA54F9"/>
    <w:rsid w:val="00AA69D0"/>
    <w:rsid w:val="00AB0677"/>
    <w:rsid w:val="00AB1488"/>
    <w:rsid w:val="00AB35C6"/>
    <w:rsid w:val="00AB4838"/>
    <w:rsid w:val="00AC01D0"/>
    <w:rsid w:val="00AC5204"/>
    <w:rsid w:val="00AE0116"/>
    <w:rsid w:val="00AE488C"/>
    <w:rsid w:val="00AE4FA7"/>
    <w:rsid w:val="00B11DB6"/>
    <w:rsid w:val="00B167C6"/>
    <w:rsid w:val="00B2261B"/>
    <w:rsid w:val="00B22D3D"/>
    <w:rsid w:val="00B25630"/>
    <w:rsid w:val="00B31E45"/>
    <w:rsid w:val="00B348DA"/>
    <w:rsid w:val="00B37C7E"/>
    <w:rsid w:val="00B40932"/>
    <w:rsid w:val="00B55295"/>
    <w:rsid w:val="00B5708F"/>
    <w:rsid w:val="00B641B7"/>
    <w:rsid w:val="00B6573B"/>
    <w:rsid w:val="00B75587"/>
    <w:rsid w:val="00B8697C"/>
    <w:rsid w:val="00BA09FF"/>
    <w:rsid w:val="00BA37CF"/>
    <w:rsid w:val="00BA5A64"/>
    <w:rsid w:val="00BB25A1"/>
    <w:rsid w:val="00BB49CE"/>
    <w:rsid w:val="00BB6C4E"/>
    <w:rsid w:val="00BC707A"/>
    <w:rsid w:val="00BC76AC"/>
    <w:rsid w:val="00BC78EE"/>
    <w:rsid w:val="00BD2221"/>
    <w:rsid w:val="00BD2C1A"/>
    <w:rsid w:val="00BF2251"/>
    <w:rsid w:val="00C002F5"/>
    <w:rsid w:val="00C03FA0"/>
    <w:rsid w:val="00C04217"/>
    <w:rsid w:val="00C04FF6"/>
    <w:rsid w:val="00C12A59"/>
    <w:rsid w:val="00C15AF7"/>
    <w:rsid w:val="00C20F22"/>
    <w:rsid w:val="00C249D7"/>
    <w:rsid w:val="00C26889"/>
    <w:rsid w:val="00C31DC2"/>
    <w:rsid w:val="00C41EA1"/>
    <w:rsid w:val="00C428AB"/>
    <w:rsid w:val="00C514B2"/>
    <w:rsid w:val="00C515E9"/>
    <w:rsid w:val="00C70960"/>
    <w:rsid w:val="00C71D93"/>
    <w:rsid w:val="00C75BC0"/>
    <w:rsid w:val="00C76D35"/>
    <w:rsid w:val="00C800D7"/>
    <w:rsid w:val="00C826E1"/>
    <w:rsid w:val="00C850B8"/>
    <w:rsid w:val="00C858BF"/>
    <w:rsid w:val="00C86473"/>
    <w:rsid w:val="00C9068C"/>
    <w:rsid w:val="00C956AB"/>
    <w:rsid w:val="00C96281"/>
    <w:rsid w:val="00C966AF"/>
    <w:rsid w:val="00CA5059"/>
    <w:rsid w:val="00CA7DAA"/>
    <w:rsid w:val="00CB4094"/>
    <w:rsid w:val="00CB412C"/>
    <w:rsid w:val="00CB6400"/>
    <w:rsid w:val="00CC0C0F"/>
    <w:rsid w:val="00CC4235"/>
    <w:rsid w:val="00CC5AFB"/>
    <w:rsid w:val="00CC6DCB"/>
    <w:rsid w:val="00CD0236"/>
    <w:rsid w:val="00CD1C55"/>
    <w:rsid w:val="00CD20CC"/>
    <w:rsid w:val="00CE0B13"/>
    <w:rsid w:val="00CF08FA"/>
    <w:rsid w:val="00CF138F"/>
    <w:rsid w:val="00CF3941"/>
    <w:rsid w:val="00CF49D4"/>
    <w:rsid w:val="00CF5BE1"/>
    <w:rsid w:val="00D01402"/>
    <w:rsid w:val="00D049E3"/>
    <w:rsid w:val="00D061CC"/>
    <w:rsid w:val="00D14DA9"/>
    <w:rsid w:val="00D20B3B"/>
    <w:rsid w:val="00D212E4"/>
    <w:rsid w:val="00D241F4"/>
    <w:rsid w:val="00D251F3"/>
    <w:rsid w:val="00D32E08"/>
    <w:rsid w:val="00D33095"/>
    <w:rsid w:val="00D34051"/>
    <w:rsid w:val="00D363EF"/>
    <w:rsid w:val="00D43780"/>
    <w:rsid w:val="00D439BF"/>
    <w:rsid w:val="00D462E2"/>
    <w:rsid w:val="00D46C35"/>
    <w:rsid w:val="00D472A4"/>
    <w:rsid w:val="00D51B8B"/>
    <w:rsid w:val="00D52A79"/>
    <w:rsid w:val="00D55613"/>
    <w:rsid w:val="00D601B4"/>
    <w:rsid w:val="00D61712"/>
    <w:rsid w:val="00D71CF9"/>
    <w:rsid w:val="00D74C26"/>
    <w:rsid w:val="00D76411"/>
    <w:rsid w:val="00D80A11"/>
    <w:rsid w:val="00D81286"/>
    <w:rsid w:val="00D823C1"/>
    <w:rsid w:val="00D84C84"/>
    <w:rsid w:val="00D8565E"/>
    <w:rsid w:val="00D868FA"/>
    <w:rsid w:val="00D8781D"/>
    <w:rsid w:val="00DA3B97"/>
    <w:rsid w:val="00DA41D3"/>
    <w:rsid w:val="00DB1B67"/>
    <w:rsid w:val="00DD3490"/>
    <w:rsid w:val="00DD6DFB"/>
    <w:rsid w:val="00DE6AFC"/>
    <w:rsid w:val="00DF2152"/>
    <w:rsid w:val="00DF4FA5"/>
    <w:rsid w:val="00E01ABE"/>
    <w:rsid w:val="00E02CDC"/>
    <w:rsid w:val="00E14E38"/>
    <w:rsid w:val="00E326D5"/>
    <w:rsid w:val="00E32904"/>
    <w:rsid w:val="00E3456A"/>
    <w:rsid w:val="00E378EC"/>
    <w:rsid w:val="00E42A77"/>
    <w:rsid w:val="00E43DFC"/>
    <w:rsid w:val="00E45183"/>
    <w:rsid w:val="00E4720D"/>
    <w:rsid w:val="00E51985"/>
    <w:rsid w:val="00E54FF7"/>
    <w:rsid w:val="00E60C47"/>
    <w:rsid w:val="00E6100E"/>
    <w:rsid w:val="00E613C5"/>
    <w:rsid w:val="00E759C0"/>
    <w:rsid w:val="00E80EA9"/>
    <w:rsid w:val="00E8115B"/>
    <w:rsid w:val="00E90A0D"/>
    <w:rsid w:val="00E96880"/>
    <w:rsid w:val="00EA58B6"/>
    <w:rsid w:val="00EA7C64"/>
    <w:rsid w:val="00EB7236"/>
    <w:rsid w:val="00EC056D"/>
    <w:rsid w:val="00EC062D"/>
    <w:rsid w:val="00EC4F19"/>
    <w:rsid w:val="00ED58F3"/>
    <w:rsid w:val="00EE1601"/>
    <w:rsid w:val="00EE5CAF"/>
    <w:rsid w:val="00EE5F7C"/>
    <w:rsid w:val="00EE677E"/>
    <w:rsid w:val="00EE7377"/>
    <w:rsid w:val="00EF03FF"/>
    <w:rsid w:val="00EF7080"/>
    <w:rsid w:val="00F04792"/>
    <w:rsid w:val="00F04D66"/>
    <w:rsid w:val="00F0743A"/>
    <w:rsid w:val="00F13D17"/>
    <w:rsid w:val="00F1417D"/>
    <w:rsid w:val="00F158C4"/>
    <w:rsid w:val="00F225F8"/>
    <w:rsid w:val="00F265B5"/>
    <w:rsid w:val="00F4651C"/>
    <w:rsid w:val="00F520BC"/>
    <w:rsid w:val="00F5786E"/>
    <w:rsid w:val="00F57E2C"/>
    <w:rsid w:val="00F7228A"/>
    <w:rsid w:val="00F726A1"/>
    <w:rsid w:val="00F83587"/>
    <w:rsid w:val="00F9332B"/>
    <w:rsid w:val="00F94FDE"/>
    <w:rsid w:val="00F95141"/>
    <w:rsid w:val="00F969AF"/>
    <w:rsid w:val="00F97D50"/>
    <w:rsid w:val="00FA3BF4"/>
    <w:rsid w:val="00FA645F"/>
    <w:rsid w:val="00FB0AA6"/>
    <w:rsid w:val="00FB2580"/>
    <w:rsid w:val="00FB2C07"/>
    <w:rsid w:val="00FB3F37"/>
    <w:rsid w:val="00FB52EC"/>
    <w:rsid w:val="00FB68BD"/>
    <w:rsid w:val="00FC211B"/>
    <w:rsid w:val="00FC42EC"/>
    <w:rsid w:val="00FC4AEC"/>
    <w:rsid w:val="00FD5D04"/>
    <w:rsid w:val="00FE3F70"/>
    <w:rsid w:val="00FE4527"/>
    <w:rsid w:val="00FF084B"/>
    <w:rsid w:val="00FF1384"/>
    <w:rsid w:val="00FF15D3"/>
    <w:rsid w:val="00FF1E04"/>
    <w:rsid w:val="00FF2C59"/>
    <w:rsid w:val="00FF3917"/>
    <w:rsid w:val="03780F6C"/>
    <w:rsid w:val="04232E9C"/>
    <w:rsid w:val="08B7492F"/>
    <w:rsid w:val="095B0084"/>
    <w:rsid w:val="098A0181"/>
    <w:rsid w:val="09AB5D86"/>
    <w:rsid w:val="09E17B50"/>
    <w:rsid w:val="0A9F3134"/>
    <w:rsid w:val="0CCE32D4"/>
    <w:rsid w:val="0D65246F"/>
    <w:rsid w:val="0D972C4B"/>
    <w:rsid w:val="0ED467C2"/>
    <w:rsid w:val="10450A76"/>
    <w:rsid w:val="12841EF5"/>
    <w:rsid w:val="14C11273"/>
    <w:rsid w:val="14F548A4"/>
    <w:rsid w:val="14FE66F5"/>
    <w:rsid w:val="155D3A47"/>
    <w:rsid w:val="16841E2B"/>
    <w:rsid w:val="1874160D"/>
    <w:rsid w:val="1B452D22"/>
    <w:rsid w:val="1BBF1C93"/>
    <w:rsid w:val="1F722F1F"/>
    <w:rsid w:val="1FEC64AB"/>
    <w:rsid w:val="20252312"/>
    <w:rsid w:val="203715E8"/>
    <w:rsid w:val="23970A91"/>
    <w:rsid w:val="23FB21FF"/>
    <w:rsid w:val="2480011C"/>
    <w:rsid w:val="250D6DE4"/>
    <w:rsid w:val="25765A93"/>
    <w:rsid w:val="27223C7F"/>
    <w:rsid w:val="27B117BB"/>
    <w:rsid w:val="29214FB2"/>
    <w:rsid w:val="2A437E51"/>
    <w:rsid w:val="2C754CE8"/>
    <w:rsid w:val="2CF613E6"/>
    <w:rsid w:val="2DF2034E"/>
    <w:rsid w:val="2DF33E0A"/>
    <w:rsid w:val="2FEFD382"/>
    <w:rsid w:val="301E0A94"/>
    <w:rsid w:val="303A31BE"/>
    <w:rsid w:val="32FD1CD8"/>
    <w:rsid w:val="35444092"/>
    <w:rsid w:val="35A00F66"/>
    <w:rsid w:val="364F5374"/>
    <w:rsid w:val="38E55F3A"/>
    <w:rsid w:val="3B3E607B"/>
    <w:rsid w:val="3D766D10"/>
    <w:rsid w:val="3DC965C7"/>
    <w:rsid w:val="3F6B416C"/>
    <w:rsid w:val="43825E8A"/>
    <w:rsid w:val="45212235"/>
    <w:rsid w:val="45C942BA"/>
    <w:rsid w:val="47CE7324"/>
    <w:rsid w:val="48A4765C"/>
    <w:rsid w:val="49033183"/>
    <w:rsid w:val="49F26C6C"/>
    <w:rsid w:val="4DDF1DA3"/>
    <w:rsid w:val="4F220FEE"/>
    <w:rsid w:val="4F700BC5"/>
    <w:rsid w:val="503D7A18"/>
    <w:rsid w:val="517102E3"/>
    <w:rsid w:val="51EA37A6"/>
    <w:rsid w:val="51EE2E25"/>
    <w:rsid w:val="54196BD7"/>
    <w:rsid w:val="59717C8E"/>
    <w:rsid w:val="599D7523"/>
    <w:rsid w:val="5E323B31"/>
    <w:rsid w:val="5F867E1D"/>
    <w:rsid w:val="614D4522"/>
    <w:rsid w:val="62E810C9"/>
    <w:rsid w:val="63217225"/>
    <w:rsid w:val="6B350B88"/>
    <w:rsid w:val="6BE366C4"/>
    <w:rsid w:val="6DD45695"/>
    <w:rsid w:val="705C23FF"/>
    <w:rsid w:val="72D44D2A"/>
    <w:rsid w:val="74157D2E"/>
    <w:rsid w:val="74583597"/>
    <w:rsid w:val="75100CCD"/>
    <w:rsid w:val="758A31CA"/>
    <w:rsid w:val="76544DE8"/>
    <w:rsid w:val="766C5EAF"/>
    <w:rsid w:val="774B0FFA"/>
    <w:rsid w:val="77FA03F8"/>
    <w:rsid w:val="7A225FA6"/>
    <w:rsid w:val="7F301C59"/>
    <w:rsid w:val="7F345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6"/>
    <w:qFormat/>
    <w:uiPriority w:val="0"/>
    <w:rPr>
      <w:b/>
      <w:bCs/>
    </w:rPr>
  </w:style>
  <w:style w:type="paragraph" w:styleId="4">
    <w:name w:val="annotation text"/>
    <w:basedOn w:val="1"/>
    <w:link w:val="35"/>
    <w:qFormat/>
    <w:uiPriority w:val="0"/>
    <w:pPr>
      <w:jc w:val="left"/>
    </w:pPr>
    <w:rPr>
      <w:lang w:val="zh-CN"/>
    </w:rPr>
  </w:style>
  <w:style w:type="paragraph" w:styleId="5">
    <w:name w:val="Body Text Indent"/>
    <w:basedOn w:val="1"/>
    <w:link w:val="21"/>
    <w:qFormat/>
    <w:uiPriority w:val="0"/>
    <w:pPr>
      <w:ind w:firstLine="640" w:firstLineChars="200"/>
    </w:pPr>
    <w:rPr>
      <w:rFonts w:eastAsia="仿宋_GB2312"/>
      <w:sz w:val="32"/>
      <w:szCs w:val="24"/>
    </w:rPr>
  </w:style>
  <w:style w:type="paragraph" w:styleId="6">
    <w:name w:val="Date"/>
    <w:basedOn w:val="1"/>
    <w:next w:val="1"/>
    <w:link w:val="37"/>
    <w:unhideWhenUsed/>
    <w:qFormat/>
    <w:uiPriority w:val="0"/>
    <w:pPr>
      <w:ind w:left="100" w:leftChars="2500"/>
    </w:pPr>
  </w:style>
  <w:style w:type="paragraph" w:styleId="7">
    <w:name w:val="Body Text Indent 2"/>
    <w:basedOn w:val="1"/>
    <w:link w:val="22"/>
    <w:qFormat/>
    <w:uiPriority w:val="0"/>
    <w:pPr>
      <w:spacing w:after="120" w:line="480" w:lineRule="auto"/>
      <w:ind w:left="420" w:leftChars="200"/>
    </w:pPr>
    <w:rPr>
      <w:szCs w:val="24"/>
    </w:rPr>
  </w:style>
  <w:style w:type="paragraph" w:styleId="8">
    <w:name w:val="Balloon Text"/>
    <w:basedOn w:val="1"/>
    <w:link w:val="23"/>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line="480" w:lineRule="auto"/>
    </w:pPr>
    <w:rPr>
      <w:rFonts w:ascii="Times New Roman" w:hAnsi="Times New Roman"/>
      <w:szCs w:val="2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6"/>
    <w:qFormat/>
    <w:uiPriority w:val="0"/>
    <w:pPr>
      <w:spacing w:before="240" w:after="60"/>
      <w:jc w:val="center"/>
      <w:outlineLvl w:val="0"/>
    </w:pPr>
    <w:rPr>
      <w:rFonts w:ascii="Cambria" w:hAnsi="Cambria"/>
      <w:b/>
      <w:bCs/>
      <w:sz w:val="32"/>
      <w:szCs w:val="32"/>
    </w:rPr>
  </w:style>
  <w:style w:type="character" w:styleId="15">
    <w:name w:val="Strong"/>
    <w:qFormat/>
    <w:uiPriority w:val="0"/>
    <w:rPr>
      <w:rFonts w:cs="Times New Roman"/>
      <w:b/>
    </w:rPr>
  </w:style>
  <w:style w:type="character" w:styleId="16">
    <w:name w:val="page number"/>
    <w:qFormat/>
    <w:uiPriority w:val="0"/>
    <w:rPr>
      <w:rFonts w:cs="Times New Roman"/>
    </w:rPr>
  </w:style>
  <w:style w:type="character" w:styleId="17">
    <w:name w:val="Hyperlink"/>
    <w:qFormat/>
    <w:uiPriority w:val="99"/>
    <w:rPr>
      <w:rFonts w:ascii="Verdana" w:hAnsi="Verdana" w:eastAsia="仿宋_GB2312" w:cs="Verdana"/>
      <w:color w:val="0000FF"/>
      <w:kern w:val="0"/>
      <w:sz w:val="24"/>
      <w:u w:val="single"/>
      <w:lang w:eastAsia="en-US"/>
    </w:rPr>
  </w:style>
  <w:style w:type="character" w:styleId="18">
    <w:name w:val="annotation reference"/>
    <w:qFormat/>
    <w:uiPriority w:val="0"/>
    <w:rPr>
      <w:sz w:val="21"/>
      <w:szCs w:val="21"/>
    </w:rPr>
  </w:style>
  <w:style w:type="character" w:customStyle="1" w:styleId="20">
    <w:name w:val="标题 1 Char"/>
    <w:link w:val="2"/>
    <w:qFormat/>
    <w:locked/>
    <w:uiPriority w:val="0"/>
    <w:rPr>
      <w:rFonts w:ascii="Calibri" w:hAnsi="Calibri" w:eastAsia="宋体"/>
      <w:b/>
      <w:bCs/>
      <w:kern w:val="44"/>
      <w:sz w:val="44"/>
      <w:szCs w:val="44"/>
      <w:lang w:val="en-US" w:eastAsia="zh-CN" w:bidi="ar-SA"/>
    </w:rPr>
  </w:style>
  <w:style w:type="character" w:customStyle="1" w:styleId="21">
    <w:name w:val="正文文本缩进 Char"/>
    <w:link w:val="5"/>
    <w:qFormat/>
    <w:locked/>
    <w:uiPriority w:val="0"/>
    <w:rPr>
      <w:rFonts w:eastAsia="仿宋_GB2312"/>
      <w:kern w:val="2"/>
      <w:sz w:val="32"/>
      <w:szCs w:val="24"/>
      <w:lang w:val="en-US" w:eastAsia="zh-CN" w:bidi="ar-SA"/>
    </w:rPr>
  </w:style>
  <w:style w:type="character" w:customStyle="1" w:styleId="22">
    <w:name w:val="正文文本缩进 2 Char"/>
    <w:link w:val="7"/>
    <w:semiHidden/>
    <w:qFormat/>
    <w:locked/>
    <w:uiPriority w:val="0"/>
    <w:rPr>
      <w:rFonts w:eastAsia="宋体"/>
      <w:kern w:val="2"/>
      <w:sz w:val="21"/>
      <w:szCs w:val="24"/>
      <w:lang w:val="en-US" w:eastAsia="zh-CN" w:bidi="ar-SA"/>
    </w:rPr>
  </w:style>
  <w:style w:type="character" w:customStyle="1" w:styleId="23">
    <w:name w:val="批注框文本 Char"/>
    <w:link w:val="8"/>
    <w:semiHidden/>
    <w:qFormat/>
    <w:locked/>
    <w:uiPriority w:val="0"/>
    <w:rPr>
      <w:rFonts w:ascii="Calibri" w:hAnsi="Calibri" w:eastAsia="宋体"/>
      <w:kern w:val="2"/>
      <w:sz w:val="18"/>
      <w:szCs w:val="18"/>
      <w:lang w:val="en-US" w:eastAsia="zh-CN" w:bidi="ar-SA"/>
    </w:rPr>
  </w:style>
  <w:style w:type="character" w:customStyle="1" w:styleId="24">
    <w:name w:val="页脚 Char"/>
    <w:link w:val="9"/>
    <w:qFormat/>
    <w:locked/>
    <w:uiPriority w:val="0"/>
    <w:rPr>
      <w:rFonts w:ascii="Calibri" w:hAnsi="Calibri" w:eastAsia="宋体"/>
      <w:kern w:val="2"/>
      <w:sz w:val="18"/>
      <w:szCs w:val="18"/>
      <w:lang w:val="en-US" w:eastAsia="zh-CN" w:bidi="ar-SA"/>
    </w:rPr>
  </w:style>
  <w:style w:type="character" w:customStyle="1" w:styleId="25">
    <w:name w:val="页眉 Char"/>
    <w:link w:val="10"/>
    <w:qFormat/>
    <w:locked/>
    <w:uiPriority w:val="0"/>
    <w:rPr>
      <w:rFonts w:ascii="Calibri" w:hAnsi="Calibri" w:eastAsia="宋体"/>
      <w:kern w:val="2"/>
      <w:sz w:val="18"/>
      <w:szCs w:val="18"/>
      <w:lang w:val="en-US" w:eastAsia="zh-CN" w:bidi="ar-SA"/>
    </w:rPr>
  </w:style>
  <w:style w:type="character" w:customStyle="1" w:styleId="26">
    <w:name w:val="标题 Char"/>
    <w:link w:val="13"/>
    <w:qFormat/>
    <w:locked/>
    <w:uiPriority w:val="0"/>
    <w:rPr>
      <w:rFonts w:ascii="Cambria" w:hAnsi="Cambria" w:eastAsia="宋体"/>
      <w:b/>
      <w:bCs/>
      <w:kern w:val="2"/>
      <w:sz w:val="32"/>
      <w:szCs w:val="32"/>
      <w:lang w:val="en-US" w:eastAsia="zh-CN" w:bidi="ar-SA"/>
    </w:rPr>
  </w:style>
  <w:style w:type="paragraph" w:customStyle="1" w:styleId="27">
    <w:name w:val="样式 首行缩进:  2 字符"/>
    <w:basedOn w:val="1"/>
    <w:qFormat/>
    <w:uiPriority w:val="0"/>
    <w:pPr>
      <w:spacing w:before="60" w:after="60"/>
      <w:ind w:firstLine="480" w:firstLineChars="200"/>
    </w:pPr>
    <w:rPr>
      <w:rFonts w:ascii="Times New Roman" w:hAnsi="Times New Roman"/>
      <w:sz w:val="24"/>
      <w:szCs w:val="20"/>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0">
    <w:name w:val="Char1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31">
    <w:name w:val="Char1"/>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3">
    <w:name w:val="列出段落1"/>
    <w:basedOn w:val="1"/>
    <w:qFormat/>
    <w:uiPriority w:val="0"/>
    <w:pPr>
      <w:ind w:firstLine="420" w:firstLineChars="200"/>
    </w:pPr>
  </w:style>
  <w:style w:type="character" w:customStyle="1" w:styleId="34">
    <w:name w:val="apple-converted-space"/>
    <w:qFormat/>
    <w:uiPriority w:val="0"/>
    <w:rPr>
      <w:rFonts w:cs="Times New Roman"/>
    </w:rPr>
  </w:style>
  <w:style w:type="character" w:customStyle="1" w:styleId="35">
    <w:name w:val="批注文字 Char"/>
    <w:link w:val="4"/>
    <w:qFormat/>
    <w:uiPriority w:val="0"/>
    <w:rPr>
      <w:rFonts w:ascii="Calibri" w:hAnsi="Calibri"/>
      <w:kern w:val="2"/>
      <w:sz w:val="21"/>
      <w:szCs w:val="22"/>
    </w:rPr>
  </w:style>
  <w:style w:type="character" w:customStyle="1" w:styleId="36">
    <w:name w:val="批注主题 Char"/>
    <w:link w:val="3"/>
    <w:qFormat/>
    <w:uiPriority w:val="0"/>
    <w:rPr>
      <w:rFonts w:ascii="Calibri" w:hAnsi="Calibri"/>
      <w:b/>
      <w:bCs/>
      <w:kern w:val="2"/>
      <w:sz w:val="21"/>
      <w:szCs w:val="22"/>
    </w:rPr>
  </w:style>
  <w:style w:type="character" w:customStyle="1" w:styleId="37">
    <w:name w:val="日期 Char"/>
    <w:basedOn w:val="14"/>
    <w:link w:val="6"/>
    <w:semiHidden/>
    <w:qFormat/>
    <w:uiPriority w:val="0"/>
    <w:rPr>
      <w:rFonts w:ascii="Calibri" w:hAnsi="Calibri"/>
      <w:kern w:val="2"/>
      <w:sz w:val="21"/>
      <w:szCs w:val="22"/>
    </w:rPr>
  </w:style>
  <w:style w:type="paragraph" w:customStyle="1" w:styleId="3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478BC-60F5-44D1-8087-C506A5916B1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2244</Words>
  <Characters>12794</Characters>
  <Lines>106</Lines>
  <Paragraphs>30</Paragraphs>
  <TotalTime>9</TotalTime>
  <ScaleCrop>false</ScaleCrop>
  <LinksUpToDate>false</LinksUpToDate>
  <CharactersWithSpaces>15008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2018-10-31T06:47:00Z</dcterms:created>
  <dc:creator>User</dc:creator>
  <cp:lastModifiedBy>多年以后</cp:lastModifiedBy>
  <cp:lastPrinted>2018-10-31T06:56:00Z</cp:lastPrinted>
  <dcterms:modified xsi:type="dcterms:W3CDTF">2018-11-21T07:09:47Z</dcterms:modified>
  <dc:title>浙江云开亚美医药科技股份有限公司增资扩股2046</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