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0" w:line="360" w:lineRule="auto"/>
        <w:ind w:firstLine="560"/>
        <w:rPr>
          <w:rFonts w:ascii="宋体" w:hAnsi="宋体"/>
          <w:sz w:val="28"/>
          <w:szCs w:val="28"/>
        </w:rPr>
      </w:pPr>
      <w:bookmarkStart w:id="15" w:name="_GoBack"/>
      <w:bookmarkEnd w:id="15"/>
    </w:p>
    <w:p>
      <w:pPr>
        <w:spacing w:after="0" w:line="360" w:lineRule="auto"/>
        <w:ind w:firstLine="560"/>
        <w:rPr>
          <w:rFonts w:ascii="宋体" w:hAnsi="宋体"/>
          <w:sz w:val="28"/>
          <w:szCs w:val="28"/>
        </w:rPr>
      </w:pPr>
    </w:p>
    <w:p>
      <w:pPr>
        <w:spacing w:after="0" w:line="360" w:lineRule="auto"/>
        <w:ind w:firstLine="560"/>
        <w:rPr>
          <w:rFonts w:ascii="宋体" w:hAnsi="宋体"/>
          <w:sz w:val="28"/>
          <w:szCs w:val="28"/>
        </w:rPr>
      </w:pPr>
    </w:p>
    <w:p>
      <w:pPr>
        <w:spacing w:after="0" w:line="360" w:lineRule="auto"/>
        <w:ind w:firstLine="0" w:firstLineChars="0"/>
        <w:jc w:val="center"/>
        <w:rPr>
          <w:rFonts w:ascii="黑体" w:hAnsi="宋体" w:eastAsia="黑体"/>
          <w:b/>
          <w:spacing w:val="-9"/>
          <w:sz w:val="48"/>
          <w:szCs w:val="48"/>
        </w:rPr>
      </w:pPr>
      <w:r>
        <w:rPr>
          <w:rFonts w:hint="eastAsia" w:ascii="黑体" w:hAnsi="宋体" w:eastAsia="黑体"/>
          <w:b/>
          <w:spacing w:val="-9"/>
          <w:sz w:val="48"/>
          <w:szCs w:val="48"/>
        </w:rPr>
        <w:t>浙江导明医药科技有限公司</w:t>
      </w:r>
    </w:p>
    <w:p>
      <w:pPr>
        <w:spacing w:after="0" w:line="360" w:lineRule="auto"/>
        <w:ind w:firstLine="0" w:firstLineChars="0"/>
        <w:jc w:val="center"/>
        <w:rPr>
          <w:rFonts w:ascii="黑体" w:hAnsi="宋体" w:eastAsia="黑体"/>
          <w:b/>
          <w:sz w:val="48"/>
          <w:szCs w:val="48"/>
        </w:rPr>
      </w:pPr>
      <w:r>
        <w:rPr>
          <w:rFonts w:ascii="黑体" w:hAnsi="宋体" w:eastAsia="黑体"/>
          <w:b/>
          <w:spacing w:val="-9"/>
          <w:sz w:val="48"/>
          <w:szCs w:val="48"/>
        </w:rPr>
        <w:t>20.24</w:t>
      </w:r>
      <w:r>
        <w:rPr>
          <w:rFonts w:hint="eastAsia" w:ascii="黑体" w:hAnsi="宋体" w:eastAsia="黑体"/>
          <w:b/>
          <w:spacing w:val="-9"/>
          <w:sz w:val="48"/>
          <w:szCs w:val="48"/>
        </w:rPr>
        <w:t>%国有股权</w:t>
      </w:r>
    </w:p>
    <w:p>
      <w:pPr>
        <w:spacing w:after="0" w:line="360" w:lineRule="auto"/>
        <w:ind w:firstLine="0" w:firstLineChars="0"/>
        <w:jc w:val="center"/>
        <w:rPr>
          <w:rFonts w:ascii="黑体" w:hAnsi="宋体" w:eastAsia="黑体"/>
          <w:b/>
          <w:sz w:val="48"/>
          <w:szCs w:val="48"/>
        </w:rPr>
      </w:pPr>
    </w:p>
    <w:p>
      <w:pPr>
        <w:spacing w:after="0" w:line="360" w:lineRule="auto"/>
        <w:ind w:firstLine="0" w:firstLineChars="0"/>
        <w:jc w:val="center"/>
        <w:rPr>
          <w:rFonts w:ascii="黑体" w:hAnsi="宋体" w:eastAsia="黑体"/>
          <w:b/>
          <w:sz w:val="68"/>
          <w:szCs w:val="68"/>
        </w:rPr>
      </w:pPr>
      <w:r>
        <w:rPr>
          <w:rFonts w:hint="eastAsia" w:ascii="黑体" w:hAnsi="宋体" w:eastAsia="黑体"/>
          <w:b/>
          <w:sz w:val="68"/>
          <w:szCs w:val="68"/>
        </w:rPr>
        <w:t>转 让 文 件</w:t>
      </w:r>
    </w:p>
    <w:p>
      <w:pPr>
        <w:spacing w:after="0" w:line="360" w:lineRule="auto"/>
        <w:ind w:firstLine="0" w:firstLineChars="0"/>
        <w:jc w:val="center"/>
        <w:rPr>
          <w:rFonts w:ascii="黑体" w:hAnsi="宋体" w:eastAsia="黑体"/>
          <w:b/>
          <w:sz w:val="32"/>
          <w:szCs w:val="32"/>
        </w:rPr>
      </w:pPr>
      <w:r>
        <w:rPr>
          <w:rFonts w:hint="eastAsia" w:ascii="黑体" w:hAnsi="宋体" w:eastAsia="黑体"/>
          <w:b/>
          <w:sz w:val="32"/>
          <w:szCs w:val="32"/>
        </w:rPr>
        <w:t>台交所挂[2019]12号</w:t>
      </w:r>
    </w:p>
    <w:p>
      <w:pPr>
        <w:spacing w:after="0" w:line="360" w:lineRule="auto"/>
        <w:ind w:firstLine="0" w:firstLineChars="0"/>
        <w:jc w:val="center"/>
        <w:rPr>
          <w:rFonts w:ascii="黑体" w:hAnsi="宋体" w:eastAsia="黑体"/>
          <w:b/>
          <w:sz w:val="68"/>
          <w:szCs w:val="68"/>
        </w:rPr>
      </w:pPr>
    </w:p>
    <w:p>
      <w:pPr>
        <w:spacing w:after="0" w:line="360" w:lineRule="auto"/>
        <w:ind w:firstLine="560"/>
        <w:rPr>
          <w:rFonts w:ascii="宋体" w:hAnsi="宋体"/>
          <w:sz w:val="28"/>
          <w:szCs w:val="28"/>
        </w:rPr>
      </w:pPr>
    </w:p>
    <w:p>
      <w:pPr>
        <w:spacing w:after="0" w:line="360" w:lineRule="auto"/>
        <w:ind w:firstLine="560"/>
        <w:rPr>
          <w:rFonts w:ascii="宋体" w:hAnsi="宋体"/>
          <w:sz w:val="28"/>
          <w:szCs w:val="28"/>
        </w:rPr>
      </w:pPr>
    </w:p>
    <w:p>
      <w:pPr>
        <w:spacing w:after="0" w:line="360" w:lineRule="auto"/>
        <w:ind w:firstLine="560"/>
        <w:rPr>
          <w:rFonts w:ascii="宋体" w:hAnsi="宋体"/>
          <w:sz w:val="28"/>
          <w:szCs w:val="28"/>
        </w:rPr>
      </w:pPr>
    </w:p>
    <w:p>
      <w:pPr>
        <w:spacing w:after="0" w:line="360" w:lineRule="auto"/>
        <w:ind w:firstLine="560"/>
        <w:rPr>
          <w:rFonts w:ascii="宋体" w:hAnsi="宋体"/>
          <w:sz w:val="28"/>
          <w:szCs w:val="28"/>
        </w:rPr>
      </w:pPr>
    </w:p>
    <w:p>
      <w:pPr>
        <w:spacing w:after="0" w:line="360" w:lineRule="auto"/>
        <w:ind w:firstLine="560"/>
        <w:rPr>
          <w:rFonts w:ascii="宋体" w:hAnsi="宋体"/>
          <w:sz w:val="28"/>
          <w:szCs w:val="28"/>
        </w:rPr>
      </w:pPr>
    </w:p>
    <w:p>
      <w:pPr>
        <w:spacing w:after="0" w:line="360" w:lineRule="auto"/>
        <w:ind w:firstLine="560"/>
        <w:rPr>
          <w:rFonts w:ascii="宋体" w:hAnsi="宋体"/>
          <w:sz w:val="28"/>
          <w:szCs w:val="28"/>
        </w:rPr>
      </w:pPr>
    </w:p>
    <w:p>
      <w:pPr>
        <w:spacing w:after="0" w:line="360" w:lineRule="auto"/>
        <w:ind w:right="-693" w:rightChars="-330" w:firstLine="0" w:firstLineChars="0"/>
        <w:rPr>
          <w:rFonts w:ascii="宋体" w:hAnsi="宋体"/>
          <w:sz w:val="28"/>
          <w:szCs w:val="28"/>
        </w:rPr>
      </w:pPr>
    </w:p>
    <w:p>
      <w:pPr>
        <w:spacing w:after="0" w:line="360" w:lineRule="auto"/>
        <w:ind w:left="-540" w:leftChars="-257" w:right="-693" w:rightChars="-330" w:firstLine="361"/>
        <w:rPr>
          <w:rFonts w:ascii="宋体" w:hAnsi="宋体"/>
          <w:b/>
          <w:sz w:val="18"/>
          <w:szCs w:val="18"/>
        </w:rPr>
      </w:pPr>
      <w:r>
        <w:rPr>
          <w:rFonts w:hint="eastAsia" w:ascii="宋体" w:hAnsi="宋体"/>
          <w:b/>
          <w:sz w:val="18"/>
          <w:szCs w:val="18"/>
        </w:rPr>
        <w:t>◎台州市产权交易所有限公司◎地址：台州市市府大道777号民泰银行5楼511室◎电话：88685177 88685180◎网址：www.tzpre.com</w:t>
      </w:r>
    </w:p>
    <w:p>
      <w:pPr>
        <w:spacing w:after="0" w:line="360" w:lineRule="auto"/>
        <w:ind w:firstLine="562"/>
        <w:jc w:val="center"/>
        <w:rPr>
          <w:rFonts w:ascii="宋体" w:hAnsi="宋体"/>
          <w:b/>
          <w:bCs/>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531" w:bottom="1327" w:left="1531" w:header="851" w:footer="992" w:gutter="0"/>
          <w:cols w:space="720" w:num="1"/>
          <w:formProt w:val="1"/>
          <w:docGrid w:type="lines" w:linePitch="312" w:charSpace="0"/>
        </w:sectPr>
      </w:pPr>
    </w:p>
    <w:p>
      <w:pPr>
        <w:spacing w:after="0" w:line="360" w:lineRule="auto"/>
        <w:ind w:firstLine="0" w:firstLineChars="0"/>
        <w:jc w:val="center"/>
        <w:rPr>
          <w:rFonts w:ascii="黑体" w:hAnsi="宋体" w:eastAsia="黑体"/>
          <w:b/>
          <w:bCs/>
          <w:sz w:val="84"/>
        </w:rPr>
      </w:pPr>
      <w:r>
        <w:rPr>
          <w:rFonts w:hint="eastAsia" w:ascii="黑体" w:hAnsi="宋体" w:eastAsia="黑体"/>
          <w:b/>
          <w:bCs/>
          <w:sz w:val="84"/>
        </w:rPr>
        <w:t>目　</w:t>
      </w:r>
      <w:r>
        <w:rPr>
          <w:rFonts w:ascii="黑体" w:hAnsi="宋体" w:eastAsia="黑体"/>
          <w:b/>
          <w:bCs/>
          <w:sz w:val="84"/>
        </w:rPr>
        <w:t xml:space="preserve"> 录</w:t>
      </w:r>
    </w:p>
    <w:p>
      <w:pPr>
        <w:spacing w:after="0" w:line="360" w:lineRule="auto"/>
        <w:ind w:firstLine="0" w:firstLineChars="0"/>
        <w:jc w:val="center"/>
        <w:rPr>
          <w:rFonts w:ascii="宋体" w:hAnsi="宋体"/>
          <w:b/>
          <w:sz w:val="32"/>
          <w:szCs w:val="32"/>
        </w:rPr>
      </w:pPr>
      <w:r>
        <w:rPr>
          <w:rFonts w:hint="eastAsia" w:ascii="宋体" w:hAnsi="宋体"/>
          <w:b/>
          <w:sz w:val="32"/>
          <w:szCs w:val="32"/>
        </w:rPr>
        <w:t>浙江导明医药科技有限公司</w:t>
      </w:r>
      <w:r>
        <w:rPr>
          <w:rFonts w:ascii="宋体" w:hAnsi="宋体"/>
          <w:b/>
          <w:sz w:val="32"/>
          <w:szCs w:val="32"/>
        </w:rPr>
        <w:t>20.24</w:t>
      </w:r>
      <w:r>
        <w:rPr>
          <w:rFonts w:hint="eastAsia" w:ascii="宋体" w:hAnsi="宋体"/>
          <w:b/>
          <w:sz w:val="32"/>
          <w:szCs w:val="32"/>
        </w:rPr>
        <w:t>%国有股权</w:t>
      </w:r>
    </w:p>
    <w:p>
      <w:pPr>
        <w:spacing w:after="0" w:line="360" w:lineRule="auto"/>
        <w:ind w:firstLine="0" w:firstLineChars="0"/>
        <w:jc w:val="center"/>
        <w:rPr>
          <w:rFonts w:ascii="黑体" w:hAnsi="宋体" w:eastAsia="黑体"/>
          <w:b/>
          <w:bCs/>
          <w:spacing w:val="140"/>
          <w:sz w:val="44"/>
        </w:rPr>
      </w:pPr>
      <w:r>
        <w:rPr>
          <w:rFonts w:hint="eastAsia" w:ascii="黑体" w:hAnsi="宋体" w:eastAsia="黑体"/>
          <w:b/>
          <w:bCs/>
          <w:spacing w:val="140"/>
          <w:sz w:val="44"/>
        </w:rPr>
        <w:t>转让文件</w:t>
      </w:r>
    </w:p>
    <w:p>
      <w:pPr>
        <w:spacing w:after="0" w:line="360" w:lineRule="auto"/>
        <w:ind w:firstLine="560"/>
        <w:rPr>
          <w:rFonts w:ascii="宋体" w:hAnsi="宋体"/>
          <w:sz w:val="28"/>
          <w:szCs w:val="28"/>
        </w:rPr>
      </w:pPr>
    </w:p>
    <w:p>
      <w:pPr>
        <w:spacing w:after="0" w:line="360" w:lineRule="auto"/>
        <w:ind w:firstLine="560"/>
        <w:rPr>
          <w:rFonts w:ascii="宋体" w:hAnsi="宋体"/>
          <w:sz w:val="28"/>
          <w:szCs w:val="28"/>
        </w:rPr>
      </w:pPr>
    </w:p>
    <w:p>
      <w:pPr>
        <w:spacing w:after="0" w:line="360" w:lineRule="auto"/>
        <w:ind w:firstLine="562"/>
        <w:rPr>
          <w:rFonts w:ascii="宋体" w:hAnsi="宋体"/>
          <w:b/>
          <w:bCs/>
          <w:sz w:val="28"/>
          <w:szCs w:val="28"/>
        </w:rPr>
      </w:pPr>
      <w:r>
        <w:rPr>
          <w:rFonts w:hint="eastAsia" w:ascii="宋体" w:hAnsi="宋体"/>
          <w:b/>
          <w:bCs/>
          <w:sz w:val="28"/>
          <w:szCs w:val="28"/>
        </w:rPr>
        <w:t>股权转让公告　</w:t>
      </w:r>
      <w:r>
        <w:rPr>
          <w:rFonts w:ascii="宋体" w:hAnsi="宋体"/>
          <w:b/>
          <w:bCs/>
          <w:sz w:val="28"/>
          <w:szCs w:val="28"/>
        </w:rPr>
        <w:t>--------------------------------</w:t>
      </w:r>
      <w:r>
        <w:rPr>
          <w:rFonts w:hint="eastAsia" w:ascii="宋体" w:hAnsi="宋体"/>
          <w:b/>
          <w:bCs/>
          <w:sz w:val="28"/>
          <w:szCs w:val="28"/>
        </w:rPr>
        <w:t>-----</w:t>
      </w:r>
      <w:r>
        <w:rPr>
          <w:rFonts w:ascii="宋体" w:hAnsi="宋体"/>
          <w:b/>
          <w:bCs/>
          <w:sz w:val="28"/>
          <w:szCs w:val="28"/>
        </w:rPr>
        <w:t>---</w:t>
      </w:r>
      <w:r>
        <w:rPr>
          <w:rFonts w:hint="eastAsia" w:ascii="宋体" w:hAnsi="宋体"/>
          <w:b/>
          <w:bCs/>
          <w:sz w:val="28"/>
          <w:szCs w:val="28"/>
        </w:rPr>
        <w:t>1</w:t>
      </w:r>
    </w:p>
    <w:p>
      <w:pPr>
        <w:spacing w:after="0" w:line="360" w:lineRule="auto"/>
        <w:ind w:firstLine="562"/>
        <w:rPr>
          <w:rFonts w:ascii="宋体" w:hAnsi="宋体"/>
          <w:b/>
          <w:bCs/>
          <w:sz w:val="28"/>
          <w:szCs w:val="28"/>
        </w:rPr>
      </w:pPr>
      <w:r>
        <w:rPr>
          <w:rFonts w:hint="eastAsia" w:ascii="宋体" w:hAnsi="宋体"/>
          <w:b/>
          <w:bCs/>
          <w:sz w:val="28"/>
          <w:szCs w:val="28"/>
        </w:rPr>
        <w:t>股权转让须知</w:t>
      </w:r>
      <w:r>
        <w:rPr>
          <w:rFonts w:ascii="宋体" w:hAnsi="宋体"/>
          <w:b/>
          <w:bCs/>
          <w:sz w:val="28"/>
          <w:szCs w:val="28"/>
        </w:rPr>
        <w:t xml:space="preserve"> --------------------------------</w:t>
      </w:r>
      <w:r>
        <w:rPr>
          <w:rFonts w:hint="eastAsia" w:ascii="宋体" w:hAnsi="宋体"/>
          <w:b/>
          <w:bCs/>
          <w:sz w:val="28"/>
          <w:szCs w:val="28"/>
        </w:rPr>
        <w:t>-----</w:t>
      </w:r>
      <w:r>
        <w:rPr>
          <w:rFonts w:ascii="宋体" w:hAnsi="宋体"/>
          <w:b/>
          <w:bCs/>
          <w:sz w:val="28"/>
          <w:szCs w:val="28"/>
        </w:rPr>
        <w:t>----</w:t>
      </w:r>
      <w:r>
        <w:rPr>
          <w:rFonts w:hint="eastAsia" w:ascii="宋体" w:hAnsi="宋体"/>
          <w:b/>
          <w:bCs/>
          <w:sz w:val="28"/>
          <w:szCs w:val="28"/>
        </w:rPr>
        <w:t>3</w:t>
      </w:r>
    </w:p>
    <w:p>
      <w:pPr>
        <w:spacing w:after="0" w:line="360" w:lineRule="auto"/>
        <w:ind w:firstLine="562"/>
        <w:rPr>
          <w:rFonts w:ascii="宋体" w:hAnsi="宋体"/>
          <w:b/>
          <w:bCs/>
          <w:sz w:val="28"/>
          <w:szCs w:val="28"/>
        </w:rPr>
      </w:pPr>
      <w:r>
        <w:rPr>
          <w:rFonts w:hint="eastAsia" w:ascii="宋体" w:hAnsi="宋体"/>
          <w:b/>
          <w:bCs/>
          <w:sz w:val="28"/>
          <w:szCs w:val="28"/>
        </w:rPr>
        <w:t>网络竞价规则------------------------------------------11</w:t>
      </w:r>
    </w:p>
    <w:p>
      <w:pPr>
        <w:spacing w:after="0" w:line="360" w:lineRule="auto"/>
        <w:ind w:firstLine="562"/>
        <w:rPr>
          <w:rFonts w:ascii="宋体" w:hAnsi="宋体"/>
          <w:b/>
          <w:bCs/>
          <w:sz w:val="28"/>
          <w:szCs w:val="28"/>
        </w:rPr>
      </w:pPr>
      <w:r>
        <w:rPr>
          <w:rFonts w:hint="eastAsia" w:ascii="宋体" w:hAnsi="宋体"/>
          <w:b/>
          <w:bCs/>
          <w:sz w:val="28"/>
          <w:szCs w:val="28"/>
        </w:rPr>
        <w:t>股权转让竞买申请书</w:t>
      </w:r>
      <w:r>
        <w:rPr>
          <w:rFonts w:ascii="宋体" w:hAnsi="宋体"/>
          <w:b/>
          <w:bCs/>
          <w:sz w:val="28"/>
          <w:szCs w:val="28"/>
        </w:rPr>
        <w:t>--------------------------</w:t>
      </w:r>
      <w:r>
        <w:rPr>
          <w:rFonts w:hint="eastAsia" w:ascii="宋体" w:hAnsi="宋体"/>
          <w:b/>
          <w:bCs/>
          <w:sz w:val="28"/>
          <w:szCs w:val="28"/>
        </w:rPr>
        <w:t>-----</w:t>
      </w:r>
      <w:r>
        <w:rPr>
          <w:rFonts w:ascii="宋体" w:hAnsi="宋体"/>
          <w:b/>
          <w:bCs/>
          <w:sz w:val="28"/>
          <w:szCs w:val="28"/>
        </w:rPr>
        <w:t>-----</w:t>
      </w:r>
      <w:r>
        <w:rPr>
          <w:rFonts w:hint="eastAsia" w:ascii="宋体" w:hAnsi="宋体"/>
          <w:b/>
          <w:bCs/>
          <w:sz w:val="28"/>
          <w:szCs w:val="28"/>
        </w:rPr>
        <w:t>14</w:t>
      </w:r>
    </w:p>
    <w:p>
      <w:pPr>
        <w:spacing w:after="0" w:line="360" w:lineRule="auto"/>
        <w:ind w:firstLine="562"/>
        <w:rPr>
          <w:rFonts w:ascii="宋体" w:hAnsi="宋体"/>
          <w:b/>
          <w:bCs/>
          <w:sz w:val="28"/>
          <w:szCs w:val="28"/>
        </w:rPr>
      </w:pPr>
      <w:r>
        <w:rPr>
          <w:rFonts w:hint="eastAsia" w:ascii="宋体" w:hAnsi="宋体"/>
          <w:b/>
          <w:bCs/>
          <w:sz w:val="28"/>
          <w:szCs w:val="28"/>
        </w:rPr>
        <w:t>股权转让竞买人承诺函</w:t>
      </w:r>
      <w:r>
        <w:rPr>
          <w:rFonts w:ascii="宋体" w:hAnsi="宋体"/>
          <w:b/>
          <w:bCs/>
          <w:sz w:val="28"/>
          <w:szCs w:val="28"/>
        </w:rPr>
        <w:t xml:space="preserve"> -----------------------</w:t>
      </w:r>
      <w:r>
        <w:rPr>
          <w:rFonts w:hint="eastAsia" w:ascii="宋体" w:hAnsi="宋体"/>
          <w:b/>
          <w:bCs/>
          <w:sz w:val="28"/>
          <w:szCs w:val="28"/>
        </w:rPr>
        <w:t>-----</w:t>
      </w:r>
      <w:r>
        <w:rPr>
          <w:rFonts w:ascii="宋体" w:hAnsi="宋体"/>
          <w:b/>
          <w:bCs/>
          <w:sz w:val="28"/>
          <w:szCs w:val="28"/>
        </w:rPr>
        <w:t>-----</w:t>
      </w:r>
      <w:r>
        <w:rPr>
          <w:rFonts w:hint="eastAsia" w:ascii="宋体" w:hAnsi="宋体"/>
          <w:b/>
          <w:bCs/>
          <w:sz w:val="28"/>
          <w:szCs w:val="28"/>
        </w:rPr>
        <w:t>15</w:t>
      </w:r>
    </w:p>
    <w:p>
      <w:pPr>
        <w:spacing w:after="0" w:line="360" w:lineRule="auto"/>
        <w:ind w:firstLine="562"/>
        <w:rPr>
          <w:rFonts w:ascii="宋体" w:hAnsi="宋体"/>
          <w:b/>
          <w:bCs/>
          <w:sz w:val="28"/>
          <w:szCs w:val="28"/>
        </w:rPr>
      </w:pPr>
      <w:r>
        <w:rPr>
          <w:rFonts w:hint="eastAsia" w:ascii="宋体" w:hAnsi="宋体"/>
          <w:b/>
          <w:bCs/>
          <w:sz w:val="28"/>
          <w:szCs w:val="28"/>
        </w:rPr>
        <w:t>成交确认书-----------------------------------</w:t>
      </w:r>
      <w:r>
        <w:rPr>
          <w:rFonts w:ascii="宋体" w:hAnsi="宋体"/>
          <w:b/>
          <w:bCs/>
          <w:sz w:val="28"/>
          <w:szCs w:val="28"/>
        </w:rPr>
        <w:t>------</w:t>
      </w:r>
      <w:r>
        <w:rPr>
          <w:rFonts w:hint="eastAsia" w:ascii="宋体" w:hAnsi="宋体"/>
          <w:b/>
          <w:bCs/>
          <w:sz w:val="28"/>
          <w:szCs w:val="28"/>
        </w:rPr>
        <w:t>---17</w:t>
      </w:r>
    </w:p>
    <w:p>
      <w:pPr>
        <w:spacing w:after="0" w:line="360" w:lineRule="auto"/>
        <w:ind w:firstLine="562"/>
        <w:rPr>
          <w:rFonts w:ascii="宋体" w:hAnsi="宋体"/>
          <w:b/>
          <w:bCs/>
          <w:sz w:val="28"/>
          <w:szCs w:val="28"/>
        </w:rPr>
      </w:pPr>
      <w:r>
        <w:rPr>
          <w:rFonts w:hint="eastAsia" w:ascii="宋体" w:hAnsi="宋体"/>
          <w:b/>
          <w:bCs/>
          <w:sz w:val="28"/>
          <w:szCs w:val="28"/>
        </w:rPr>
        <w:t>股权转让合同--------</w:t>
      </w:r>
      <w:r>
        <w:rPr>
          <w:rFonts w:ascii="宋体" w:hAnsi="宋体"/>
          <w:b/>
          <w:bCs/>
          <w:sz w:val="28"/>
          <w:szCs w:val="28"/>
        </w:rPr>
        <w:t>---------------------</w:t>
      </w:r>
      <w:r>
        <w:rPr>
          <w:rFonts w:hint="eastAsia" w:ascii="宋体" w:hAnsi="宋体"/>
          <w:b/>
          <w:bCs/>
          <w:sz w:val="28"/>
          <w:szCs w:val="28"/>
        </w:rPr>
        <w:t>-------</w:t>
      </w:r>
      <w:r>
        <w:rPr>
          <w:rFonts w:ascii="宋体" w:hAnsi="宋体"/>
          <w:b/>
          <w:bCs/>
          <w:sz w:val="28"/>
          <w:szCs w:val="28"/>
        </w:rPr>
        <w:t>------</w:t>
      </w:r>
      <w:r>
        <w:rPr>
          <w:rFonts w:hint="eastAsia" w:ascii="宋体" w:hAnsi="宋体"/>
          <w:b/>
          <w:bCs/>
          <w:sz w:val="28"/>
          <w:szCs w:val="28"/>
        </w:rPr>
        <w:t>19</w:t>
      </w:r>
    </w:p>
    <w:p>
      <w:pPr>
        <w:spacing w:after="0" w:line="360" w:lineRule="auto"/>
        <w:ind w:firstLine="562"/>
        <w:rPr>
          <w:rFonts w:ascii="宋体" w:hAnsi="宋体"/>
          <w:b/>
          <w:bCs/>
          <w:sz w:val="28"/>
          <w:szCs w:val="28"/>
        </w:rPr>
      </w:pPr>
      <w:r>
        <w:rPr>
          <w:rFonts w:hint="eastAsia" w:ascii="宋体" w:hAnsi="宋体"/>
          <w:b/>
          <w:bCs/>
          <w:sz w:val="28"/>
          <w:szCs w:val="28"/>
        </w:rPr>
        <w:t>转让股权相关信息</w:t>
      </w:r>
      <w:r>
        <w:rPr>
          <w:rFonts w:ascii="宋体" w:hAnsi="宋体"/>
          <w:b/>
          <w:bCs/>
          <w:sz w:val="28"/>
          <w:szCs w:val="28"/>
        </w:rPr>
        <w:t xml:space="preserve"> ------------------------</w:t>
      </w:r>
      <w:r>
        <w:rPr>
          <w:rFonts w:hint="eastAsia" w:ascii="宋体" w:hAnsi="宋体"/>
          <w:b/>
          <w:bCs/>
          <w:sz w:val="28"/>
          <w:szCs w:val="28"/>
        </w:rPr>
        <w:t>-----</w:t>
      </w:r>
      <w:r>
        <w:rPr>
          <w:rFonts w:ascii="宋体" w:hAnsi="宋体"/>
          <w:b/>
          <w:bCs/>
          <w:sz w:val="28"/>
          <w:szCs w:val="28"/>
        </w:rPr>
        <w:t>--------</w:t>
      </w:r>
      <w:r>
        <w:rPr>
          <w:rFonts w:hint="eastAsia" w:ascii="宋体" w:hAnsi="宋体"/>
          <w:b/>
          <w:bCs/>
          <w:sz w:val="28"/>
          <w:szCs w:val="28"/>
        </w:rPr>
        <w:t>27</w:t>
      </w:r>
    </w:p>
    <w:p>
      <w:pPr>
        <w:spacing w:after="0" w:line="360" w:lineRule="auto"/>
        <w:ind w:firstLine="562"/>
        <w:rPr>
          <w:rFonts w:ascii="宋体" w:hAnsi="宋体"/>
          <w:b/>
          <w:bCs/>
          <w:sz w:val="28"/>
          <w:szCs w:val="28"/>
        </w:rPr>
      </w:pPr>
      <w:r>
        <w:rPr>
          <w:rFonts w:hint="eastAsia" w:ascii="宋体" w:hAnsi="宋体"/>
          <w:b/>
          <w:bCs/>
          <w:sz w:val="28"/>
          <w:szCs w:val="28"/>
        </w:rPr>
        <w:t>公司简介</w:t>
      </w:r>
      <w:r>
        <w:rPr>
          <w:rFonts w:ascii="宋体" w:hAnsi="宋体"/>
          <w:b/>
          <w:bCs/>
          <w:sz w:val="28"/>
          <w:szCs w:val="28"/>
        </w:rPr>
        <w:t xml:space="preserve"> ----------------------------</w:t>
      </w:r>
      <w:r>
        <w:rPr>
          <w:rFonts w:hint="eastAsia" w:ascii="宋体" w:hAnsi="宋体"/>
          <w:b/>
          <w:bCs/>
          <w:sz w:val="28"/>
          <w:szCs w:val="28"/>
        </w:rPr>
        <w:t>-----</w:t>
      </w:r>
      <w:r>
        <w:rPr>
          <w:rFonts w:ascii="宋体" w:hAnsi="宋体"/>
          <w:b/>
          <w:bCs/>
          <w:sz w:val="28"/>
          <w:szCs w:val="28"/>
        </w:rPr>
        <w:t>------------</w:t>
      </w:r>
      <w:r>
        <w:rPr>
          <w:rFonts w:hint="eastAsia" w:ascii="宋体" w:hAnsi="宋体"/>
          <w:b/>
          <w:bCs/>
          <w:sz w:val="28"/>
          <w:szCs w:val="28"/>
        </w:rPr>
        <w:t>30</w:t>
      </w:r>
    </w:p>
    <w:p>
      <w:pPr>
        <w:spacing w:after="0" w:line="360" w:lineRule="auto"/>
        <w:ind w:firstLine="562"/>
        <w:jc w:val="center"/>
        <w:rPr>
          <w:rFonts w:ascii="宋体" w:hAnsi="宋体"/>
          <w:b/>
          <w:sz w:val="28"/>
          <w:szCs w:val="28"/>
        </w:rPr>
        <w:sectPr>
          <w:footerReference r:id="rId9" w:type="default"/>
          <w:pgSz w:w="11906" w:h="16838"/>
          <w:pgMar w:top="1440" w:right="1531" w:bottom="1327" w:left="1531" w:header="851" w:footer="992" w:gutter="0"/>
          <w:cols w:space="720" w:num="1"/>
          <w:formProt w:val="1"/>
          <w:docGrid w:type="lines" w:linePitch="312" w:charSpace="0"/>
        </w:sectPr>
      </w:pPr>
    </w:p>
    <w:p>
      <w:pPr>
        <w:spacing w:after="0" w:line="360" w:lineRule="auto"/>
        <w:ind w:firstLine="0" w:firstLineChars="0"/>
        <w:jc w:val="center"/>
        <w:rPr>
          <w:rFonts w:ascii="宋体" w:hAnsi="宋体"/>
          <w:b/>
          <w:sz w:val="36"/>
          <w:szCs w:val="36"/>
        </w:rPr>
      </w:pPr>
      <w:r>
        <w:rPr>
          <w:rFonts w:hint="eastAsia" w:ascii="宋体" w:hAnsi="宋体"/>
          <w:b/>
          <w:sz w:val="36"/>
          <w:szCs w:val="36"/>
        </w:rPr>
        <w:t>股权转让公告</w:t>
      </w:r>
    </w:p>
    <w:p>
      <w:pPr>
        <w:spacing w:after="0" w:line="360" w:lineRule="auto"/>
        <w:ind w:firstLine="0" w:firstLineChars="0"/>
        <w:jc w:val="center"/>
        <w:rPr>
          <w:rFonts w:ascii="宋体" w:hAnsi="宋体"/>
          <w:b/>
          <w:sz w:val="28"/>
          <w:szCs w:val="28"/>
        </w:rPr>
      </w:pPr>
      <w:r>
        <w:rPr>
          <w:rFonts w:hint="eastAsia" w:ascii="宋体" w:hAnsi="宋体"/>
          <w:b/>
          <w:sz w:val="28"/>
          <w:szCs w:val="28"/>
        </w:rPr>
        <w:t>台交所挂[2019]12号</w:t>
      </w:r>
    </w:p>
    <w:p>
      <w:pPr>
        <w:spacing w:after="0" w:line="360" w:lineRule="auto"/>
        <w:ind w:firstLine="560"/>
        <w:jc w:val="left"/>
        <w:rPr>
          <w:rFonts w:ascii="宋体" w:hAnsi="宋体"/>
          <w:sz w:val="28"/>
          <w:szCs w:val="28"/>
        </w:rPr>
      </w:pPr>
      <w:r>
        <w:rPr>
          <w:rFonts w:hint="eastAsia" w:ascii="宋体" w:hAnsi="宋体"/>
          <w:sz w:val="28"/>
          <w:szCs w:val="28"/>
        </w:rPr>
        <w:t>受浙江海正药业股份有限公司委托，台州市产权交易所有限公司（以下简称产交所）对浙江海正药业股份有限公司所持有的浙江导明医药科技有限公司</w:t>
      </w:r>
      <w:r>
        <w:rPr>
          <w:rFonts w:ascii="宋体" w:hAnsi="宋体"/>
          <w:sz w:val="28"/>
          <w:szCs w:val="28"/>
        </w:rPr>
        <w:t>20.24</w:t>
      </w:r>
      <w:r>
        <w:rPr>
          <w:rFonts w:hint="eastAsia" w:ascii="宋体" w:hAnsi="宋体"/>
          <w:sz w:val="28"/>
          <w:szCs w:val="28"/>
        </w:rPr>
        <w:t>%国有股权进行公开转让，具体事宜公告如下：</w:t>
      </w:r>
    </w:p>
    <w:p>
      <w:pPr>
        <w:numPr>
          <w:ilvl w:val="0"/>
          <w:numId w:val="1"/>
        </w:numPr>
        <w:spacing w:after="0" w:line="360" w:lineRule="auto"/>
        <w:ind w:left="0" w:firstLine="560"/>
        <w:jc w:val="left"/>
        <w:rPr>
          <w:rFonts w:ascii="宋体" w:hAnsi="宋体"/>
          <w:sz w:val="28"/>
          <w:szCs w:val="28"/>
        </w:rPr>
      </w:pPr>
      <w:r>
        <w:rPr>
          <w:rFonts w:hint="eastAsia" w:ascii="宋体" w:hAnsi="宋体"/>
          <w:sz w:val="28"/>
          <w:szCs w:val="28"/>
        </w:rPr>
        <w:t>转让标的、起始价及保证金</w:t>
      </w:r>
    </w:p>
    <w:p>
      <w:pPr>
        <w:spacing w:after="0" w:line="360" w:lineRule="auto"/>
        <w:ind w:firstLine="560"/>
        <w:jc w:val="left"/>
        <w:rPr>
          <w:rFonts w:ascii="宋体" w:hAnsi="宋体"/>
          <w:sz w:val="28"/>
          <w:szCs w:val="28"/>
        </w:rPr>
      </w:pPr>
      <w:r>
        <w:rPr>
          <w:rFonts w:hint="eastAsia" w:ascii="宋体" w:hAnsi="宋体"/>
          <w:sz w:val="28"/>
          <w:szCs w:val="28"/>
        </w:rPr>
        <w:t>本次转让标的为浙江导明医药科技有限公司</w:t>
      </w:r>
      <w:r>
        <w:rPr>
          <w:rFonts w:ascii="宋体" w:hAnsi="宋体"/>
          <w:sz w:val="28"/>
          <w:szCs w:val="28"/>
        </w:rPr>
        <w:t>20.24</w:t>
      </w:r>
      <w:r>
        <w:rPr>
          <w:rFonts w:hint="eastAsia" w:ascii="宋体" w:hAnsi="宋体"/>
          <w:sz w:val="28"/>
          <w:szCs w:val="28"/>
        </w:rPr>
        <w:t>%国有股权，转让起始价13,</w:t>
      </w:r>
      <w:r>
        <w:rPr>
          <w:rFonts w:ascii="宋体" w:hAnsi="宋体"/>
          <w:sz w:val="28"/>
          <w:szCs w:val="28"/>
        </w:rPr>
        <w:t>8</w:t>
      </w:r>
      <w:r>
        <w:rPr>
          <w:rFonts w:hint="eastAsia" w:ascii="宋体" w:hAnsi="宋体"/>
          <w:sz w:val="28"/>
          <w:szCs w:val="28"/>
        </w:rPr>
        <w:t>36.</w:t>
      </w:r>
      <w:r>
        <w:rPr>
          <w:rFonts w:ascii="宋体" w:hAnsi="宋体"/>
          <w:sz w:val="28"/>
          <w:szCs w:val="28"/>
        </w:rPr>
        <w:t>9</w:t>
      </w:r>
      <w:r>
        <w:rPr>
          <w:rFonts w:hint="eastAsia" w:ascii="宋体" w:hAnsi="宋体"/>
          <w:sz w:val="28"/>
          <w:szCs w:val="28"/>
        </w:rPr>
        <w:t>1万元人民币或等值其他货币（不设保留价），竞买保证金1,500万元人民币或等值其他货币。</w:t>
      </w:r>
    </w:p>
    <w:p>
      <w:pPr>
        <w:numPr>
          <w:ilvl w:val="0"/>
          <w:numId w:val="1"/>
        </w:numPr>
        <w:spacing w:after="0" w:line="360" w:lineRule="auto"/>
        <w:ind w:left="0" w:firstLine="560"/>
        <w:jc w:val="left"/>
        <w:rPr>
          <w:rFonts w:ascii="宋体" w:hAnsi="宋体"/>
          <w:sz w:val="28"/>
          <w:szCs w:val="28"/>
        </w:rPr>
      </w:pPr>
      <w:r>
        <w:rPr>
          <w:rFonts w:hint="eastAsia" w:ascii="宋体" w:hAnsi="宋体"/>
          <w:sz w:val="28"/>
          <w:szCs w:val="28"/>
        </w:rPr>
        <w:t>转让方式</w:t>
      </w:r>
    </w:p>
    <w:p>
      <w:pPr>
        <w:spacing w:after="0" w:line="360" w:lineRule="auto"/>
        <w:ind w:firstLine="618" w:firstLineChars="221"/>
        <w:rPr>
          <w:rFonts w:ascii="宋体" w:hAnsi="宋体"/>
          <w:sz w:val="28"/>
          <w:szCs w:val="28"/>
        </w:rPr>
      </w:pPr>
      <w:r>
        <w:rPr>
          <w:rFonts w:hint="eastAsia" w:ascii="宋体" w:hAnsi="宋体"/>
          <w:sz w:val="28"/>
          <w:szCs w:val="28"/>
        </w:rPr>
        <w:t>报名截止日仅一家报名受让的，经确认后转让给该受让方；有两家或两家以上的，实施网络竞价程序，进行转让。</w:t>
      </w:r>
    </w:p>
    <w:p>
      <w:pPr>
        <w:numPr>
          <w:ilvl w:val="0"/>
          <w:numId w:val="1"/>
        </w:numPr>
        <w:spacing w:after="0" w:line="360" w:lineRule="auto"/>
        <w:ind w:left="0" w:firstLine="560"/>
        <w:jc w:val="left"/>
        <w:rPr>
          <w:rFonts w:ascii="宋体" w:hAnsi="宋体"/>
          <w:sz w:val="28"/>
          <w:szCs w:val="28"/>
        </w:rPr>
      </w:pPr>
      <w:r>
        <w:rPr>
          <w:rFonts w:hint="eastAsia" w:ascii="宋体" w:hAnsi="宋体"/>
          <w:sz w:val="28"/>
          <w:szCs w:val="28"/>
        </w:rPr>
        <w:t>付款方式</w:t>
      </w:r>
    </w:p>
    <w:p>
      <w:pPr>
        <w:numPr>
          <w:ilvl w:val="255"/>
          <w:numId w:val="0"/>
        </w:numPr>
        <w:tabs>
          <w:tab w:val="left" w:pos="6960"/>
        </w:tabs>
        <w:spacing w:after="0" w:line="360" w:lineRule="auto"/>
        <w:ind w:firstLine="560"/>
        <w:jc w:val="left"/>
        <w:rPr>
          <w:rFonts w:ascii="宋体" w:hAnsi="宋体"/>
          <w:bCs/>
          <w:sz w:val="28"/>
          <w:szCs w:val="28"/>
        </w:rPr>
      </w:pPr>
      <w:bookmarkStart w:id="0" w:name="斟酌01"/>
      <w:bookmarkStart w:id="1" w:name="_Hlk9514977"/>
      <w:r>
        <w:rPr>
          <w:rFonts w:hint="eastAsia" w:ascii="宋体" w:hAnsi="宋体"/>
          <w:sz w:val="28"/>
          <w:szCs w:val="28"/>
        </w:rPr>
        <w:t>股权转让成交后，买受人在签署本《成交确认书》当天签署《股权转让合同》。《股权转让合同》生效后五个工作日内支付不低于成交额30%的转让款，剩余款项在2019年11月29日前支付完成，且提供银行保函或符合转让方要求的合法有效担保，并按同期银行贷款利率支付首次付款日至分期付款日期间的利息。</w:t>
      </w:r>
    </w:p>
    <w:bookmarkEnd w:id="0"/>
    <w:bookmarkEnd w:id="1"/>
    <w:p>
      <w:pPr>
        <w:numPr>
          <w:ilvl w:val="0"/>
          <w:numId w:val="1"/>
        </w:numPr>
        <w:spacing w:after="0" w:line="360" w:lineRule="auto"/>
        <w:ind w:left="0" w:firstLine="560"/>
        <w:jc w:val="left"/>
        <w:rPr>
          <w:rFonts w:ascii="宋体" w:hAnsi="宋体"/>
          <w:sz w:val="28"/>
          <w:szCs w:val="28"/>
        </w:rPr>
      </w:pPr>
      <w:r>
        <w:rPr>
          <w:rFonts w:hint="eastAsia" w:ascii="宋体" w:hAnsi="宋体"/>
          <w:sz w:val="28"/>
          <w:szCs w:val="28"/>
        </w:rPr>
        <w:t>竞买人条件</w:t>
      </w:r>
    </w:p>
    <w:p>
      <w:pPr>
        <w:numPr>
          <w:ilvl w:val="255"/>
          <w:numId w:val="0"/>
        </w:numPr>
        <w:spacing w:after="0" w:line="360" w:lineRule="auto"/>
        <w:ind w:firstLine="560" w:firstLineChars="200"/>
        <w:rPr>
          <w:rFonts w:ascii="宋体" w:hAnsi="宋体"/>
          <w:sz w:val="28"/>
          <w:szCs w:val="28"/>
        </w:rPr>
      </w:pPr>
      <w:bookmarkStart w:id="2" w:name="_Hlk9510541"/>
      <w:bookmarkStart w:id="3" w:name="_Hlk497643561"/>
      <w:bookmarkStart w:id="4" w:name="_Hlk9530446"/>
      <w:r>
        <w:rPr>
          <w:rFonts w:hint="eastAsia" w:ascii="宋体" w:hAnsi="宋体"/>
          <w:sz w:val="28"/>
          <w:szCs w:val="28"/>
        </w:rPr>
        <w:t>具有良好的商业信用及支付能力的境内外企业或其他组织，本项目接受联合体报名。</w:t>
      </w:r>
    </w:p>
    <w:bookmarkEnd w:id="2"/>
    <w:bookmarkEnd w:id="3"/>
    <w:bookmarkEnd w:id="4"/>
    <w:p>
      <w:pPr>
        <w:numPr>
          <w:ilvl w:val="0"/>
          <w:numId w:val="1"/>
        </w:numPr>
        <w:spacing w:after="0" w:line="360" w:lineRule="auto"/>
        <w:ind w:left="0" w:firstLine="560"/>
        <w:jc w:val="left"/>
        <w:rPr>
          <w:rFonts w:ascii="宋体" w:hAnsi="宋体"/>
          <w:sz w:val="28"/>
          <w:szCs w:val="28"/>
        </w:rPr>
      </w:pPr>
      <w:r>
        <w:rPr>
          <w:rFonts w:hint="eastAsia" w:ascii="宋体" w:hAnsi="宋体"/>
          <w:sz w:val="28"/>
          <w:szCs w:val="28"/>
        </w:rPr>
        <w:t>报名须知</w:t>
      </w:r>
    </w:p>
    <w:p>
      <w:pPr>
        <w:widowControl/>
        <w:shd w:val="clear" w:color="auto" w:fill="FFFFFF"/>
        <w:spacing w:after="0" w:line="360" w:lineRule="auto"/>
        <w:ind w:firstLine="560"/>
        <w:jc w:val="left"/>
        <w:rPr>
          <w:rFonts w:ascii="宋体" w:hAnsi="宋体" w:cs="宋体"/>
          <w:b/>
          <w:bCs/>
          <w:kern w:val="0"/>
          <w:sz w:val="28"/>
          <w:szCs w:val="28"/>
        </w:rPr>
      </w:pPr>
      <w:r>
        <w:rPr>
          <w:rFonts w:hint="eastAsia" w:ascii="宋体" w:hAnsi="宋体"/>
          <w:bCs/>
          <w:sz w:val="28"/>
          <w:szCs w:val="28"/>
        </w:rPr>
        <w:t>凡报名的企业须持营业执照复印件（或商业登记证明）、法定代表人身份证、委托代理人身份证、法定代表人委托书、公司章程与相关决议。浙江导明医药科技有限公司股东须持股东证明和身份证报名，浙江导明医药科技有限公司股东享有优先购买权；报名时缴付保证金人民币</w:t>
      </w:r>
      <w:r>
        <w:rPr>
          <w:rFonts w:hint="eastAsia" w:ascii="宋体" w:hAnsi="宋体"/>
          <w:sz w:val="28"/>
          <w:szCs w:val="28"/>
        </w:rPr>
        <w:t>1,500万元</w:t>
      </w:r>
      <w:r>
        <w:rPr>
          <w:rFonts w:hint="eastAsia" w:ascii="宋体" w:hAnsi="宋体"/>
          <w:bCs/>
          <w:sz w:val="28"/>
          <w:szCs w:val="28"/>
        </w:rPr>
        <w:t>人民币或等值其他货币。</w:t>
      </w:r>
    </w:p>
    <w:p>
      <w:pPr>
        <w:numPr>
          <w:ilvl w:val="0"/>
          <w:numId w:val="1"/>
        </w:numPr>
        <w:wordWrap w:val="0"/>
        <w:spacing w:after="0" w:line="360" w:lineRule="auto"/>
        <w:ind w:left="0" w:firstLine="560"/>
        <w:rPr>
          <w:rFonts w:ascii="宋体" w:hAnsi="宋体"/>
          <w:sz w:val="28"/>
          <w:szCs w:val="28"/>
        </w:rPr>
      </w:pPr>
      <w:r>
        <w:rPr>
          <w:rFonts w:hint="eastAsia" w:ascii="宋体" w:hAnsi="宋体"/>
          <w:sz w:val="28"/>
          <w:szCs w:val="28"/>
        </w:rPr>
        <w:t>实行网络报名：台州市公共资源交易网（</w:t>
      </w:r>
      <w:r>
        <w:fldChar w:fldCharType="begin"/>
      </w:r>
      <w:r>
        <w:instrText xml:space="preserve"> HYPERLINK "http://www.tzztb.com/tzcms/" </w:instrText>
      </w:r>
      <w:r>
        <w:fldChar w:fldCharType="separate"/>
      </w:r>
      <w:r>
        <w:rPr>
          <w:rFonts w:hint="eastAsia" w:ascii="宋体" w:hAnsi="宋体"/>
          <w:sz w:val="28"/>
          <w:szCs w:val="28"/>
        </w:rPr>
        <w:t>http://www.tzztb.com/</w:t>
      </w:r>
      <w:bookmarkStart w:id="5" w:name="_Hlt435007981"/>
      <w:bookmarkStart w:id="6" w:name="_Hlt435007982"/>
      <w:r>
        <w:rPr>
          <w:rFonts w:hint="eastAsia" w:ascii="宋体" w:hAnsi="宋体"/>
          <w:sz w:val="28"/>
          <w:szCs w:val="28"/>
        </w:rPr>
        <w:t>t</w:t>
      </w:r>
      <w:bookmarkEnd w:id="5"/>
      <w:bookmarkEnd w:id="6"/>
      <w:r>
        <w:rPr>
          <w:rFonts w:hint="eastAsia" w:ascii="宋体" w:hAnsi="宋体"/>
          <w:sz w:val="28"/>
          <w:szCs w:val="28"/>
        </w:rPr>
        <w:t>zcms/</w:t>
      </w:r>
      <w:r>
        <w:rPr>
          <w:rFonts w:hint="eastAsia" w:ascii="宋体" w:hAnsi="宋体"/>
          <w:sz w:val="28"/>
          <w:szCs w:val="28"/>
        </w:rPr>
        <w:fldChar w:fldCharType="end"/>
      </w:r>
      <w:r>
        <w:rPr>
          <w:rFonts w:hint="eastAsia" w:ascii="宋体" w:hAnsi="宋体"/>
          <w:sz w:val="28"/>
          <w:szCs w:val="28"/>
        </w:rPr>
        <w:t>），现场资格确认。</w:t>
      </w:r>
    </w:p>
    <w:p>
      <w:pPr>
        <w:widowControl/>
        <w:shd w:val="clear" w:color="auto" w:fill="FFFFFF"/>
        <w:spacing w:after="0" w:line="360" w:lineRule="auto"/>
        <w:ind w:firstLine="562"/>
        <w:jc w:val="left"/>
        <w:rPr>
          <w:rFonts w:ascii="宋体" w:hAnsi="宋体" w:cs="宋体"/>
          <w:kern w:val="0"/>
          <w:sz w:val="28"/>
          <w:szCs w:val="28"/>
        </w:rPr>
      </w:pPr>
      <w:r>
        <w:rPr>
          <w:rFonts w:hint="eastAsia" w:ascii="宋体" w:hAnsi="宋体" w:cs="宋体"/>
          <w:b/>
          <w:kern w:val="0"/>
          <w:sz w:val="28"/>
          <w:szCs w:val="28"/>
        </w:rPr>
        <w:t>资格确认时间</w:t>
      </w:r>
      <w:r>
        <w:rPr>
          <w:rFonts w:hint="eastAsia" w:ascii="宋体" w:hAnsi="宋体" w:cs="宋体"/>
          <w:kern w:val="0"/>
          <w:sz w:val="28"/>
          <w:szCs w:val="28"/>
        </w:rPr>
        <w:t>：2019年5月31日至2019年6月28日下午4：00前（上午8：30－11：30，下午14：00－16：00时，节假日除外）。</w:t>
      </w:r>
    </w:p>
    <w:p>
      <w:pPr>
        <w:widowControl/>
        <w:shd w:val="clear" w:color="auto" w:fill="FFFFFF"/>
        <w:spacing w:after="0" w:line="360" w:lineRule="auto"/>
        <w:ind w:firstLine="562"/>
        <w:jc w:val="left"/>
        <w:rPr>
          <w:rFonts w:ascii="宋体" w:hAnsi="宋体" w:cs="宋体"/>
          <w:kern w:val="0"/>
          <w:sz w:val="28"/>
          <w:szCs w:val="28"/>
        </w:rPr>
      </w:pPr>
      <w:r>
        <w:rPr>
          <w:rFonts w:hint="eastAsia" w:ascii="宋体" w:hAnsi="宋体" w:cs="宋体"/>
          <w:b/>
          <w:kern w:val="0"/>
          <w:sz w:val="28"/>
          <w:szCs w:val="28"/>
        </w:rPr>
        <w:t>资格确认地址</w:t>
      </w:r>
      <w:r>
        <w:rPr>
          <w:rFonts w:hint="eastAsia" w:ascii="宋体" w:hAnsi="宋体" w:cs="宋体"/>
          <w:kern w:val="0"/>
          <w:sz w:val="28"/>
          <w:szCs w:val="28"/>
        </w:rPr>
        <w:t>：台州市产权交易所（台州市市府大道777号浙江民泰商业银行五楼511室）。</w:t>
      </w:r>
    </w:p>
    <w:p>
      <w:pPr>
        <w:numPr>
          <w:ilvl w:val="0"/>
          <w:numId w:val="1"/>
        </w:numPr>
        <w:wordWrap w:val="0"/>
        <w:spacing w:after="0" w:line="360" w:lineRule="auto"/>
        <w:ind w:left="0" w:firstLine="562"/>
        <w:rPr>
          <w:rFonts w:ascii="宋体" w:hAnsi="宋体" w:cs="宋体"/>
          <w:bCs/>
          <w:kern w:val="0"/>
          <w:sz w:val="28"/>
          <w:szCs w:val="28"/>
        </w:rPr>
      </w:pPr>
      <w:bookmarkStart w:id="7" w:name="_Hlk10111476"/>
      <w:r>
        <w:rPr>
          <w:rFonts w:hint="eastAsia" w:ascii="宋体" w:hAnsi="宋体" w:cs="宋体"/>
          <w:b/>
          <w:kern w:val="0"/>
          <w:sz w:val="28"/>
          <w:szCs w:val="28"/>
        </w:rPr>
        <w:t>网络竞价时间：</w:t>
      </w:r>
      <w:r>
        <w:rPr>
          <w:rFonts w:hint="eastAsia" w:ascii="宋体" w:hAnsi="宋体" w:cs="宋体"/>
          <w:bCs/>
          <w:kern w:val="0"/>
          <w:sz w:val="28"/>
          <w:szCs w:val="28"/>
        </w:rPr>
        <w:t>2019年7月1日（星期一）上午</w:t>
      </w:r>
      <w:r>
        <w:rPr>
          <w:rFonts w:ascii="宋体" w:hAnsi="宋体" w:cs="宋体"/>
          <w:bCs/>
          <w:kern w:val="0"/>
          <w:sz w:val="28"/>
          <w:szCs w:val="28"/>
        </w:rPr>
        <w:t>9：30</w:t>
      </w:r>
      <w:r>
        <w:rPr>
          <w:rFonts w:hint="eastAsia" w:ascii="宋体" w:hAnsi="宋体" w:cs="宋体"/>
          <w:bCs/>
          <w:kern w:val="0"/>
          <w:sz w:val="28"/>
          <w:szCs w:val="28"/>
        </w:rPr>
        <w:t>。若第一轮挂牌期间无人摘牌，则挂牌期限顺延，每5个工作日为一个延期周期；当出现意向受让方报名时，该延期周期结束；结束后次一个工作日进行网络竞价（下面关于竞价时间表述均为相同意思表达）。</w:t>
      </w:r>
      <w:bookmarkEnd w:id="7"/>
    </w:p>
    <w:p>
      <w:pPr>
        <w:numPr>
          <w:ilvl w:val="0"/>
          <w:numId w:val="1"/>
        </w:numPr>
        <w:wordWrap w:val="0"/>
        <w:spacing w:after="0" w:line="360" w:lineRule="auto"/>
        <w:ind w:left="0" w:firstLine="560"/>
        <w:rPr>
          <w:rFonts w:ascii="宋体" w:hAnsi="宋体"/>
          <w:sz w:val="28"/>
          <w:szCs w:val="28"/>
        </w:rPr>
      </w:pPr>
      <w:r>
        <w:rPr>
          <w:rFonts w:hint="eastAsia" w:ascii="宋体" w:hAnsi="宋体"/>
          <w:sz w:val="28"/>
          <w:szCs w:val="28"/>
        </w:rPr>
        <w:t>联系人：小潘    电话（传真）：0576-88685180</w:t>
      </w:r>
    </w:p>
    <w:p>
      <w:pPr>
        <w:spacing w:after="0" w:line="360" w:lineRule="auto"/>
        <w:ind w:firstLine="560"/>
        <w:rPr>
          <w:rFonts w:ascii="宋体" w:hAnsi="宋体" w:cs="宋体"/>
          <w:kern w:val="0"/>
          <w:sz w:val="24"/>
        </w:rPr>
      </w:pPr>
      <w:r>
        <w:rPr>
          <w:rFonts w:hint="eastAsia" w:ascii="宋体" w:hAnsi="宋体"/>
          <w:sz w:val="28"/>
          <w:szCs w:val="28"/>
        </w:rPr>
        <w:t>监督电话：0576-89060328</w:t>
      </w:r>
    </w:p>
    <w:p>
      <w:pPr>
        <w:numPr>
          <w:ilvl w:val="0"/>
          <w:numId w:val="1"/>
        </w:numPr>
        <w:wordWrap w:val="0"/>
        <w:spacing w:after="0" w:line="360" w:lineRule="auto"/>
        <w:ind w:left="0" w:firstLine="560"/>
        <w:rPr>
          <w:rFonts w:ascii="宋体" w:hAnsi="宋体"/>
          <w:sz w:val="28"/>
          <w:szCs w:val="28"/>
        </w:rPr>
      </w:pPr>
      <w:r>
        <w:rPr>
          <w:rFonts w:hint="eastAsia" w:ascii="宋体" w:hAnsi="宋体"/>
          <w:sz w:val="28"/>
          <w:szCs w:val="28"/>
        </w:rPr>
        <w:t>具体情况详见转让须知。</w:t>
      </w:r>
    </w:p>
    <w:p>
      <w:pPr>
        <w:spacing w:after="0" w:line="360" w:lineRule="auto"/>
        <w:ind w:firstLine="560" w:firstLineChars="0"/>
        <w:jc w:val="left"/>
        <w:rPr>
          <w:rFonts w:ascii="宋体" w:hAnsi="宋体"/>
          <w:sz w:val="28"/>
          <w:szCs w:val="28"/>
          <w:u w:val="single"/>
        </w:rPr>
      </w:pPr>
      <w:r>
        <w:rPr>
          <w:rFonts w:hint="eastAsia" w:ascii="宋体" w:hAnsi="宋体"/>
          <w:sz w:val="28"/>
          <w:szCs w:val="28"/>
        </w:rPr>
        <w:t xml:space="preserve">详情登陆 www.tzpre.com   </w:t>
      </w:r>
      <w:r>
        <w:fldChar w:fldCharType="begin"/>
      </w:r>
      <w:r>
        <w:instrText xml:space="preserve"> HYPERLINK "http://www.tzztb.com" </w:instrText>
      </w:r>
      <w:r>
        <w:fldChar w:fldCharType="separate"/>
      </w:r>
      <w:r>
        <w:rPr>
          <w:rStyle w:val="17"/>
          <w:rFonts w:hint="eastAsia" w:ascii="宋体" w:hAnsi="宋体"/>
          <w:color w:val="auto"/>
          <w:sz w:val="28"/>
          <w:szCs w:val="28"/>
        </w:rPr>
        <w:t>www.tzztb.com</w:t>
      </w:r>
      <w:r>
        <w:rPr>
          <w:rStyle w:val="17"/>
          <w:rFonts w:hint="eastAsia" w:ascii="宋体" w:hAnsi="宋体"/>
          <w:color w:val="auto"/>
          <w:sz w:val="28"/>
          <w:szCs w:val="28"/>
        </w:rPr>
        <w:fldChar w:fldCharType="end"/>
      </w:r>
      <w:r>
        <w:rPr>
          <w:rFonts w:hint="eastAsia" w:ascii="宋体" w:hAnsi="宋体"/>
          <w:sz w:val="28"/>
          <w:szCs w:val="28"/>
          <w:u w:val="single"/>
        </w:rPr>
        <w:t>/tzcms</w:t>
      </w:r>
    </w:p>
    <w:p>
      <w:pPr>
        <w:spacing w:after="0" w:line="360" w:lineRule="auto"/>
        <w:ind w:firstLine="560" w:firstLineChars="0"/>
        <w:jc w:val="left"/>
        <w:rPr>
          <w:rFonts w:ascii="宋体" w:hAnsi="宋体"/>
          <w:sz w:val="28"/>
          <w:szCs w:val="28"/>
          <w:u w:val="single"/>
        </w:rPr>
      </w:pPr>
    </w:p>
    <w:p>
      <w:pPr>
        <w:spacing w:after="0" w:line="360" w:lineRule="auto"/>
        <w:ind w:firstLine="560" w:firstLineChars="0"/>
        <w:jc w:val="left"/>
        <w:rPr>
          <w:rFonts w:ascii="宋体" w:hAnsi="宋体"/>
          <w:sz w:val="28"/>
          <w:szCs w:val="28"/>
          <w:u w:val="single"/>
        </w:rPr>
      </w:pPr>
    </w:p>
    <w:p>
      <w:pPr>
        <w:spacing w:after="0" w:line="360" w:lineRule="auto"/>
        <w:ind w:firstLineChars="0"/>
        <w:rPr>
          <w:rFonts w:ascii="宋体" w:hAnsi="宋体"/>
          <w:sz w:val="28"/>
          <w:szCs w:val="28"/>
        </w:rPr>
      </w:pPr>
      <w:r>
        <w:rPr>
          <w:rFonts w:hint="eastAsia" w:ascii="宋体" w:hAnsi="宋体"/>
          <w:sz w:val="28"/>
          <w:szCs w:val="28"/>
        </w:rPr>
        <w:t xml:space="preserve">                            台州市产权交易所有限公司</w:t>
      </w:r>
    </w:p>
    <w:p>
      <w:pPr>
        <w:spacing w:after="0" w:line="360" w:lineRule="auto"/>
        <w:ind w:firstLineChars="0"/>
        <w:rPr>
          <w:rFonts w:ascii="宋体" w:hAnsi="宋体"/>
          <w:sz w:val="28"/>
          <w:szCs w:val="28"/>
        </w:rPr>
      </w:pPr>
      <w:r>
        <w:rPr>
          <w:rFonts w:hint="eastAsia" w:ascii="宋体" w:hAnsi="宋体"/>
          <w:sz w:val="28"/>
          <w:szCs w:val="28"/>
        </w:rPr>
        <w:t xml:space="preserve">                             二Ｏ一九年五月三十一日</w:t>
      </w:r>
    </w:p>
    <w:p>
      <w:pPr>
        <w:spacing w:after="0" w:line="360" w:lineRule="auto"/>
        <w:ind w:firstLine="0" w:firstLineChars="0"/>
        <w:jc w:val="center"/>
        <w:rPr>
          <w:rFonts w:ascii="宋体" w:hAnsi="宋体"/>
          <w:b/>
          <w:sz w:val="32"/>
          <w:szCs w:val="32"/>
        </w:rPr>
      </w:pPr>
      <w:r>
        <w:rPr>
          <w:rFonts w:hint="eastAsia" w:ascii="宋体" w:hAnsi="宋体"/>
          <w:sz w:val="28"/>
          <w:szCs w:val="28"/>
        </w:rPr>
        <w:br w:type="page"/>
      </w:r>
      <w:r>
        <w:rPr>
          <w:rFonts w:hint="eastAsia" w:ascii="宋体" w:hAnsi="宋体"/>
          <w:b/>
          <w:sz w:val="32"/>
          <w:szCs w:val="32"/>
          <w:lang w:val="ms-MY"/>
        </w:rPr>
        <w:t>浙江导明医药科技有限公司20.24%国有股权</w:t>
      </w:r>
    </w:p>
    <w:p>
      <w:pPr>
        <w:spacing w:after="0" w:line="360" w:lineRule="auto"/>
        <w:ind w:firstLine="0" w:firstLineChars="0"/>
        <w:jc w:val="center"/>
        <w:rPr>
          <w:rFonts w:ascii="宋体" w:hAnsi="宋体"/>
          <w:b/>
          <w:sz w:val="32"/>
          <w:szCs w:val="32"/>
        </w:rPr>
      </w:pPr>
      <w:r>
        <w:rPr>
          <w:rFonts w:hint="eastAsia" w:ascii="宋体" w:hAnsi="宋体"/>
          <w:b/>
          <w:sz w:val="32"/>
          <w:szCs w:val="32"/>
        </w:rPr>
        <w:t>转让须知</w:t>
      </w:r>
    </w:p>
    <w:p>
      <w:pPr>
        <w:spacing w:after="0" w:line="360" w:lineRule="auto"/>
        <w:ind w:firstLine="560"/>
        <w:rPr>
          <w:rFonts w:ascii="宋体" w:hAnsi="宋体"/>
          <w:sz w:val="28"/>
          <w:szCs w:val="28"/>
        </w:rPr>
      </w:pPr>
      <w:r>
        <w:rPr>
          <w:rFonts w:hint="eastAsia" w:ascii="宋体" w:hAnsi="宋体"/>
          <w:sz w:val="28"/>
          <w:szCs w:val="28"/>
        </w:rPr>
        <w:t>受</w:t>
      </w:r>
      <w:r>
        <w:rPr>
          <w:rFonts w:hint="eastAsia" w:ascii="宋体" w:hAnsi="宋体"/>
          <w:bCs/>
          <w:sz w:val="28"/>
          <w:szCs w:val="28"/>
        </w:rPr>
        <w:t>浙江海正药业股份有限公司</w:t>
      </w:r>
      <w:r>
        <w:rPr>
          <w:rFonts w:hint="eastAsia" w:ascii="宋体" w:hAnsi="宋体"/>
          <w:sz w:val="28"/>
          <w:szCs w:val="28"/>
        </w:rPr>
        <w:t>委托，公开转让其所持有的浙江导明医药科技有限公司20.24%国有股权。现将有关事项告知意向受让人，请认真阅读与遵守。</w:t>
      </w:r>
    </w:p>
    <w:p>
      <w:pPr>
        <w:spacing w:after="0" w:line="360" w:lineRule="auto"/>
        <w:ind w:firstLine="560"/>
        <w:jc w:val="left"/>
        <w:rPr>
          <w:rFonts w:ascii="宋体" w:hAnsi="宋体"/>
          <w:sz w:val="28"/>
          <w:szCs w:val="28"/>
        </w:rPr>
      </w:pPr>
      <w:r>
        <w:rPr>
          <w:rFonts w:hint="eastAsia" w:ascii="宋体" w:hAnsi="宋体"/>
          <w:sz w:val="28"/>
          <w:szCs w:val="28"/>
        </w:rPr>
        <w:t>一、转让标的底价及保证金</w:t>
      </w:r>
    </w:p>
    <w:p>
      <w:pPr>
        <w:spacing w:after="0" w:line="360" w:lineRule="auto"/>
        <w:ind w:firstLine="560"/>
        <w:rPr>
          <w:rFonts w:ascii="宋体" w:hAnsi="宋体"/>
          <w:sz w:val="28"/>
          <w:szCs w:val="28"/>
        </w:rPr>
      </w:pPr>
      <w:r>
        <w:rPr>
          <w:rFonts w:hint="eastAsia" w:ascii="宋体" w:hAnsi="宋体"/>
          <w:sz w:val="28"/>
          <w:szCs w:val="28"/>
        </w:rPr>
        <w:t>本次转让标的为浙江导明医药科技有限公司20.24%国有股权。转让底价13</w:t>
      </w:r>
      <w:r>
        <w:rPr>
          <w:rFonts w:ascii="宋体" w:hAnsi="宋体"/>
          <w:sz w:val="28"/>
          <w:szCs w:val="28"/>
        </w:rPr>
        <w:t>,836.91</w:t>
      </w:r>
      <w:r>
        <w:rPr>
          <w:rFonts w:hint="eastAsia" w:ascii="宋体" w:hAnsi="宋体"/>
          <w:sz w:val="28"/>
          <w:szCs w:val="28"/>
        </w:rPr>
        <w:t>万元人民币或等值其他货币（不设保留价），竞买保证金1,500万元人民币或等值其他货币。</w:t>
      </w:r>
    </w:p>
    <w:p>
      <w:pPr>
        <w:spacing w:after="0" w:line="360" w:lineRule="auto"/>
        <w:ind w:firstLine="560"/>
        <w:rPr>
          <w:rFonts w:ascii="宋体" w:hAnsi="宋体"/>
          <w:sz w:val="28"/>
          <w:szCs w:val="28"/>
        </w:rPr>
      </w:pPr>
      <w:r>
        <w:rPr>
          <w:rFonts w:hint="eastAsia" w:ascii="宋体" w:hAnsi="宋体"/>
          <w:sz w:val="28"/>
          <w:szCs w:val="28"/>
        </w:rPr>
        <w:t>二、本次股权转让行为已经必要的内部决策和批准程序，资产评估项目已经</w:t>
      </w:r>
      <w:bookmarkStart w:id="8" w:name="斟酌02"/>
      <w:r>
        <w:rPr>
          <w:rFonts w:hint="eastAsia" w:ascii="宋体" w:hAnsi="宋体"/>
          <w:sz w:val="28"/>
          <w:szCs w:val="28"/>
        </w:rPr>
        <w:t>台州市椒江区</w:t>
      </w:r>
      <w:bookmarkEnd w:id="8"/>
      <w:r>
        <w:rPr>
          <w:rFonts w:hint="eastAsia" w:ascii="宋体" w:hAnsi="宋体"/>
          <w:sz w:val="28"/>
          <w:szCs w:val="28"/>
        </w:rPr>
        <w:t>国有资产管理局备案。</w:t>
      </w:r>
    </w:p>
    <w:p>
      <w:pPr>
        <w:spacing w:after="0" w:line="360" w:lineRule="auto"/>
        <w:ind w:firstLine="560"/>
        <w:rPr>
          <w:rFonts w:ascii="宋体" w:hAnsi="宋体"/>
          <w:sz w:val="28"/>
          <w:szCs w:val="28"/>
        </w:rPr>
      </w:pPr>
      <w:r>
        <w:rPr>
          <w:rFonts w:hint="eastAsia" w:ascii="宋体" w:hAnsi="宋体"/>
          <w:sz w:val="28"/>
          <w:szCs w:val="28"/>
        </w:rPr>
        <w:t>三、企业基本情况</w:t>
      </w:r>
    </w:p>
    <w:p>
      <w:pPr>
        <w:spacing w:after="0" w:line="360" w:lineRule="auto"/>
        <w:ind w:firstLine="560"/>
        <w:rPr>
          <w:rFonts w:ascii="宋体" w:hAnsi="宋体"/>
          <w:sz w:val="28"/>
          <w:szCs w:val="28"/>
        </w:rPr>
      </w:pPr>
      <w:r>
        <w:rPr>
          <w:rFonts w:hint="eastAsia" w:ascii="宋体" w:hAnsi="宋体"/>
          <w:sz w:val="28"/>
          <w:szCs w:val="28"/>
        </w:rPr>
        <w:t>1、公司注册情况</w:t>
      </w:r>
    </w:p>
    <w:p>
      <w:pPr>
        <w:spacing w:after="0" w:line="360" w:lineRule="auto"/>
        <w:ind w:firstLine="560"/>
        <w:rPr>
          <w:rFonts w:ascii="宋体" w:hAnsi="宋体" w:cs="宋体"/>
          <w:sz w:val="28"/>
          <w:szCs w:val="28"/>
        </w:rPr>
      </w:pPr>
      <w:r>
        <w:rPr>
          <w:rFonts w:hint="eastAsia" w:ascii="宋体" w:hAnsi="宋体" w:cs="宋体"/>
          <w:sz w:val="28"/>
          <w:szCs w:val="28"/>
        </w:rPr>
        <w:t>浙江导明医药科技有限公司（以下简称“导明医药”）成立于2011年11月11日，统一社会信用代码为913301005832326709，法定代表人陈晓华，注册资本18333.3333万元，注册地址：浙江省杭州市富阳区富闲路9号银湖创新中心6号十二层1255室。经营范围：医药研发及技术成果转让、技术咨询、技术服务。</w:t>
      </w:r>
    </w:p>
    <w:p>
      <w:pPr>
        <w:spacing w:after="0" w:line="360" w:lineRule="auto"/>
        <w:ind w:firstLine="560"/>
        <w:rPr>
          <w:rFonts w:ascii="宋体" w:hAnsi="宋体"/>
          <w:sz w:val="28"/>
          <w:szCs w:val="28"/>
        </w:rPr>
      </w:pPr>
      <w:r>
        <w:rPr>
          <w:rFonts w:hint="eastAsia" w:ascii="宋体" w:hAnsi="宋体"/>
          <w:sz w:val="28"/>
          <w:szCs w:val="28"/>
        </w:rPr>
        <w:t>股东及持股情况如下：</w:t>
      </w:r>
    </w:p>
    <w:tbl>
      <w:tblPr>
        <w:tblStyle w:val="13"/>
        <w:tblW w:w="90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6"/>
        <w:gridCol w:w="1671"/>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5296" w:type="dxa"/>
            <w:tcMar>
              <w:top w:w="0" w:type="dxa"/>
              <w:left w:w="0" w:type="dxa"/>
              <w:bottom w:w="0" w:type="dxa"/>
              <w:right w:w="0" w:type="dxa"/>
            </w:tcMar>
            <w:vAlign w:val="center"/>
          </w:tcPr>
          <w:p>
            <w:pPr>
              <w:widowControl/>
              <w:autoSpaceDE w:val="0"/>
              <w:autoSpaceDN w:val="0"/>
              <w:adjustRightInd w:val="0"/>
              <w:spacing w:after="0" w:line="360" w:lineRule="auto"/>
              <w:ind w:firstLine="0" w:firstLineChars="0"/>
              <w:jc w:val="center"/>
              <w:rPr>
                <w:rFonts w:asciiTheme="minorEastAsia" w:hAnsiTheme="minorEastAsia"/>
                <w:b/>
                <w:snapToGrid w:val="0"/>
                <w:kern w:val="0"/>
                <w:sz w:val="22"/>
                <w:szCs w:val="28"/>
              </w:rPr>
            </w:pPr>
            <w:r>
              <w:rPr>
                <w:rFonts w:asciiTheme="minorEastAsia" w:hAnsiTheme="minorEastAsia"/>
                <w:b/>
                <w:snapToGrid w:val="0"/>
                <w:kern w:val="0"/>
                <w:sz w:val="22"/>
                <w:szCs w:val="28"/>
              </w:rPr>
              <w:t>股东名称</w:t>
            </w:r>
          </w:p>
        </w:tc>
        <w:tc>
          <w:tcPr>
            <w:tcW w:w="1671" w:type="dxa"/>
            <w:tcMar>
              <w:top w:w="0" w:type="dxa"/>
              <w:left w:w="0" w:type="dxa"/>
              <w:bottom w:w="0" w:type="dxa"/>
              <w:right w:w="0" w:type="dxa"/>
            </w:tcMar>
            <w:vAlign w:val="center"/>
          </w:tcPr>
          <w:p>
            <w:pPr>
              <w:widowControl/>
              <w:autoSpaceDE w:val="0"/>
              <w:autoSpaceDN w:val="0"/>
              <w:adjustRightInd w:val="0"/>
              <w:spacing w:after="0" w:line="360" w:lineRule="auto"/>
              <w:ind w:firstLine="0" w:firstLineChars="0"/>
              <w:jc w:val="center"/>
              <w:rPr>
                <w:rFonts w:asciiTheme="minorEastAsia" w:hAnsiTheme="minorEastAsia"/>
                <w:b/>
                <w:snapToGrid w:val="0"/>
                <w:kern w:val="0"/>
                <w:sz w:val="22"/>
                <w:szCs w:val="28"/>
              </w:rPr>
            </w:pPr>
            <w:r>
              <w:rPr>
                <w:rFonts w:asciiTheme="minorEastAsia" w:hAnsiTheme="minorEastAsia"/>
                <w:b/>
                <w:snapToGrid w:val="0"/>
                <w:kern w:val="0"/>
                <w:sz w:val="22"/>
                <w:szCs w:val="28"/>
              </w:rPr>
              <w:t>持股比例(%)</w:t>
            </w:r>
          </w:p>
        </w:tc>
        <w:tc>
          <w:tcPr>
            <w:tcW w:w="2048" w:type="dxa"/>
            <w:tcMar>
              <w:top w:w="0" w:type="dxa"/>
              <w:left w:w="0" w:type="dxa"/>
              <w:bottom w:w="0" w:type="dxa"/>
              <w:right w:w="0" w:type="dxa"/>
            </w:tcMar>
            <w:vAlign w:val="center"/>
          </w:tcPr>
          <w:p>
            <w:pPr>
              <w:widowControl/>
              <w:autoSpaceDE w:val="0"/>
              <w:autoSpaceDN w:val="0"/>
              <w:adjustRightInd w:val="0"/>
              <w:spacing w:after="0" w:line="360" w:lineRule="auto"/>
              <w:ind w:firstLine="0" w:firstLineChars="0"/>
              <w:jc w:val="center"/>
              <w:rPr>
                <w:rFonts w:asciiTheme="minorEastAsia" w:hAnsiTheme="minorEastAsia"/>
                <w:b/>
                <w:snapToGrid w:val="0"/>
                <w:kern w:val="0"/>
                <w:sz w:val="22"/>
                <w:szCs w:val="28"/>
              </w:rPr>
            </w:pPr>
            <w:r>
              <w:rPr>
                <w:rFonts w:asciiTheme="minorEastAsia" w:hAnsiTheme="minorEastAsia"/>
                <w:b/>
                <w:bCs/>
                <w:kern w:val="0"/>
                <w:sz w:val="22"/>
                <w:szCs w:val="28"/>
              </w:rPr>
              <w:t>注册资本金额（</w:t>
            </w:r>
            <w:r>
              <w:rPr>
                <w:rFonts w:hint="eastAsia" w:asciiTheme="minorEastAsia" w:hAnsiTheme="minorEastAsia"/>
                <w:b/>
                <w:bCs/>
                <w:kern w:val="0"/>
                <w:sz w:val="22"/>
                <w:szCs w:val="28"/>
              </w:rPr>
              <w:t>人民币</w:t>
            </w:r>
            <w:r>
              <w:rPr>
                <w:rFonts w:asciiTheme="minorEastAsia" w:hAnsiTheme="minorEastAsia"/>
                <w:b/>
                <w:bCs/>
                <w:kern w:val="0"/>
                <w:sz w:val="22"/>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296" w:type="dxa"/>
            <w:tcMar>
              <w:top w:w="0" w:type="dxa"/>
              <w:left w:w="0" w:type="dxa"/>
              <w:bottom w:w="0" w:type="dxa"/>
              <w:right w:w="0" w:type="dxa"/>
            </w:tcMar>
            <w:vAlign w:val="center"/>
          </w:tcPr>
          <w:p>
            <w:pPr>
              <w:widowControl/>
              <w:autoSpaceDE w:val="0"/>
              <w:autoSpaceDN w:val="0"/>
              <w:adjustRightInd w:val="0"/>
              <w:spacing w:after="0" w:line="360" w:lineRule="auto"/>
              <w:ind w:firstLine="0" w:firstLineChars="0"/>
              <w:rPr>
                <w:rFonts w:asciiTheme="minorEastAsia" w:hAnsiTheme="minorEastAsia"/>
                <w:snapToGrid w:val="0"/>
                <w:kern w:val="0"/>
                <w:sz w:val="22"/>
                <w:szCs w:val="28"/>
              </w:rPr>
            </w:pPr>
            <w:r>
              <w:rPr>
                <w:rFonts w:asciiTheme="minorEastAsia" w:hAnsiTheme="minorEastAsia"/>
                <w:snapToGrid w:val="0"/>
                <w:kern w:val="0"/>
                <w:sz w:val="22"/>
                <w:szCs w:val="28"/>
              </w:rPr>
              <w:t>浙江海正药业股份有限公司</w:t>
            </w:r>
          </w:p>
        </w:tc>
        <w:tc>
          <w:tcPr>
            <w:tcW w:w="1671" w:type="dxa"/>
            <w:tcMar>
              <w:top w:w="0" w:type="dxa"/>
              <w:left w:w="0" w:type="dxa"/>
              <w:bottom w:w="0" w:type="dxa"/>
              <w:right w:w="0" w:type="dxa"/>
            </w:tcMar>
            <w:vAlign w:val="center"/>
          </w:tcPr>
          <w:p>
            <w:pPr>
              <w:widowControl/>
              <w:autoSpaceDE w:val="0"/>
              <w:autoSpaceDN w:val="0"/>
              <w:adjustRightInd w:val="0"/>
              <w:spacing w:after="0" w:line="360" w:lineRule="auto"/>
              <w:ind w:firstLine="0" w:firstLineChars="0"/>
              <w:jc w:val="right"/>
              <w:rPr>
                <w:rFonts w:asciiTheme="minorEastAsia" w:hAnsiTheme="minorEastAsia"/>
                <w:snapToGrid w:val="0"/>
                <w:kern w:val="0"/>
                <w:sz w:val="22"/>
                <w:szCs w:val="28"/>
              </w:rPr>
            </w:pPr>
            <w:r>
              <w:rPr>
                <w:rFonts w:asciiTheme="minorEastAsia" w:hAnsiTheme="minorEastAsia"/>
                <w:snapToGrid w:val="0"/>
                <w:kern w:val="0"/>
                <w:sz w:val="22"/>
                <w:szCs w:val="28"/>
              </w:rPr>
              <w:t>40.04</w:t>
            </w:r>
          </w:p>
        </w:tc>
        <w:tc>
          <w:tcPr>
            <w:tcW w:w="2048" w:type="dxa"/>
            <w:tcMar>
              <w:top w:w="0" w:type="dxa"/>
              <w:left w:w="0" w:type="dxa"/>
              <w:bottom w:w="0" w:type="dxa"/>
              <w:right w:w="0" w:type="dxa"/>
            </w:tcMar>
            <w:vAlign w:val="center"/>
          </w:tcPr>
          <w:p>
            <w:pPr>
              <w:widowControl/>
              <w:autoSpaceDE w:val="0"/>
              <w:autoSpaceDN w:val="0"/>
              <w:adjustRightInd w:val="0"/>
              <w:spacing w:after="0" w:line="360" w:lineRule="auto"/>
              <w:ind w:firstLine="0" w:firstLineChars="0"/>
              <w:jc w:val="right"/>
              <w:rPr>
                <w:rFonts w:asciiTheme="minorEastAsia" w:hAnsiTheme="minorEastAsia"/>
                <w:snapToGrid w:val="0"/>
                <w:kern w:val="0"/>
                <w:sz w:val="22"/>
                <w:szCs w:val="28"/>
              </w:rPr>
            </w:pPr>
            <w:r>
              <w:rPr>
                <w:rFonts w:asciiTheme="minorEastAsia" w:hAnsiTheme="minorEastAsia"/>
                <w:snapToGrid w:val="0"/>
                <w:kern w:val="0"/>
                <w:sz w:val="22"/>
                <w:szCs w:val="28"/>
              </w:rPr>
              <w:t>7340</w:t>
            </w:r>
            <w:r>
              <w:rPr>
                <w:rFonts w:hint="eastAsia" w:asciiTheme="minorEastAsia" w:hAnsiTheme="minorEastAsia"/>
                <w:snapToGrid w:val="0"/>
                <w:kern w:val="0"/>
                <w:sz w:val="22"/>
                <w:szCs w:val="28"/>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296" w:type="dxa"/>
            <w:tcMar>
              <w:top w:w="0" w:type="dxa"/>
              <w:left w:w="0" w:type="dxa"/>
              <w:bottom w:w="0" w:type="dxa"/>
              <w:right w:w="0" w:type="dxa"/>
            </w:tcMar>
            <w:vAlign w:val="center"/>
          </w:tcPr>
          <w:p>
            <w:pPr>
              <w:widowControl/>
              <w:autoSpaceDE w:val="0"/>
              <w:autoSpaceDN w:val="0"/>
              <w:adjustRightInd w:val="0"/>
              <w:spacing w:after="0" w:line="360" w:lineRule="auto"/>
              <w:ind w:firstLine="0" w:firstLineChars="0"/>
              <w:rPr>
                <w:rFonts w:asciiTheme="minorEastAsia" w:hAnsiTheme="minorEastAsia"/>
                <w:snapToGrid w:val="0"/>
                <w:kern w:val="0"/>
                <w:sz w:val="22"/>
                <w:szCs w:val="28"/>
              </w:rPr>
            </w:pPr>
            <w:r>
              <w:rPr>
                <w:rFonts w:asciiTheme="minorEastAsia" w:hAnsiTheme="minorEastAsia"/>
                <w:snapToGrid w:val="0"/>
                <w:kern w:val="0"/>
                <w:sz w:val="22"/>
                <w:szCs w:val="28"/>
              </w:rPr>
              <w:t>DTRM Innovation LLC（美国）</w:t>
            </w:r>
          </w:p>
        </w:tc>
        <w:tc>
          <w:tcPr>
            <w:tcW w:w="1671" w:type="dxa"/>
            <w:tcMar>
              <w:top w:w="0" w:type="dxa"/>
              <w:left w:w="0" w:type="dxa"/>
              <w:bottom w:w="0" w:type="dxa"/>
              <w:right w:w="0" w:type="dxa"/>
            </w:tcMar>
            <w:vAlign w:val="center"/>
          </w:tcPr>
          <w:p>
            <w:pPr>
              <w:widowControl/>
              <w:autoSpaceDE w:val="0"/>
              <w:autoSpaceDN w:val="0"/>
              <w:adjustRightInd w:val="0"/>
              <w:spacing w:after="0" w:line="360" w:lineRule="auto"/>
              <w:ind w:firstLine="0" w:firstLineChars="0"/>
              <w:jc w:val="right"/>
              <w:rPr>
                <w:rFonts w:asciiTheme="minorEastAsia" w:hAnsiTheme="minorEastAsia"/>
                <w:snapToGrid w:val="0"/>
                <w:kern w:val="0"/>
                <w:sz w:val="22"/>
                <w:szCs w:val="28"/>
              </w:rPr>
            </w:pPr>
            <w:r>
              <w:rPr>
                <w:rFonts w:asciiTheme="minorEastAsia" w:hAnsiTheme="minorEastAsia"/>
                <w:snapToGrid w:val="0"/>
                <w:kern w:val="0"/>
                <w:sz w:val="22"/>
                <w:szCs w:val="28"/>
              </w:rPr>
              <w:t>14.51</w:t>
            </w:r>
          </w:p>
        </w:tc>
        <w:tc>
          <w:tcPr>
            <w:tcW w:w="2048" w:type="dxa"/>
            <w:tcMar>
              <w:top w:w="0" w:type="dxa"/>
              <w:left w:w="0" w:type="dxa"/>
              <w:bottom w:w="0" w:type="dxa"/>
              <w:right w:w="0" w:type="dxa"/>
            </w:tcMar>
            <w:vAlign w:val="center"/>
          </w:tcPr>
          <w:p>
            <w:pPr>
              <w:widowControl/>
              <w:autoSpaceDE w:val="0"/>
              <w:autoSpaceDN w:val="0"/>
              <w:adjustRightInd w:val="0"/>
              <w:spacing w:after="0" w:line="360" w:lineRule="auto"/>
              <w:ind w:firstLine="0" w:firstLineChars="0"/>
              <w:jc w:val="right"/>
              <w:rPr>
                <w:rFonts w:asciiTheme="minorEastAsia" w:hAnsiTheme="minorEastAsia"/>
                <w:snapToGrid w:val="0"/>
                <w:kern w:val="0"/>
                <w:sz w:val="22"/>
                <w:szCs w:val="28"/>
              </w:rPr>
            </w:pPr>
            <w:r>
              <w:rPr>
                <w:rFonts w:asciiTheme="minorEastAsia" w:hAnsiTheme="minorEastAsia"/>
                <w:snapToGrid w:val="0"/>
                <w:kern w:val="0"/>
                <w:sz w:val="22"/>
                <w:szCs w:val="28"/>
              </w:rPr>
              <w:t>2660</w:t>
            </w:r>
            <w:r>
              <w:rPr>
                <w:rFonts w:hint="eastAsia" w:asciiTheme="minorEastAsia" w:hAnsiTheme="minorEastAsia"/>
                <w:snapToGrid w:val="0"/>
                <w:kern w:val="0"/>
                <w:sz w:val="22"/>
                <w:szCs w:val="28"/>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296" w:type="dxa"/>
            <w:tcMar>
              <w:top w:w="0" w:type="dxa"/>
              <w:left w:w="0" w:type="dxa"/>
              <w:bottom w:w="0" w:type="dxa"/>
              <w:right w:w="0" w:type="dxa"/>
            </w:tcMar>
            <w:vAlign w:val="center"/>
          </w:tcPr>
          <w:p>
            <w:pPr>
              <w:widowControl/>
              <w:autoSpaceDE w:val="0"/>
              <w:autoSpaceDN w:val="0"/>
              <w:adjustRightInd w:val="0"/>
              <w:spacing w:after="0" w:line="360" w:lineRule="auto"/>
              <w:ind w:firstLine="0" w:firstLineChars="0"/>
              <w:rPr>
                <w:rFonts w:asciiTheme="minorEastAsia" w:hAnsiTheme="minorEastAsia"/>
                <w:snapToGrid w:val="0"/>
                <w:kern w:val="0"/>
                <w:sz w:val="22"/>
                <w:szCs w:val="28"/>
              </w:rPr>
            </w:pPr>
            <w:r>
              <w:rPr>
                <w:rFonts w:asciiTheme="minorEastAsia" w:hAnsiTheme="minorEastAsia"/>
                <w:snapToGrid w:val="0"/>
                <w:kern w:val="0"/>
                <w:sz w:val="22"/>
                <w:szCs w:val="28"/>
              </w:rPr>
              <w:t>Growth River Investment Limited（开曼群岛）</w:t>
            </w:r>
          </w:p>
        </w:tc>
        <w:tc>
          <w:tcPr>
            <w:tcW w:w="1671" w:type="dxa"/>
            <w:tcMar>
              <w:top w:w="0" w:type="dxa"/>
              <w:left w:w="0" w:type="dxa"/>
              <w:bottom w:w="0" w:type="dxa"/>
              <w:right w:w="0" w:type="dxa"/>
            </w:tcMar>
            <w:vAlign w:val="center"/>
          </w:tcPr>
          <w:p>
            <w:pPr>
              <w:widowControl/>
              <w:autoSpaceDE w:val="0"/>
              <w:autoSpaceDN w:val="0"/>
              <w:adjustRightInd w:val="0"/>
              <w:spacing w:after="0" w:line="360" w:lineRule="auto"/>
              <w:ind w:firstLine="0" w:firstLineChars="0"/>
              <w:jc w:val="right"/>
              <w:rPr>
                <w:rFonts w:asciiTheme="minorEastAsia" w:hAnsiTheme="minorEastAsia"/>
                <w:snapToGrid w:val="0"/>
                <w:kern w:val="0"/>
                <w:sz w:val="22"/>
                <w:szCs w:val="28"/>
              </w:rPr>
            </w:pPr>
            <w:r>
              <w:rPr>
                <w:rFonts w:asciiTheme="minorEastAsia" w:hAnsiTheme="minorEastAsia"/>
                <w:snapToGrid w:val="0"/>
                <w:kern w:val="0"/>
                <w:sz w:val="22"/>
                <w:szCs w:val="28"/>
              </w:rPr>
              <w:t>25.02</w:t>
            </w:r>
          </w:p>
        </w:tc>
        <w:tc>
          <w:tcPr>
            <w:tcW w:w="2048" w:type="dxa"/>
            <w:tcMar>
              <w:top w:w="0" w:type="dxa"/>
              <w:left w:w="0" w:type="dxa"/>
              <w:bottom w:w="0" w:type="dxa"/>
              <w:right w:w="0" w:type="dxa"/>
            </w:tcMar>
            <w:vAlign w:val="center"/>
          </w:tcPr>
          <w:p>
            <w:pPr>
              <w:widowControl/>
              <w:autoSpaceDE w:val="0"/>
              <w:autoSpaceDN w:val="0"/>
              <w:adjustRightInd w:val="0"/>
              <w:spacing w:after="0" w:line="360" w:lineRule="auto"/>
              <w:ind w:firstLine="0" w:firstLineChars="0"/>
              <w:jc w:val="right"/>
              <w:rPr>
                <w:rFonts w:asciiTheme="minorEastAsia" w:hAnsiTheme="minorEastAsia"/>
                <w:snapToGrid w:val="0"/>
                <w:kern w:val="0"/>
                <w:sz w:val="22"/>
                <w:szCs w:val="28"/>
              </w:rPr>
            </w:pPr>
            <w:r>
              <w:rPr>
                <w:rFonts w:asciiTheme="minorEastAsia" w:hAnsiTheme="minorEastAsia"/>
                <w:snapToGrid w:val="0"/>
                <w:kern w:val="0"/>
                <w:sz w:val="22"/>
                <w:szCs w:val="28"/>
              </w:rPr>
              <w:t>4587.50</w:t>
            </w:r>
            <w:r>
              <w:rPr>
                <w:rFonts w:hint="eastAsia" w:asciiTheme="minorEastAsia" w:hAnsiTheme="minorEastAsia"/>
                <w:snapToGrid w:val="0"/>
                <w:kern w:val="0"/>
                <w:sz w:val="22"/>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296" w:type="dxa"/>
            <w:tcMar>
              <w:top w:w="0" w:type="dxa"/>
              <w:left w:w="0" w:type="dxa"/>
              <w:bottom w:w="0" w:type="dxa"/>
              <w:right w:w="0" w:type="dxa"/>
            </w:tcMar>
            <w:vAlign w:val="center"/>
          </w:tcPr>
          <w:p>
            <w:pPr>
              <w:widowControl/>
              <w:autoSpaceDE w:val="0"/>
              <w:autoSpaceDN w:val="0"/>
              <w:adjustRightInd w:val="0"/>
              <w:spacing w:after="0" w:line="360" w:lineRule="auto"/>
              <w:ind w:firstLine="0" w:firstLineChars="0"/>
              <w:rPr>
                <w:rFonts w:asciiTheme="minorEastAsia" w:hAnsiTheme="minorEastAsia"/>
                <w:snapToGrid w:val="0"/>
                <w:kern w:val="0"/>
                <w:sz w:val="22"/>
                <w:szCs w:val="28"/>
              </w:rPr>
            </w:pPr>
            <w:r>
              <w:rPr>
                <w:rFonts w:asciiTheme="minorEastAsia" w:hAnsiTheme="minorEastAsia"/>
                <w:kern w:val="0"/>
                <w:sz w:val="22"/>
                <w:szCs w:val="28"/>
              </w:rPr>
              <w:t>Empire Gateway</w:t>
            </w:r>
            <w:r>
              <w:rPr>
                <w:rFonts w:asciiTheme="minorEastAsia" w:hAnsiTheme="minorEastAsia"/>
                <w:snapToGrid w:val="0"/>
                <w:kern w:val="0"/>
                <w:sz w:val="22"/>
                <w:szCs w:val="28"/>
              </w:rPr>
              <w:t xml:space="preserve"> Investment Limited（开曼群岛）</w:t>
            </w:r>
          </w:p>
        </w:tc>
        <w:tc>
          <w:tcPr>
            <w:tcW w:w="1671" w:type="dxa"/>
            <w:tcMar>
              <w:top w:w="0" w:type="dxa"/>
              <w:left w:w="0" w:type="dxa"/>
              <w:bottom w:w="0" w:type="dxa"/>
              <w:right w:w="0" w:type="dxa"/>
            </w:tcMar>
            <w:vAlign w:val="center"/>
          </w:tcPr>
          <w:p>
            <w:pPr>
              <w:widowControl/>
              <w:autoSpaceDE w:val="0"/>
              <w:autoSpaceDN w:val="0"/>
              <w:adjustRightInd w:val="0"/>
              <w:spacing w:after="0" w:line="360" w:lineRule="auto"/>
              <w:ind w:firstLine="0" w:firstLineChars="0"/>
              <w:jc w:val="right"/>
              <w:rPr>
                <w:rFonts w:asciiTheme="minorEastAsia" w:hAnsiTheme="minorEastAsia"/>
                <w:snapToGrid w:val="0"/>
                <w:kern w:val="0"/>
                <w:sz w:val="22"/>
                <w:szCs w:val="28"/>
              </w:rPr>
            </w:pPr>
            <w:r>
              <w:rPr>
                <w:rFonts w:asciiTheme="minorEastAsia" w:hAnsiTheme="minorEastAsia"/>
                <w:snapToGrid w:val="0"/>
                <w:kern w:val="0"/>
                <w:sz w:val="22"/>
                <w:szCs w:val="28"/>
              </w:rPr>
              <w:t>9.07</w:t>
            </w:r>
          </w:p>
        </w:tc>
        <w:tc>
          <w:tcPr>
            <w:tcW w:w="2048" w:type="dxa"/>
            <w:tcMar>
              <w:top w:w="0" w:type="dxa"/>
              <w:left w:w="0" w:type="dxa"/>
              <w:bottom w:w="0" w:type="dxa"/>
              <w:right w:w="0" w:type="dxa"/>
            </w:tcMar>
            <w:vAlign w:val="center"/>
          </w:tcPr>
          <w:p>
            <w:pPr>
              <w:widowControl/>
              <w:autoSpaceDE w:val="0"/>
              <w:autoSpaceDN w:val="0"/>
              <w:adjustRightInd w:val="0"/>
              <w:spacing w:after="0" w:line="360" w:lineRule="auto"/>
              <w:ind w:firstLine="0" w:firstLineChars="0"/>
              <w:jc w:val="right"/>
              <w:rPr>
                <w:rFonts w:asciiTheme="minorEastAsia" w:hAnsiTheme="minorEastAsia"/>
                <w:snapToGrid w:val="0"/>
                <w:kern w:val="0"/>
                <w:sz w:val="22"/>
                <w:szCs w:val="28"/>
              </w:rPr>
            </w:pPr>
            <w:r>
              <w:rPr>
                <w:rFonts w:asciiTheme="minorEastAsia" w:hAnsiTheme="minorEastAsia"/>
                <w:snapToGrid w:val="0"/>
                <w:kern w:val="0"/>
                <w:sz w:val="22"/>
                <w:szCs w:val="28"/>
              </w:rPr>
              <w:t>1662.50</w:t>
            </w:r>
            <w:r>
              <w:rPr>
                <w:rFonts w:hint="eastAsia" w:asciiTheme="minorEastAsia" w:hAnsiTheme="minorEastAsia"/>
                <w:snapToGrid w:val="0"/>
                <w:kern w:val="0"/>
                <w:sz w:val="22"/>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296" w:type="dxa"/>
            <w:tcMar>
              <w:top w:w="0" w:type="dxa"/>
              <w:left w:w="0" w:type="dxa"/>
              <w:bottom w:w="0" w:type="dxa"/>
              <w:right w:w="0" w:type="dxa"/>
            </w:tcMar>
            <w:vAlign w:val="center"/>
          </w:tcPr>
          <w:p>
            <w:pPr>
              <w:widowControl/>
              <w:autoSpaceDE w:val="0"/>
              <w:autoSpaceDN w:val="0"/>
              <w:adjustRightInd w:val="0"/>
              <w:spacing w:after="0" w:line="360" w:lineRule="auto"/>
              <w:ind w:firstLine="0" w:firstLineChars="0"/>
              <w:rPr>
                <w:rFonts w:asciiTheme="minorEastAsia" w:hAnsiTheme="minorEastAsia"/>
                <w:snapToGrid w:val="0"/>
                <w:kern w:val="0"/>
                <w:sz w:val="22"/>
                <w:szCs w:val="28"/>
              </w:rPr>
            </w:pPr>
            <w:r>
              <w:rPr>
                <w:rFonts w:asciiTheme="minorEastAsia" w:hAnsiTheme="minorEastAsia"/>
                <w:snapToGrid w:val="0"/>
                <w:kern w:val="0"/>
                <w:sz w:val="22"/>
                <w:szCs w:val="28"/>
              </w:rPr>
              <w:t>深圳市松禾成长一号股权投资合伙企业(有限合伙)</w:t>
            </w:r>
          </w:p>
        </w:tc>
        <w:tc>
          <w:tcPr>
            <w:tcW w:w="1671" w:type="dxa"/>
            <w:tcMar>
              <w:top w:w="0" w:type="dxa"/>
              <w:left w:w="0" w:type="dxa"/>
              <w:bottom w:w="0" w:type="dxa"/>
              <w:right w:w="0" w:type="dxa"/>
            </w:tcMar>
            <w:vAlign w:val="center"/>
          </w:tcPr>
          <w:p>
            <w:pPr>
              <w:widowControl/>
              <w:autoSpaceDE w:val="0"/>
              <w:autoSpaceDN w:val="0"/>
              <w:adjustRightInd w:val="0"/>
              <w:spacing w:after="0" w:line="360" w:lineRule="auto"/>
              <w:ind w:firstLine="0" w:firstLineChars="0"/>
              <w:jc w:val="right"/>
              <w:rPr>
                <w:rFonts w:asciiTheme="minorEastAsia" w:hAnsiTheme="minorEastAsia"/>
                <w:snapToGrid w:val="0"/>
                <w:kern w:val="0"/>
                <w:sz w:val="22"/>
                <w:szCs w:val="28"/>
              </w:rPr>
            </w:pPr>
            <w:r>
              <w:rPr>
                <w:rFonts w:asciiTheme="minorEastAsia" w:hAnsiTheme="minorEastAsia"/>
                <w:snapToGrid w:val="0"/>
                <w:kern w:val="0"/>
                <w:sz w:val="22"/>
                <w:szCs w:val="28"/>
              </w:rPr>
              <w:t>11.36</w:t>
            </w:r>
          </w:p>
        </w:tc>
        <w:tc>
          <w:tcPr>
            <w:tcW w:w="2048" w:type="dxa"/>
            <w:tcMar>
              <w:top w:w="0" w:type="dxa"/>
              <w:left w:w="0" w:type="dxa"/>
              <w:bottom w:w="0" w:type="dxa"/>
              <w:right w:w="0" w:type="dxa"/>
            </w:tcMar>
            <w:vAlign w:val="center"/>
          </w:tcPr>
          <w:p>
            <w:pPr>
              <w:widowControl/>
              <w:autoSpaceDE w:val="0"/>
              <w:autoSpaceDN w:val="0"/>
              <w:adjustRightInd w:val="0"/>
              <w:spacing w:after="0" w:line="360" w:lineRule="auto"/>
              <w:ind w:firstLine="0" w:firstLineChars="0"/>
              <w:jc w:val="right"/>
              <w:rPr>
                <w:rFonts w:asciiTheme="minorEastAsia" w:hAnsiTheme="minorEastAsia"/>
                <w:snapToGrid w:val="0"/>
                <w:kern w:val="0"/>
                <w:sz w:val="22"/>
                <w:szCs w:val="28"/>
              </w:rPr>
            </w:pPr>
            <w:r>
              <w:rPr>
                <w:rFonts w:asciiTheme="minorEastAsia" w:hAnsiTheme="minorEastAsia"/>
                <w:snapToGrid w:val="0"/>
                <w:kern w:val="0"/>
                <w:sz w:val="22"/>
                <w:szCs w:val="28"/>
              </w:rPr>
              <w:t>2083.3333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296" w:type="dxa"/>
            <w:tcMar>
              <w:top w:w="0" w:type="dxa"/>
              <w:left w:w="0" w:type="dxa"/>
              <w:bottom w:w="0" w:type="dxa"/>
              <w:right w:w="0" w:type="dxa"/>
            </w:tcMar>
            <w:vAlign w:val="center"/>
          </w:tcPr>
          <w:p>
            <w:pPr>
              <w:widowControl/>
              <w:tabs>
                <w:tab w:val="center" w:pos="4153"/>
                <w:tab w:val="right" w:pos="8306"/>
              </w:tabs>
              <w:autoSpaceDE w:val="0"/>
              <w:autoSpaceDN w:val="0"/>
              <w:adjustRightInd w:val="0"/>
              <w:snapToGrid w:val="0"/>
              <w:spacing w:after="0" w:line="360" w:lineRule="auto"/>
              <w:ind w:firstLine="0" w:firstLineChars="0"/>
              <w:jc w:val="center"/>
              <w:rPr>
                <w:rFonts w:asciiTheme="minorEastAsia" w:hAnsiTheme="minorEastAsia"/>
                <w:b/>
                <w:snapToGrid w:val="0"/>
                <w:kern w:val="0"/>
                <w:sz w:val="22"/>
                <w:szCs w:val="28"/>
              </w:rPr>
            </w:pPr>
            <w:r>
              <w:rPr>
                <w:rFonts w:hint="eastAsia" w:asciiTheme="minorEastAsia" w:hAnsiTheme="minorEastAsia"/>
                <w:b/>
                <w:snapToGrid w:val="0"/>
                <w:kern w:val="0"/>
                <w:sz w:val="22"/>
                <w:szCs w:val="28"/>
              </w:rPr>
              <w:t>合计</w:t>
            </w:r>
          </w:p>
        </w:tc>
        <w:tc>
          <w:tcPr>
            <w:tcW w:w="1671" w:type="dxa"/>
            <w:tcMar>
              <w:top w:w="0" w:type="dxa"/>
              <w:left w:w="0" w:type="dxa"/>
              <w:bottom w:w="0" w:type="dxa"/>
              <w:right w:w="0" w:type="dxa"/>
            </w:tcMar>
            <w:vAlign w:val="center"/>
          </w:tcPr>
          <w:p>
            <w:pPr>
              <w:widowControl/>
              <w:tabs>
                <w:tab w:val="center" w:pos="4153"/>
                <w:tab w:val="right" w:pos="8306"/>
              </w:tabs>
              <w:autoSpaceDE w:val="0"/>
              <w:autoSpaceDN w:val="0"/>
              <w:adjustRightInd w:val="0"/>
              <w:snapToGrid w:val="0"/>
              <w:spacing w:after="0" w:line="360" w:lineRule="auto"/>
              <w:ind w:firstLine="0" w:firstLineChars="0"/>
              <w:jc w:val="right"/>
              <w:rPr>
                <w:rFonts w:asciiTheme="minorEastAsia" w:hAnsiTheme="minorEastAsia"/>
                <w:b/>
                <w:snapToGrid w:val="0"/>
                <w:kern w:val="0"/>
                <w:sz w:val="22"/>
                <w:szCs w:val="28"/>
              </w:rPr>
            </w:pPr>
            <w:r>
              <w:rPr>
                <w:rFonts w:asciiTheme="minorEastAsia" w:hAnsiTheme="minorEastAsia"/>
                <w:b/>
                <w:snapToGrid w:val="0"/>
                <w:kern w:val="0"/>
                <w:sz w:val="22"/>
                <w:szCs w:val="28"/>
              </w:rPr>
              <w:t>100</w:t>
            </w:r>
            <w:r>
              <w:rPr>
                <w:rFonts w:hint="eastAsia" w:asciiTheme="minorEastAsia" w:hAnsiTheme="minorEastAsia"/>
                <w:b/>
                <w:snapToGrid w:val="0"/>
                <w:kern w:val="0"/>
                <w:sz w:val="22"/>
                <w:szCs w:val="28"/>
              </w:rPr>
              <w:t>.00</w:t>
            </w:r>
          </w:p>
        </w:tc>
        <w:tc>
          <w:tcPr>
            <w:tcW w:w="2048" w:type="dxa"/>
            <w:tcMar>
              <w:top w:w="0" w:type="dxa"/>
              <w:left w:w="0" w:type="dxa"/>
              <w:bottom w:w="0" w:type="dxa"/>
              <w:right w:w="0" w:type="dxa"/>
            </w:tcMar>
            <w:vAlign w:val="center"/>
          </w:tcPr>
          <w:p>
            <w:pPr>
              <w:widowControl/>
              <w:tabs>
                <w:tab w:val="center" w:pos="4153"/>
                <w:tab w:val="right" w:pos="8306"/>
              </w:tabs>
              <w:autoSpaceDE w:val="0"/>
              <w:autoSpaceDN w:val="0"/>
              <w:adjustRightInd w:val="0"/>
              <w:snapToGrid w:val="0"/>
              <w:spacing w:after="0" w:line="360" w:lineRule="auto"/>
              <w:ind w:firstLine="0" w:firstLineChars="0"/>
              <w:jc w:val="right"/>
              <w:rPr>
                <w:rFonts w:asciiTheme="minorEastAsia" w:hAnsiTheme="minorEastAsia"/>
                <w:b/>
                <w:snapToGrid w:val="0"/>
                <w:kern w:val="0"/>
                <w:sz w:val="22"/>
                <w:szCs w:val="28"/>
              </w:rPr>
            </w:pPr>
            <w:r>
              <w:rPr>
                <w:rFonts w:asciiTheme="minorEastAsia" w:hAnsiTheme="minorEastAsia"/>
                <w:b/>
                <w:snapToGrid w:val="0"/>
                <w:kern w:val="0"/>
                <w:sz w:val="22"/>
                <w:szCs w:val="28"/>
              </w:rPr>
              <w:t>18333.3333</w:t>
            </w:r>
          </w:p>
        </w:tc>
      </w:tr>
    </w:tbl>
    <w:p>
      <w:pPr>
        <w:spacing w:after="0" w:line="360" w:lineRule="auto"/>
        <w:ind w:firstLine="560"/>
        <w:rPr>
          <w:rFonts w:ascii="宋体" w:hAnsi="宋体"/>
          <w:sz w:val="28"/>
          <w:szCs w:val="28"/>
        </w:rPr>
      </w:pPr>
      <w:r>
        <w:rPr>
          <w:rFonts w:hint="eastAsia" w:ascii="宋体" w:hAnsi="宋体"/>
          <w:sz w:val="28"/>
          <w:szCs w:val="28"/>
        </w:rPr>
        <w:t>2、公司经营情况</w:t>
      </w:r>
    </w:p>
    <w:p>
      <w:pPr>
        <w:spacing w:after="0" w:line="360" w:lineRule="auto"/>
        <w:ind w:firstLine="560"/>
        <w:rPr>
          <w:rFonts w:ascii="宋体" w:hAnsi="宋体"/>
          <w:sz w:val="28"/>
          <w:szCs w:val="28"/>
        </w:rPr>
      </w:pPr>
      <w:r>
        <w:rPr>
          <w:rFonts w:hint="eastAsia" w:ascii="宋体" w:hAnsi="宋体"/>
          <w:sz w:val="28"/>
          <w:szCs w:val="28"/>
        </w:rPr>
        <w:t>导明医药以药品研发为导向，现有3个产品分别在2015年-2016年获得临床批件，已处于临床阶段，即：DTRMWXHS-12（淋巴瘤靶向药物）、联合用药DTRM-505、联合用药DTRM-555、DTRMHS-07（类风湿性关节炎药物）。其中：DTRMWXHS-12单药在中美同步开展临床。</w:t>
      </w:r>
    </w:p>
    <w:p>
      <w:pPr>
        <w:spacing w:after="0" w:line="360" w:lineRule="auto"/>
        <w:ind w:firstLine="560"/>
        <w:rPr>
          <w:rFonts w:ascii="宋体" w:hAnsi="宋体"/>
          <w:sz w:val="28"/>
          <w:szCs w:val="28"/>
        </w:rPr>
      </w:pPr>
      <w:r>
        <w:rPr>
          <w:rFonts w:hint="eastAsia" w:ascii="宋体" w:hAnsi="宋体"/>
          <w:sz w:val="28"/>
          <w:szCs w:val="28"/>
        </w:rPr>
        <w:t>导明公司近三年主要财务数据（合并口径）：</w:t>
      </w:r>
    </w:p>
    <w:p>
      <w:pPr>
        <w:spacing w:after="0" w:line="360" w:lineRule="auto"/>
        <w:ind w:firstLine="840" w:firstLineChars="300"/>
        <w:jc w:val="right"/>
        <w:rPr>
          <w:rFonts w:ascii="宋体" w:hAnsi="宋体"/>
          <w:sz w:val="28"/>
          <w:szCs w:val="28"/>
        </w:rPr>
      </w:pPr>
      <w:r>
        <w:rPr>
          <w:rFonts w:hint="eastAsia" w:ascii="宋体" w:hAnsi="宋体"/>
          <w:sz w:val="28"/>
          <w:szCs w:val="28"/>
        </w:rPr>
        <w:t>单元：人民币万元</w:t>
      </w:r>
    </w:p>
    <w:tbl>
      <w:tblPr>
        <w:tblStyle w:val="13"/>
        <w:tblW w:w="9092" w:type="dxa"/>
        <w:tblInd w:w="0" w:type="dxa"/>
        <w:tblLayout w:type="fixed"/>
        <w:tblCellMar>
          <w:top w:w="0" w:type="dxa"/>
          <w:left w:w="0" w:type="dxa"/>
          <w:bottom w:w="0" w:type="dxa"/>
          <w:right w:w="0" w:type="dxa"/>
        </w:tblCellMar>
      </w:tblPr>
      <w:tblGrid>
        <w:gridCol w:w="1299"/>
        <w:gridCol w:w="1299"/>
        <w:gridCol w:w="1299"/>
        <w:gridCol w:w="1298"/>
        <w:gridCol w:w="1299"/>
        <w:gridCol w:w="1299"/>
        <w:gridCol w:w="1299"/>
      </w:tblGrid>
      <w:tr>
        <w:tblPrEx>
          <w:tblLayout w:type="fixed"/>
          <w:tblCellMar>
            <w:top w:w="0" w:type="dxa"/>
            <w:left w:w="0" w:type="dxa"/>
            <w:bottom w:w="0" w:type="dxa"/>
            <w:right w:w="0" w:type="dxa"/>
          </w:tblCellMar>
        </w:tblPrEx>
        <w:trPr>
          <w:cantSplit/>
          <w:trHeight w:val="454" w:hRule="atLeast"/>
        </w:trPr>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bottom"/>
          </w:tcPr>
          <w:p>
            <w:pPr>
              <w:widowControl/>
              <w:spacing w:after="0" w:line="360" w:lineRule="auto"/>
              <w:ind w:firstLine="0" w:firstLineChars="0"/>
              <w:jc w:val="center"/>
              <w:textAlignment w:val="bottom"/>
              <w:rPr>
                <w:rFonts w:ascii="宋体" w:hAnsi="宋体" w:cs="宋体"/>
                <w:b/>
                <w:bCs/>
                <w:sz w:val="24"/>
              </w:rPr>
            </w:pPr>
            <w:r>
              <w:rPr>
                <w:rFonts w:hint="eastAsia" w:ascii="宋体" w:hAnsi="宋体" w:cs="宋体"/>
                <w:b/>
                <w:bCs/>
                <w:kern w:val="0"/>
                <w:sz w:val="24"/>
              </w:rPr>
              <w:t>年度</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bottom"/>
          </w:tcPr>
          <w:p>
            <w:pPr>
              <w:widowControl/>
              <w:spacing w:after="0" w:line="360" w:lineRule="auto"/>
              <w:ind w:firstLine="0" w:firstLineChars="0"/>
              <w:jc w:val="center"/>
              <w:textAlignment w:val="bottom"/>
              <w:rPr>
                <w:rFonts w:ascii="宋体" w:hAnsi="宋体" w:cs="宋体"/>
                <w:b/>
                <w:bCs/>
                <w:sz w:val="24"/>
              </w:rPr>
            </w:pPr>
            <w:r>
              <w:rPr>
                <w:rFonts w:hint="eastAsia" w:ascii="宋体" w:hAnsi="宋体" w:cs="宋体"/>
                <w:b/>
                <w:bCs/>
                <w:kern w:val="0"/>
                <w:sz w:val="24"/>
              </w:rPr>
              <w:t>营业收入</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bottom"/>
          </w:tcPr>
          <w:p>
            <w:pPr>
              <w:widowControl/>
              <w:spacing w:after="0" w:line="360" w:lineRule="auto"/>
              <w:ind w:firstLine="0" w:firstLineChars="0"/>
              <w:jc w:val="center"/>
              <w:textAlignment w:val="bottom"/>
              <w:rPr>
                <w:rFonts w:ascii="宋体" w:hAnsi="宋体" w:cs="宋体"/>
                <w:b/>
                <w:bCs/>
                <w:sz w:val="24"/>
              </w:rPr>
            </w:pPr>
            <w:r>
              <w:rPr>
                <w:rFonts w:hint="eastAsia" w:ascii="宋体" w:hAnsi="宋体" w:cs="宋体"/>
                <w:b/>
                <w:bCs/>
                <w:kern w:val="0"/>
                <w:sz w:val="24"/>
              </w:rPr>
              <w:t>营业利润</w:t>
            </w: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bottom"/>
          </w:tcPr>
          <w:p>
            <w:pPr>
              <w:widowControl/>
              <w:spacing w:after="0" w:line="360" w:lineRule="auto"/>
              <w:ind w:firstLine="0" w:firstLineChars="0"/>
              <w:jc w:val="center"/>
              <w:textAlignment w:val="bottom"/>
              <w:rPr>
                <w:rFonts w:ascii="宋体" w:hAnsi="宋体" w:cs="宋体"/>
                <w:b/>
                <w:bCs/>
                <w:sz w:val="24"/>
              </w:rPr>
            </w:pPr>
            <w:r>
              <w:rPr>
                <w:rFonts w:hint="eastAsia" w:ascii="宋体" w:hAnsi="宋体" w:cs="宋体"/>
                <w:b/>
                <w:bCs/>
                <w:kern w:val="0"/>
                <w:sz w:val="24"/>
              </w:rPr>
              <w:t>净利润</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bottom"/>
          </w:tcPr>
          <w:p>
            <w:pPr>
              <w:widowControl/>
              <w:spacing w:after="0" w:line="360" w:lineRule="auto"/>
              <w:ind w:firstLine="0" w:firstLineChars="0"/>
              <w:jc w:val="center"/>
              <w:textAlignment w:val="bottom"/>
              <w:rPr>
                <w:rFonts w:ascii="宋体" w:hAnsi="宋体" w:cs="宋体"/>
                <w:b/>
                <w:bCs/>
                <w:sz w:val="24"/>
              </w:rPr>
            </w:pPr>
            <w:r>
              <w:rPr>
                <w:rFonts w:hint="eastAsia" w:ascii="宋体" w:hAnsi="宋体" w:cs="宋体"/>
                <w:b/>
                <w:bCs/>
                <w:kern w:val="0"/>
                <w:sz w:val="24"/>
              </w:rPr>
              <w:t>资产总计</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bottom"/>
          </w:tcPr>
          <w:p>
            <w:pPr>
              <w:widowControl/>
              <w:spacing w:after="0" w:line="360" w:lineRule="auto"/>
              <w:ind w:firstLine="0" w:firstLineChars="0"/>
              <w:jc w:val="center"/>
              <w:textAlignment w:val="bottom"/>
              <w:rPr>
                <w:rFonts w:ascii="宋体" w:hAnsi="宋体" w:cs="宋体"/>
                <w:b/>
                <w:bCs/>
                <w:sz w:val="24"/>
              </w:rPr>
            </w:pPr>
            <w:r>
              <w:rPr>
                <w:rFonts w:hint="eastAsia" w:ascii="宋体" w:hAnsi="宋体" w:cs="宋体"/>
                <w:b/>
                <w:bCs/>
                <w:kern w:val="0"/>
                <w:sz w:val="24"/>
              </w:rPr>
              <w:t>负债总计</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bottom"/>
          </w:tcPr>
          <w:p>
            <w:pPr>
              <w:widowControl/>
              <w:spacing w:after="0" w:line="360" w:lineRule="auto"/>
              <w:ind w:firstLine="0" w:firstLineChars="0"/>
              <w:jc w:val="center"/>
              <w:textAlignment w:val="bottom"/>
              <w:rPr>
                <w:rFonts w:ascii="宋体" w:hAnsi="宋体" w:cs="宋体"/>
                <w:b/>
                <w:bCs/>
                <w:sz w:val="24"/>
              </w:rPr>
            </w:pPr>
            <w:r>
              <w:rPr>
                <w:rFonts w:hint="eastAsia" w:ascii="宋体" w:hAnsi="宋体" w:cs="宋体"/>
                <w:b/>
                <w:bCs/>
                <w:kern w:val="0"/>
                <w:sz w:val="24"/>
              </w:rPr>
              <w:t>所有者权益</w:t>
            </w:r>
          </w:p>
        </w:tc>
      </w:tr>
      <w:tr>
        <w:tblPrEx>
          <w:tblLayout w:type="fixed"/>
          <w:tblCellMar>
            <w:top w:w="0" w:type="dxa"/>
            <w:left w:w="0" w:type="dxa"/>
            <w:bottom w:w="0" w:type="dxa"/>
            <w:right w:w="0" w:type="dxa"/>
          </w:tblCellMar>
        </w:tblPrEx>
        <w:trPr>
          <w:cantSplit/>
          <w:trHeight w:val="454" w:hRule="atLeast"/>
        </w:trPr>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bottom"/>
          </w:tcPr>
          <w:p>
            <w:pPr>
              <w:widowControl/>
              <w:spacing w:after="0" w:line="360" w:lineRule="auto"/>
              <w:ind w:firstLine="0" w:firstLineChars="0"/>
              <w:textAlignment w:val="bottom"/>
              <w:rPr>
                <w:rFonts w:ascii="宋体" w:hAnsi="宋体" w:cs="宋体"/>
                <w:sz w:val="24"/>
              </w:rPr>
            </w:pPr>
            <w:r>
              <w:rPr>
                <w:rFonts w:hint="eastAsia" w:ascii="宋体" w:hAnsi="宋体" w:cs="宋体"/>
                <w:kern w:val="0"/>
                <w:sz w:val="24"/>
              </w:rPr>
              <w:t>2016年度</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bottom"/>
          </w:tcPr>
          <w:p>
            <w:pPr>
              <w:widowControl/>
              <w:spacing w:after="0" w:line="360" w:lineRule="auto"/>
              <w:ind w:firstLine="0" w:firstLineChars="0"/>
              <w:jc w:val="right"/>
              <w:textAlignment w:val="bottom"/>
              <w:rPr>
                <w:rFonts w:ascii="宋体" w:hAnsi="宋体" w:cs="宋体"/>
                <w:sz w:val="24"/>
              </w:rPr>
            </w:pPr>
            <w:r>
              <w:rPr>
                <w:rFonts w:hint="eastAsia" w:ascii="宋体" w:hAnsi="宋体" w:cs="宋体"/>
                <w:kern w:val="0"/>
                <w:sz w:val="24"/>
              </w:rPr>
              <w:t>-</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bottom"/>
          </w:tcPr>
          <w:p>
            <w:pPr>
              <w:widowControl/>
              <w:spacing w:after="0" w:line="360" w:lineRule="auto"/>
              <w:ind w:firstLine="0" w:firstLineChars="0"/>
              <w:jc w:val="right"/>
              <w:textAlignment w:val="bottom"/>
              <w:rPr>
                <w:rFonts w:ascii="宋体" w:hAnsi="宋体" w:cs="宋体"/>
                <w:sz w:val="24"/>
              </w:rPr>
            </w:pPr>
            <w:r>
              <w:rPr>
                <w:rFonts w:hint="eastAsia" w:ascii="宋体" w:hAnsi="宋体" w:cs="宋体"/>
                <w:kern w:val="0"/>
                <w:sz w:val="24"/>
              </w:rPr>
              <w:t>-2,159.81</w:t>
            </w: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bottom"/>
          </w:tcPr>
          <w:p>
            <w:pPr>
              <w:widowControl/>
              <w:spacing w:after="0" w:line="360" w:lineRule="auto"/>
              <w:ind w:firstLine="0" w:firstLineChars="0"/>
              <w:jc w:val="right"/>
              <w:textAlignment w:val="bottom"/>
              <w:rPr>
                <w:rFonts w:ascii="宋体" w:hAnsi="宋体" w:cs="宋体"/>
                <w:sz w:val="24"/>
              </w:rPr>
            </w:pPr>
            <w:r>
              <w:rPr>
                <w:rFonts w:hint="eastAsia" w:ascii="宋体" w:hAnsi="宋体" w:cs="宋体"/>
                <w:kern w:val="0"/>
                <w:sz w:val="24"/>
              </w:rPr>
              <w:t>-2,154.81</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bottom"/>
          </w:tcPr>
          <w:p>
            <w:pPr>
              <w:widowControl/>
              <w:spacing w:after="0" w:line="360" w:lineRule="auto"/>
              <w:ind w:firstLine="0" w:firstLineChars="0"/>
              <w:jc w:val="right"/>
              <w:textAlignment w:val="bottom"/>
              <w:rPr>
                <w:rFonts w:ascii="宋体" w:hAnsi="宋体" w:cs="宋体"/>
                <w:sz w:val="24"/>
              </w:rPr>
            </w:pPr>
            <w:r>
              <w:rPr>
                <w:rFonts w:hint="eastAsia" w:ascii="宋体" w:hAnsi="宋体" w:cs="宋体"/>
                <w:kern w:val="0"/>
                <w:sz w:val="24"/>
              </w:rPr>
              <w:t>9,917.84</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bottom"/>
          </w:tcPr>
          <w:p>
            <w:pPr>
              <w:widowControl/>
              <w:spacing w:after="0" w:line="360" w:lineRule="auto"/>
              <w:ind w:firstLine="0" w:firstLineChars="0"/>
              <w:jc w:val="right"/>
              <w:textAlignment w:val="bottom"/>
              <w:rPr>
                <w:rFonts w:ascii="宋体" w:hAnsi="宋体" w:cs="宋体"/>
                <w:sz w:val="24"/>
              </w:rPr>
            </w:pPr>
            <w:r>
              <w:rPr>
                <w:rFonts w:hint="eastAsia" w:ascii="宋体" w:hAnsi="宋体" w:cs="宋体"/>
                <w:kern w:val="0"/>
                <w:sz w:val="24"/>
              </w:rPr>
              <w:t>5,755.39</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bottom"/>
          </w:tcPr>
          <w:p>
            <w:pPr>
              <w:widowControl/>
              <w:spacing w:after="0" w:line="360" w:lineRule="auto"/>
              <w:ind w:firstLine="0" w:firstLineChars="0"/>
              <w:jc w:val="right"/>
              <w:textAlignment w:val="bottom"/>
              <w:rPr>
                <w:rFonts w:ascii="宋体" w:hAnsi="宋体" w:cs="宋体"/>
                <w:sz w:val="24"/>
              </w:rPr>
            </w:pPr>
            <w:r>
              <w:rPr>
                <w:rFonts w:hint="eastAsia" w:ascii="宋体" w:hAnsi="宋体" w:cs="宋体"/>
                <w:kern w:val="0"/>
                <w:sz w:val="24"/>
              </w:rPr>
              <w:t>4,162.45</w:t>
            </w:r>
          </w:p>
        </w:tc>
      </w:tr>
      <w:tr>
        <w:tblPrEx>
          <w:tblLayout w:type="fixed"/>
          <w:tblCellMar>
            <w:top w:w="0" w:type="dxa"/>
            <w:left w:w="0" w:type="dxa"/>
            <w:bottom w:w="0" w:type="dxa"/>
            <w:right w:w="0" w:type="dxa"/>
          </w:tblCellMar>
        </w:tblPrEx>
        <w:trPr>
          <w:cantSplit/>
          <w:trHeight w:val="454" w:hRule="atLeast"/>
        </w:trPr>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bottom"/>
          </w:tcPr>
          <w:p>
            <w:pPr>
              <w:widowControl/>
              <w:spacing w:after="0" w:line="360" w:lineRule="auto"/>
              <w:ind w:firstLine="0" w:firstLineChars="0"/>
              <w:textAlignment w:val="bottom"/>
              <w:rPr>
                <w:rFonts w:ascii="宋体" w:hAnsi="宋体" w:cs="宋体"/>
                <w:sz w:val="24"/>
              </w:rPr>
            </w:pPr>
            <w:r>
              <w:rPr>
                <w:rFonts w:hint="eastAsia" w:ascii="宋体" w:hAnsi="宋体" w:cs="宋体"/>
                <w:kern w:val="0"/>
                <w:sz w:val="24"/>
              </w:rPr>
              <w:t>2017年度</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bottom"/>
          </w:tcPr>
          <w:p>
            <w:pPr>
              <w:widowControl/>
              <w:spacing w:after="0" w:line="360" w:lineRule="auto"/>
              <w:ind w:firstLine="0" w:firstLineChars="0"/>
              <w:jc w:val="right"/>
              <w:textAlignment w:val="bottom"/>
              <w:rPr>
                <w:rFonts w:ascii="宋体" w:hAnsi="宋体" w:cs="宋体"/>
                <w:sz w:val="24"/>
              </w:rPr>
            </w:pPr>
            <w:r>
              <w:rPr>
                <w:rFonts w:hint="eastAsia" w:ascii="宋体" w:hAnsi="宋体" w:cs="宋体"/>
                <w:kern w:val="0"/>
                <w:sz w:val="24"/>
              </w:rPr>
              <w:t>-</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bottom"/>
          </w:tcPr>
          <w:p>
            <w:pPr>
              <w:widowControl/>
              <w:spacing w:after="0" w:line="360" w:lineRule="auto"/>
              <w:ind w:firstLine="0" w:firstLineChars="0"/>
              <w:jc w:val="right"/>
              <w:textAlignment w:val="bottom"/>
              <w:rPr>
                <w:rFonts w:ascii="宋体" w:hAnsi="宋体" w:cs="宋体"/>
                <w:sz w:val="24"/>
              </w:rPr>
            </w:pPr>
            <w:r>
              <w:rPr>
                <w:rFonts w:hint="eastAsia" w:ascii="宋体" w:hAnsi="宋体" w:cs="宋体"/>
                <w:kern w:val="0"/>
                <w:sz w:val="24"/>
              </w:rPr>
              <w:t>-1,424.15</w:t>
            </w: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bottom"/>
          </w:tcPr>
          <w:p>
            <w:pPr>
              <w:widowControl/>
              <w:spacing w:after="0" w:line="360" w:lineRule="auto"/>
              <w:ind w:firstLine="0" w:firstLineChars="0"/>
              <w:jc w:val="right"/>
              <w:textAlignment w:val="bottom"/>
              <w:rPr>
                <w:rFonts w:ascii="宋体" w:hAnsi="宋体" w:cs="宋体"/>
                <w:sz w:val="24"/>
              </w:rPr>
            </w:pPr>
            <w:r>
              <w:rPr>
                <w:rFonts w:hint="eastAsia" w:ascii="宋体" w:hAnsi="宋体" w:cs="宋体"/>
                <w:kern w:val="0"/>
                <w:sz w:val="24"/>
              </w:rPr>
              <w:t>-1,424.15</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bottom"/>
          </w:tcPr>
          <w:p>
            <w:pPr>
              <w:widowControl/>
              <w:spacing w:after="0" w:line="360" w:lineRule="auto"/>
              <w:ind w:firstLine="0" w:firstLineChars="0"/>
              <w:jc w:val="right"/>
              <w:textAlignment w:val="bottom"/>
              <w:rPr>
                <w:rFonts w:ascii="宋体" w:hAnsi="宋体" w:cs="宋体"/>
                <w:sz w:val="24"/>
              </w:rPr>
            </w:pPr>
            <w:r>
              <w:rPr>
                <w:rFonts w:hint="eastAsia" w:ascii="宋体" w:hAnsi="宋体" w:cs="宋体"/>
                <w:kern w:val="0"/>
                <w:sz w:val="24"/>
              </w:rPr>
              <w:t>47,930.67</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bottom"/>
          </w:tcPr>
          <w:p>
            <w:pPr>
              <w:widowControl/>
              <w:spacing w:after="0" w:line="360" w:lineRule="auto"/>
              <w:ind w:firstLine="0" w:firstLineChars="0"/>
              <w:jc w:val="right"/>
              <w:textAlignment w:val="bottom"/>
              <w:rPr>
                <w:rFonts w:ascii="宋体" w:hAnsi="宋体" w:cs="宋体"/>
                <w:sz w:val="24"/>
              </w:rPr>
            </w:pPr>
            <w:r>
              <w:rPr>
                <w:rFonts w:hint="eastAsia" w:ascii="宋体" w:hAnsi="宋体" w:cs="宋体"/>
                <w:kern w:val="0"/>
                <w:sz w:val="24"/>
              </w:rPr>
              <w:t>5,312.09</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bottom"/>
          </w:tcPr>
          <w:p>
            <w:pPr>
              <w:widowControl/>
              <w:spacing w:after="0" w:line="360" w:lineRule="auto"/>
              <w:ind w:firstLine="0" w:firstLineChars="0"/>
              <w:jc w:val="right"/>
              <w:textAlignment w:val="bottom"/>
              <w:rPr>
                <w:rFonts w:ascii="宋体" w:hAnsi="宋体" w:cs="宋体"/>
                <w:sz w:val="24"/>
              </w:rPr>
            </w:pPr>
            <w:r>
              <w:rPr>
                <w:rFonts w:hint="eastAsia" w:ascii="宋体" w:hAnsi="宋体" w:cs="宋体"/>
                <w:kern w:val="0"/>
                <w:sz w:val="24"/>
              </w:rPr>
              <w:t>42,618.58</w:t>
            </w:r>
          </w:p>
        </w:tc>
      </w:tr>
      <w:tr>
        <w:tblPrEx>
          <w:tblLayout w:type="fixed"/>
          <w:tblCellMar>
            <w:top w:w="0" w:type="dxa"/>
            <w:left w:w="0" w:type="dxa"/>
            <w:bottom w:w="0" w:type="dxa"/>
            <w:right w:w="0" w:type="dxa"/>
          </w:tblCellMar>
        </w:tblPrEx>
        <w:trPr>
          <w:cantSplit/>
          <w:trHeight w:val="454" w:hRule="atLeast"/>
        </w:trPr>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bottom"/>
          </w:tcPr>
          <w:p>
            <w:pPr>
              <w:widowControl/>
              <w:spacing w:after="0" w:line="360" w:lineRule="auto"/>
              <w:ind w:firstLine="0" w:firstLineChars="0"/>
              <w:textAlignment w:val="bottom"/>
              <w:rPr>
                <w:rFonts w:ascii="宋体" w:hAnsi="宋体" w:cs="宋体"/>
                <w:sz w:val="24"/>
              </w:rPr>
            </w:pPr>
            <w:r>
              <w:rPr>
                <w:rFonts w:hint="eastAsia" w:ascii="宋体" w:hAnsi="宋体" w:cs="宋体"/>
                <w:kern w:val="0"/>
                <w:sz w:val="24"/>
              </w:rPr>
              <w:t>2018年度</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bottom"/>
          </w:tcPr>
          <w:p>
            <w:pPr>
              <w:widowControl/>
              <w:spacing w:after="0" w:line="360" w:lineRule="auto"/>
              <w:ind w:firstLine="0" w:firstLineChars="0"/>
              <w:jc w:val="right"/>
              <w:textAlignment w:val="bottom"/>
              <w:rPr>
                <w:rFonts w:ascii="宋体" w:hAnsi="宋体" w:cs="宋体"/>
                <w:sz w:val="24"/>
              </w:rPr>
            </w:pPr>
            <w:r>
              <w:rPr>
                <w:rFonts w:hint="eastAsia" w:ascii="宋体" w:hAnsi="宋体" w:cs="宋体"/>
                <w:kern w:val="0"/>
                <w:sz w:val="24"/>
              </w:rPr>
              <w:t>-</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bottom"/>
          </w:tcPr>
          <w:p>
            <w:pPr>
              <w:widowControl/>
              <w:spacing w:after="0" w:line="360" w:lineRule="auto"/>
              <w:ind w:firstLine="0" w:firstLineChars="0"/>
              <w:jc w:val="right"/>
              <w:textAlignment w:val="bottom"/>
              <w:rPr>
                <w:rFonts w:ascii="宋体" w:hAnsi="宋体" w:cs="宋体"/>
                <w:sz w:val="24"/>
              </w:rPr>
            </w:pPr>
            <w:r>
              <w:rPr>
                <w:rFonts w:hint="eastAsia" w:ascii="宋体" w:hAnsi="宋体" w:cs="宋体"/>
                <w:kern w:val="0"/>
                <w:sz w:val="24"/>
              </w:rPr>
              <w:t>-1,120.32</w:t>
            </w: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bottom"/>
          </w:tcPr>
          <w:p>
            <w:pPr>
              <w:widowControl/>
              <w:spacing w:after="0" w:line="360" w:lineRule="auto"/>
              <w:ind w:firstLine="0" w:firstLineChars="0"/>
              <w:jc w:val="right"/>
              <w:textAlignment w:val="bottom"/>
              <w:rPr>
                <w:rFonts w:ascii="宋体" w:hAnsi="宋体" w:cs="宋体"/>
                <w:sz w:val="24"/>
              </w:rPr>
            </w:pPr>
            <w:r>
              <w:rPr>
                <w:rFonts w:hint="eastAsia" w:ascii="宋体" w:hAnsi="宋体" w:cs="宋体"/>
                <w:kern w:val="0"/>
                <w:sz w:val="24"/>
              </w:rPr>
              <w:t>-1,120.32</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bottom"/>
          </w:tcPr>
          <w:p>
            <w:pPr>
              <w:widowControl/>
              <w:spacing w:after="0" w:line="360" w:lineRule="auto"/>
              <w:ind w:firstLine="0" w:firstLineChars="0"/>
              <w:jc w:val="right"/>
              <w:textAlignment w:val="bottom"/>
              <w:rPr>
                <w:rFonts w:ascii="宋体" w:hAnsi="宋体" w:cs="宋体"/>
                <w:sz w:val="24"/>
              </w:rPr>
            </w:pPr>
            <w:r>
              <w:rPr>
                <w:rFonts w:hint="eastAsia" w:ascii="宋体" w:hAnsi="宋体" w:cs="宋体"/>
                <w:kern w:val="0"/>
                <w:sz w:val="24"/>
              </w:rPr>
              <w:t>44,622.82</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bottom"/>
          </w:tcPr>
          <w:p>
            <w:pPr>
              <w:widowControl/>
              <w:spacing w:after="0" w:line="360" w:lineRule="auto"/>
              <w:ind w:firstLine="0" w:firstLineChars="0"/>
              <w:jc w:val="right"/>
              <w:textAlignment w:val="bottom"/>
              <w:rPr>
                <w:rFonts w:ascii="宋体" w:hAnsi="宋体" w:cs="宋体"/>
                <w:sz w:val="24"/>
              </w:rPr>
            </w:pPr>
            <w:r>
              <w:rPr>
                <w:rFonts w:hint="eastAsia" w:ascii="宋体" w:hAnsi="宋体" w:cs="宋体"/>
                <w:kern w:val="0"/>
                <w:sz w:val="24"/>
              </w:rPr>
              <w:t>1,789.77</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bottom"/>
          </w:tcPr>
          <w:p>
            <w:pPr>
              <w:widowControl/>
              <w:spacing w:after="0" w:line="360" w:lineRule="auto"/>
              <w:ind w:firstLine="0" w:firstLineChars="0"/>
              <w:jc w:val="right"/>
              <w:textAlignment w:val="bottom"/>
              <w:rPr>
                <w:rFonts w:ascii="宋体" w:hAnsi="宋体" w:cs="宋体"/>
                <w:sz w:val="24"/>
              </w:rPr>
            </w:pPr>
            <w:r>
              <w:rPr>
                <w:rFonts w:hint="eastAsia" w:ascii="宋体" w:hAnsi="宋体" w:cs="宋体"/>
                <w:kern w:val="0"/>
                <w:sz w:val="24"/>
              </w:rPr>
              <w:t>42,833.05</w:t>
            </w:r>
          </w:p>
        </w:tc>
      </w:tr>
    </w:tbl>
    <w:p>
      <w:pPr>
        <w:spacing w:after="0" w:line="360" w:lineRule="auto"/>
        <w:ind w:firstLine="560"/>
        <w:rPr>
          <w:rFonts w:ascii="宋体" w:hAnsi="宋体" w:cs="宋体"/>
          <w:sz w:val="28"/>
          <w:szCs w:val="28"/>
        </w:rPr>
      </w:pPr>
      <w:r>
        <w:rPr>
          <w:rFonts w:hint="eastAsia" w:ascii="宋体" w:hAnsi="宋体" w:cs="宋体"/>
          <w:sz w:val="28"/>
          <w:szCs w:val="28"/>
        </w:rPr>
        <w:t>四、公司资产、负债情况</w:t>
      </w:r>
    </w:p>
    <w:tbl>
      <w:tblPr>
        <w:tblStyle w:val="13"/>
        <w:tblW w:w="8969" w:type="dxa"/>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6"/>
        <w:gridCol w:w="1672"/>
        <w:gridCol w:w="308"/>
        <w:gridCol w:w="1960"/>
        <w:gridCol w:w="42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1" w:hRule="atLeast"/>
        </w:trPr>
        <w:tc>
          <w:tcPr>
            <w:tcW w:w="776" w:type="dxa"/>
            <w:vMerge w:val="restart"/>
            <w:tcBorders>
              <w:top w:val="double" w:color="auto" w:sz="12" w:space="0"/>
              <w:left w:val="double" w:color="auto" w:sz="12" w:space="0"/>
              <w:right w:val="single" w:color="auto" w:sz="4" w:space="0"/>
            </w:tcBorders>
            <w:vAlign w:val="center"/>
          </w:tcPr>
          <w:p>
            <w:pPr>
              <w:spacing w:after="0" w:line="360" w:lineRule="auto"/>
              <w:ind w:firstLine="0" w:firstLineChars="0"/>
              <w:rPr>
                <w:rFonts w:ascii="仿宋_GB2312" w:eastAsia="仿宋_GB2312"/>
                <w:sz w:val="44"/>
                <w:szCs w:val="44"/>
              </w:rPr>
            </w:pPr>
            <w:r>
              <w:rPr>
                <w:rFonts w:hint="eastAsia" w:ascii="仿宋_GB2312" w:eastAsia="仿宋_GB2312"/>
                <w:b/>
                <w:sz w:val="28"/>
                <w:szCs w:val="28"/>
              </w:rPr>
              <w:t>转让标的所在企业基本情况</w:t>
            </w:r>
          </w:p>
        </w:tc>
        <w:tc>
          <w:tcPr>
            <w:tcW w:w="8193" w:type="dxa"/>
            <w:gridSpan w:val="4"/>
            <w:tcBorders>
              <w:top w:val="double" w:color="auto" w:sz="12" w:space="0"/>
              <w:left w:val="single" w:color="auto" w:sz="4" w:space="0"/>
              <w:right w:val="double" w:color="auto" w:sz="12" w:space="0"/>
            </w:tcBorders>
            <w:vAlign w:val="center"/>
          </w:tcPr>
          <w:p>
            <w:pPr>
              <w:spacing w:after="0" w:line="360" w:lineRule="auto"/>
              <w:ind w:firstLine="723"/>
              <w:jc w:val="center"/>
              <w:rPr>
                <w:rFonts w:ascii="仿宋_GB2312" w:eastAsia="仿宋_GB2312"/>
                <w:sz w:val="44"/>
                <w:szCs w:val="44"/>
              </w:rPr>
            </w:pPr>
            <w:r>
              <w:rPr>
                <w:rFonts w:hint="eastAsia" w:ascii="仿宋_GB2312" w:eastAsia="仿宋_GB2312"/>
                <w:b/>
                <w:sz w:val="36"/>
                <w:szCs w:val="36"/>
              </w:rPr>
              <w:t>主要财务会计资料</w:t>
            </w:r>
            <w:r>
              <w:rPr>
                <w:rFonts w:hint="eastAsia" w:ascii="仿宋_GB2312" w:eastAsia="仿宋_GB2312"/>
                <w:szCs w:val="21"/>
              </w:rPr>
              <w:t>（单位：元）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776" w:type="dxa"/>
            <w:vMerge w:val="continue"/>
            <w:tcBorders>
              <w:left w:val="double" w:color="auto" w:sz="12" w:space="0"/>
              <w:right w:val="single" w:color="auto" w:sz="4" w:space="0"/>
            </w:tcBorders>
            <w:vAlign w:val="center"/>
          </w:tcPr>
          <w:p>
            <w:pPr>
              <w:spacing w:after="0" w:line="360" w:lineRule="auto"/>
              <w:ind w:firstLine="422"/>
              <w:jc w:val="center"/>
              <w:rPr>
                <w:rFonts w:ascii="仿宋_GB2312" w:eastAsia="仿宋_GB2312"/>
                <w:b/>
                <w:szCs w:val="21"/>
              </w:rPr>
            </w:pPr>
          </w:p>
        </w:tc>
        <w:tc>
          <w:tcPr>
            <w:tcW w:w="3940" w:type="dxa"/>
            <w:gridSpan w:val="3"/>
            <w:vMerge w:val="restart"/>
            <w:tcBorders>
              <w:left w:val="single" w:color="auto" w:sz="4" w:space="0"/>
            </w:tcBorders>
            <w:vAlign w:val="center"/>
          </w:tcPr>
          <w:p>
            <w:pPr>
              <w:spacing w:after="0" w:line="360" w:lineRule="auto"/>
              <w:ind w:firstLine="422"/>
              <w:jc w:val="center"/>
              <w:rPr>
                <w:rFonts w:ascii="仿宋_GB2312" w:eastAsia="仿宋_GB2312"/>
                <w:b/>
                <w:szCs w:val="21"/>
              </w:rPr>
            </w:pPr>
            <w:r>
              <w:rPr>
                <w:rFonts w:hint="eastAsia" w:ascii="仿宋_GB2312" w:eastAsia="仿宋_GB2312"/>
                <w:b/>
                <w:szCs w:val="21"/>
              </w:rPr>
              <w:t>科目\年度、数据来源</w:t>
            </w:r>
          </w:p>
        </w:tc>
        <w:tc>
          <w:tcPr>
            <w:tcW w:w="4253" w:type="dxa"/>
            <w:tcBorders>
              <w:left w:val="single" w:color="auto" w:sz="4" w:space="0"/>
              <w:bottom w:val="single" w:color="auto" w:sz="4" w:space="0"/>
              <w:right w:val="double" w:color="auto" w:sz="12" w:space="0"/>
            </w:tcBorders>
            <w:vAlign w:val="center"/>
          </w:tcPr>
          <w:p>
            <w:pPr>
              <w:spacing w:after="0" w:line="360" w:lineRule="auto"/>
              <w:ind w:firstLine="0" w:firstLineChars="0"/>
              <w:jc w:val="center"/>
              <w:rPr>
                <w:rFonts w:ascii="仿宋_GB2312" w:eastAsia="仿宋_GB2312"/>
                <w:b/>
                <w:szCs w:val="21"/>
              </w:rPr>
            </w:pPr>
            <w:r>
              <w:rPr>
                <w:rFonts w:hint="eastAsia" w:ascii="仿宋_GB2312" w:eastAsia="仿宋_GB2312"/>
                <w:b/>
                <w:szCs w:val="21"/>
              </w:rPr>
              <w:t>2018年6月30日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trPr>
        <w:tc>
          <w:tcPr>
            <w:tcW w:w="776" w:type="dxa"/>
            <w:vMerge w:val="continue"/>
            <w:tcBorders>
              <w:left w:val="double" w:color="auto" w:sz="12" w:space="0"/>
              <w:right w:val="single" w:color="auto" w:sz="4" w:space="0"/>
            </w:tcBorders>
            <w:vAlign w:val="center"/>
          </w:tcPr>
          <w:p>
            <w:pPr>
              <w:spacing w:after="0" w:line="360" w:lineRule="auto"/>
              <w:ind w:firstLine="422"/>
              <w:jc w:val="center"/>
              <w:rPr>
                <w:rFonts w:ascii="仿宋_GB2312" w:eastAsia="仿宋_GB2312"/>
                <w:b/>
                <w:szCs w:val="21"/>
              </w:rPr>
            </w:pPr>
          </w:p>
        </w:tc>
        <w:tc>
          <w:tcPr>
            <w:tcW w:w="3940" w:type="dxa"/>
            <w:gridSpan w:val="3"/>
            <w:vMerge w:val="continue"/>
            <w:tcBorders>
              <w:left w:val="single" w:color="auto" w:sz="4" w:space="0"/>
            </w:tcBorders>
            <w:vAlign w:val="center"/>
          </w:tcPr>
          <w:p>
            <w:pPr>
              <w:spacing w:after="0" w:line="360" w:lineRule="auto"/>
              <w:ind w:firstLine="422"/>
              <w:jc w:val="center"/>
              <w:rPr>
                <w:rFonts w:ascii="仿宋_GB2312" w:eastAsia="仿宋_GB2312"/>
                <w:b/>
                <w:szCs w:val="21"/>
              </w:rPr>
            </w:pPr>
          </w:p>
        </w:tc>
        <w:tc>
          <w:tcPr>
            <w:tcW w:w="4253" w:type="dxa"/>
            <w:tcBorders>
              <w:top w:val="single" w:color="auto" w:sz="4" w:space="0"/>
              <w:left w:val="single" w:color="auto" w:sz="4" w:space="0"/>
              <w:bottom w:val="single" w:color="auto" w:sz="4" w:space="0"/>
              <w:right w:val="double" w:color="auto" w:sz="12" w:space="0"/>
            </w:tcBorders>
            <w:vAlign w:val="center"/>
          </w:tcPr>
          <w:p>
            <w:pPr>
              <w:spacing w:after="0" w:line="360" w:lineRule="auto"/>
              <w:ind w:right="45" w:firstLine="0" w:firstLineChars="0"/>
              <w:jc w:val="center"/>
              <w:rPr>
                <w:rFonts w:ascii="宋体" w:hAnsi="宋体" w:cs="宋体"/>
                <w:b/>
                <w:szCs w:val="21"/>
              </w:rPr>
            </w:pPr>
            <w:r>
              <w:rPr>
                <w:rFonts w:hint="eastAsia" w:ascii="仿宋" w:hAnsi="仿宋" w:eastAsia="仿宋" w:cs="仿宋"/>
                <w:b/>
                <w:sz w:val="18"/>
                <w:szCs w:val="18"/>
              </w:rPr>
              <w:t>企业报表数据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vAlign w:val="center"/>
          </w:tcPr>
          <w:p>
            <w:pPr>
              <w:spacing w:after="0" w:line="360" w:lineRule="auto"/>
              <w:ind w:firstLine="420"/>
              <w:jc w:val="center"/>
              <w:rPr>
                <w:rFonts w:ascii="方正姚体" w:eastAsia="方正姚体"/>
                <w:szCs w:val="21"/>
              </w:rPr>
            </w:pPr>
            <w:bookmarkStart w:id="9" w:name="here1" w:colFirst="2" w:colLast="3"/>
          </w:p>
        </w:tc>
        <w:tc>
          <w:tcPr>
            <w:tcW w:w="1672" w:type="dxa"/>
            <w:vMerge w:val="restart"/>
            <w:tcBorders>
              <w:left w:val="single" w:color="auto" w:sz="4" w:space="0"/>
            </w:tcBorders>
            <w:vAlign w:val="center"/>
          </w:tcPr>
          <w:p>
            <w:pPr>
              <w:spacing w:after="0" w:line="360" w:lineRule="auto"/>
              <w:ind w:firstLine="0" w:firstLineChars="0"/>
              <w:rPr>
                <w:rFonts w:ascii="仿宋_GB2312" w:eastAsia="仿宋_GB2312"/>
                <w:b/>
                <w:szCs w:val="21"/>
              </w:rPr>
            </w:pPr>
            <w:r>
              <w:rPr>
                <w:rFonts w:hint="eastAsia" w:ascii="仿宋_GB2312" w:eastAsia="仿宋_GB2312"/>
                <w:b/>
                <w:szCs w:val="21"/>
              </w:rPr>
              <w:t>资产负债表</w:t>
            </w:r>
          </w:p>
        </w:tc>
        <w:tc>
          <w:tcPr>
            <w:tcW w:w="2268" w:type="dxa"/>
            <w:gridSpan w:val="2"/>
          </w:tcPr>
          <w:p>
            <w:pPr>
              <w:spacing w:after="0" w:line="360" w:lineRule="auto"/>
              <w:ind w:firstLine="361"/>
              <w:rPr>
                <w:rFonts w:ascii="宋体" w:hAnsi="宋体" w:cs="宋体"/>
                <w:sz w:val="18"/>
                <w:szCs w:val="18"/>
              </w:rPr>
            </w:pPr>
            <w:r>
              <w:rPr>
                <w:rFonts w:hint="eastAsia" w:ascii="宋体" w:hAnsi="宋体" w:cs="宋体"/>
                <w:b/>
                <w:sz w:val="18"/>
                <w:szCs w:val="18"/>
              </w:rPr>
              <w:t>流动资产</w:t>
            </w:r>
          </w:p>
        </w:tc>
        <w:tc>
          <w:tcPr>
            <w:tcW w:w="4253" w:type="dxa"/>
            <w:tcBorders>
              <w:top w:val="single" w:color="auto" w:sz="4" w:space="0"/>
              <w:left w:val="single" w:color="auto" w:sz="4" w:space="0"/>
              <w:right w:val="double" w:color="auto" w:sz="12" w:space="0"/>
            </w:tcBorders>
          </w:tcPr>
          <w:p>
            <w:pPr>
              <w:spacing w:after="0" w:line="360" w:lineRule="auto"/>
              <w:ind w:firstLine="360"/>
              <w:jc w:val="center"/>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vAlign w:val="center"/>
          </w:tcPr>
          <w:p>
            <w:pPr>
              <w:spacing w:after="0" w:line="360" w:lineRule="auto"/>
              <w:ind w:firstLine="420"/>
              <w:jc w:val="center"/>
              <w:rPr>
                <w:rFonts w:ascii="方正姚体" w:eastAsia="方正姚体"/>
                <w:szCs w:val="21"/>
              </w:rPr>
            </w:pPr>
          </w:p>
        </w:tc>
        <w:tc>
          <w:tcPr>
            <w:tcW w:w="1672" w:type="dxa"/>
            <w:vMerge w:val="continue"/>
            <w:tcBorders>
              <w:left w:val="single" w:color="auto" w:sz="4" w:space="0"/>
            </w:tcBorders>
            <w:vAlign w:val="center"/>
          </w:tcPr>
          <w:p>
            <w:pPr>
              <w:spacing w:after="0" w:line="360" w:lineRule="auto"/>
              <w:ind w:firstLine="0" w:firstLineChars="0"/>
              <w:rPr>
                <w:rFonts w:ascii="方正姚体" w:eastAsia="方正姚体"/>
                <w:szCs w:val="21"/>
              </w:rPr>
            </w:pPr>
          </w:p>
        </w:tc>
        <w:tc>
          <w:tcPr>
            <w:tcW w:w="2268" w:type="dxa"/>
            <w:gridSpan w:val="2"/>
          </w:tcPr>
          <w:p>
            <w:pPr>
              <w:spacing w:after="0" w:line="360" w:lineRule="auto"/>
              <w:ind w:firstLine="360"/>
              <w:jc w:val="left"/>
              <w:rPr>
                <w:rFonts w:ascii="宋体" w:hAnsi="宋体" w:cs="宋体"/>
                <w:sz w:val="18"/>
                <w:szCs w:val="18"/>
              </w:rPr>
            </w:pPr>
            <w:r>
              <w:rPr>
                <w:rFonts w:hint="eastAsia" w:ascii="宋体" w:hAnsi="宋体" w:cs="宋体"/>
                <w:sz w:val="18"/>
                <w:szCs w:val="18"/>
              </w:rPr>
              <w:t>其中：货币资金</w:t>
            </w:r>
          </w:p>
        </w:tc>
        <w:tc>
          <w:tcPr>
            <w:tcW w:w="4253" w:type="dxa"/>
            <w:tcBorders>
              <w:top w:val="single" w:color="auto" w:sz="4" w:space="0"/>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144,724,849.35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672" w:type="dxa"/>
            <w:vMerge w:val="continue"/>
            <w:tcBorders>
              <w:left w:val="single" w:color="auto" w:sz="4" w:space="0"/>
            </w:tcBorders>
          </w:tcPr>
          <w:p>
            <w:pPr>
              <w:spacing w:after="0" w:line="360" w:lineRule="auto"/>
              <w:ind w:firstLine="420"/>
              <w:rPr>
                <w:rFonts w:ascii="方正姚体" w:eastAsia="方正姚体"/>
                <w:szCs w:val="21"/>
              </w:rPr>
            </w:pPr>
          </w:p>
        </w:tc>
        <w:tc>
          <w:tcPr>
            <w:tcW w:w="2268" w:type="dxa"/>
            <w:gridSpan w:val="2"/>
          </w:tcPr>
          <w:p>
            <w:pPr>
              <w:spacing w:after="0" w:line="360" w:lineRule="auto"/>
              <w:ind w:firstLine="540" w:firstLineChars="300"/>
              <w:rPr>
                <w:rFonts w:ascii="宋体" w:hAnsi="宋体" w:cs="宋体"/>
                <w:sz w:val="18"/>
                <w:szCs w:val="18"/>
              </w:rPr>
            </w:pPr>
            <w:r>
              <w:rPr>
                <w:rFonts w:hint="eastAsia" w:ascii="宋体" w:hAnsi="宋体" w:cs="宋体"/>
                <w:sz w:val="18"/>
                <w:szCs w:val="18"/>
              </w:rPr>
              <w:t>其他应收款净额</w:t>
            </w:r>
          </w:p>
        </w:tc>
        <w:tc>
          <w:tcPr>
            <w:tcW w:w="4253" w:type="dxa"/>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90,223.90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672" w:type="dxa"/>
            <w:vMerge w:val="continue"/>
            <w:tcBorders>
              <w:left w:val="single" w:color="auto" w:sz="4" w:space="0"/>
            </w:tcBorders>
          </w:tcPr>
          <w:p>
            <w:pPr>
              <w:spacing w:after="0" w:line="360" w:lineRule="auto"/>
              <w:ind w:firstLine="420"/>
              <w:rPr>
                <w:rFonts w:ascii="方正姚体" w:eastAsia="方正姚体"/>
                <w:szCs w:val="21"/>
              </w:rPr>
            </w:pPr>
          </w:p>
        </w:tc>
        <w:tc>
          <w:tcPr>
            <w:tcW w:w="2268" w:type="dxa"/>
            <w:gridSpan w:val="2"/>
          </w:tcPr>
          <w:p>
            <w:pPr>
              <w:spacing w:after="0" w:line="360" w:lineRule="auto"/>
              <w:ind w:firstLine="361"/>
              <w:rPr>
                <w:rFonts w:ascii="宋体" w:hAnsi="宋体" w:cs="宋体"/>
                <w:sz w:val="18"/>
                <w:szCs w:val="18"/>
              </w:rPr>
            </w:pPr>
            <w:r>
              <w:rPr>
                <w:rFonts w:hint="eastAsia" w:ascii="宋体" w:hAnsi="宋体" w:cs="宋体"/>
                <w:b/>
                <w:sz w:val="18"/>
                <w:szCs w:val="18"/>
              </w:rPr>
              <w:t>非流动资产</w:t>
            </w:r>
          </w:p>
        </w:tc>
        <w:tc>
          <w:tcPr>
            <w:tcW w:w="4253" w:type="dxa"/>
            <w:tcBorders>
              <w:left w:val="single" w:color="auto" w:sz="4" w:space="0"/>
              <w:right w:val="double" w:color="auto" w:sz="12" w:space="0"/>
            </w:tcBorders>
            <w:vAlign w:val="center"/>
          </w:tcPr>
          <w:p>
            <w:pPr>
              <w:spacing w:after="0" w:line="360" w:lineRule="auto"/>
              <w:ind w:firstLine="360"/>
              <w:jc w:val="center"/>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672" w:type="dxa"/>
            <w:vMerge w:val="continue"/>
            <w:tcBorders>
              <w:left w:val="single" w:color="auto" w:sz="4" w:space="0"/>
            </w:tcBorders>
          </w:tcPr>
          <w:p>
            <w:pPr>
              <w:spacing w:after="0" w:line="360" w:lineRule="auto"/>
              <w:ind w:firstLine="420"/>
              <w:rPr>
                <w:rFonts w:ascii="方正姚体" w:eastAsia="方正姚体"/>
                <w:szCs w:val="21"/>
              </w:rPr>
            </w:pPr>
          </w:p>
        </w:tc>
        <w:tc>
          <w:tcPr>
            <w:tcW w:w="2268" w:type="dxa"/>
            <w:gridSpan w:val="2"/>
          </w:tcPr>
          <w:p>
            <w:pPr>
              <w:spacing w:after="0" w:line="360" w:lineRule="auto"/>
              <w:ind w:firstLine="540" w:firstLineChars="300"/>
              <w:rPr>
                <w:rFonts w:ascii="宋体" w:hAnsi="宋体" w:cs="宋体"/>
                <w:sz w:val="18"/>
                <w:szCs w:val="18"/>
              </w:rPr>
            </w:pPr>
            <w:r>
              <w:rPr>
                <w:rFonts w:hint="eastAsia" w:ascii="宋体" w:hAnsi="宋体" w:cs="宋体"/>
                <w:sz w:val="18"/>
                <w:szCs w:val="18"/>
              </w:rPr>
              <w:t>长期股权投资</w:t>
            </w:r>
          </w:p>
        </w:tc>
        <w:tc>
          <w:tcPr>
            <w:tcW w:w="4253" w:type="dxa"/>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189,884,850.00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672" w:type="dxa"/>
            <w:vMerge w:val="continue"/>
            <w:tcBorders>
              <w:left w:val="single" w:color="auto" w:sz="4" w:space="0"/>
            </w:tcBorders>
          </w:tcPr>
          <w:p>
            <w:pPr>
              <w:spacing w:after="0" w:line="360" w:lineRule="auto"/>
              <w:ind w:firstLine="420"/>
              <w:rPr>
                <w:rFonts w:ascii="方正姚体" w:eastAsia="方正姚体"/>
                <w:szCs w:val="21"/>
              </w:rPr>
            </w:pPr>
          </w:p>
        </w:tc>
        <w:tc>
          <w:tcPr>
            <w:tcW w:w="2268" w:type="dxa"/>
            <w:gridSpan w:val="2"/>
          </w:tcPr>
          <w:p>
            <w:pPr>
              <w:spacing w:after="0" w:line="360" w:lineRule="auto"/>
              <w:ind w:firstLine="540" w:firstLineChars="300"/>
              <w:rPr>
                <w:rFonts w:ascii="宋体" w:hAnsi="宋体" w:cs="宋体"/>
                <w:sz w:val="18"/>
                <w:szCs w:val="18"/>
              </w:rPr>
            </w:pPr>
            <w:r>
              <w:rPr>
                <w:rFonts w:hint="eastAsia" w:ascii="宋体" w:hAnsi="宋体" w:cs="宋体"/>
                <w:sz w:val="18"/>
                <w:szCs w:val="18"/>
              </w:rPr>
              <w:t>固定资产</w:t>
            </w:r>
          </w:p>
        </w:tc>
        <w:tc>
          <w:tcPr>
            <w:tcW w:w="4253" w:type="dxa"/>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60,042.69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672" w:type="dxa"/>
            <w:vMerge w:val="continue"/>
            <w:tcBorders>
              <w:left w:val="single" w:color="auto" w:sz="4" w:space="0"/>
            </w:tcBorders>
          </w:tcPr>
          <w:p>
            <w:pPr>
              <w:spacing w:after="0" w:line="360" w:lineRule="auto"/>
              <w:ind w:firstLine="420"/>
              <w:rPr>
                <w:rFonts w:ascii="方正姚体" w:eastAsia="方正姚体"/>
                <w:szCs w:val="21"/>
              </w:rPr>
            </w:pPr>
          </w:p>
        </w:tc>
        <w:tc>
          <w:tcPr>
            <w:tcW w:w="2268" w:type="dxa"/>
            <w:gridSpan w:val="2"/>
          </w:tcPr>
          <w:p>
            <w:pPr>
              <w:spacing w:after="0" w:line="360" w:lineRule="auto"/>
              <w:ind w:firstLine="540" w:firstLineChars="300"/>
              <w:rPr>
                <w:rFonts w:ascii="宋体" w:hAnsi="宋体" w:cs="宋体"/>
                <w:sz w:val="18"/>
                <w:szCs w:val="18"/>
              </w:rPr>
            </w:pPr>
            <w:r>
              <w:rPr>
                <w:rFonts w:hint="eastAsia" w:ascii="宋体" w:hAnsi="宋体" w:cs="宋体"/>
                <w:sz w:val="18"/>
                <w:szCs w:val="18"/>
              </w:rPr>
              <w:t>无形资产净值</w:t>
            </w:r>
          </w:p>
        </w:tc>
        <w:tc>
          <w:tcPr>
            <w:tcW w:w="4253" w:type="dxa"/>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9,088,333.15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672" w:type="dxa"/>
            <w:vMerge w:val="continue"/>
            <w:tcBorders>
              <w:left w:val="single" w:color="auto" w:sz="4" w:space="0"/>
            </w:tcBorders>
          </w:tcPr>
          <w:p>
            <w:pPr>
              <w:spacing w:after="0" w:line="360" w:lineRule="auto"/>
              <w:ind w:firstLine="420"/>
              <w:rPr>
                <w:rFonts w:ascii="方正姚体" w:eastAsia="方正姚体"/>
                <w:szCs w:val="21"/>
              </w:rPr>
            </w:pPr>
          </w:p>
        </w:tc>
        <w:tc>
          <w:tcPr>
            <w:tcW w:w="2268" w:type="dxa"/>
            <w:gridSpan w:val="2"/>
          </w:tcPr>
          <w:p>
            <w:pPr>
              <w:spacing w:after="0" w:line="360" w:lineRule="auto"/>
              <w:ind w:firstLine="540" w:firstLineChars="300"/>
              <w:rPr>
                <w:rFonts w:ascii="宋体" w:hAnsi="宋体" w:cs="宋体"/>
                <w:sz w:val="18"/>
                <w:szCs w:val="18"/>
              </w:rPr>
            </w:pPr>
            <w:r>
              <w:rPr>
                <w:rFonts w:hint="eastAsia" w:ascii="宋体" w:hAnsi="宋体" w:cs="宋体"/>
                <w:sz w:val="18"/>
                <w:szCs w:val="18"/>
              </w:rPr>
              <w:t>开发支出</w:t>
            </w:r>
          </w:p>
        </w:tc>
        <w:tc>
          <w:tcPr>
            <w:tcW w:w="4253" w:type="dxa"/>
            <w:tcBorders>
              <w:left w:val="single" w:color="auto" w:sz="4" w:space="0"/>
              <w:right w:val="double" w:color="auto" w:sz="12" w:space="0"/>
            </w:tcBorders>
            <w:vAlign w:val="center"/>
          </w:tcPr>
          <w:p>
            <w:pPr>
              <w:spacing w:after="0" w:line="360" w:lineRule="auto"/>
              <w:ind w:firstLine="360"/>
              <w:jc w:val="center"/>
              <w:rPr>
                <w:rFonts w:ascii="宋体" w:hAnsi="宋体" w:cs="宋体"/>
                <w:sz w:val="18"/>
                <w:szCs w:val="18"/>
              </w:rPr>
            </w:pPr>
            <w:r>
              <w:rPr>
                <w:rFonts w:hint="eastAsia" w:ascii="宋体" w:hAnsi="宋体" w:cs="宋体"/>
                <w:sz w:val="18"/>
                <w:szCs w:val="18"/>
              </w:rPr>
              <w:t>2,593,274.19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672" w:type="dxa"/>
            <w:vMerge w:val="continue"/>
            <w:tcBorders>
              <w:left w:val="single" w:color="auto" w:sz="4" w:space="0"/>
            </w:tcBorders>
          </w:tcPr>
          <w:p>
            <w:pPr>
              <w:spacing w:after="0" w:line="360" w:lineRule="auto"/>
              <w:ind w:firstLine="420"/>
              <w:rPr>
                <w:rFonts w:ascii="方正姚体" w:eastAsia="方正姚体"/>
                <w:szCs w:val="21"/>
              </w:rPr>
            </w:pPr>
          </w:p>
        </w:tc>
        <w:tc>
          <w:tcPr>
            <w:tcW w:w="2268" w:type="dxa"/>
            <w:gridSpan w:val="2"/>
          </w:tcPr>
          <w:p>
            <w:pPr>
              <w:spacing w:after="0" w:line="360" w:lineRule="auto"/>
              <w:ind w:firstLine="540" w:firstLineChars="300"/>
              <w:rPr>
                <w:rFonts w:ascii="宋体" w:hAnsi="宋体" w:cs="宋体"/>
                <w:sz w:val="18"/>
                <w:szCs w:val="18"/>
              </w:rPr>
            </w:pPr>
            <w:r>
              <w:rPr>
                <w:rFonts w:hint="eastAsia" w:ascii="宋体" w:hAnsi="宋体" w:cs="宋体"/>
                <w:sz w:val="18"/>
                <w:szCs w:val="18"/>
              </w:rPr>
              <w:t>长期待摊费用</w:t>
            </w:r>
          </w:p>
        </w:tc>
        <w:tc>
          <w:tcPr>
            <w:tcW w:w="4253" w:type="dxa"/>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225,000.00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672" w:type="dxa"/>
            <w:vMerge w:val="continue"/>
            <w:tcBorders>
              <w:left w:val="single" w:color="auto" w:sz="4" w:space="0"/>
            </w:tcBorders>
          </w:tcPr>
          <w:p>
            <w:pPr>
              <w:spacing w:after="0" w:line="360" w:lineRule="auto"/>
              <w:ind w:firstLine="420"/>
              <w:rPr>
                <w:rFonts w:ascii="方正姚体" w:eastAsia="方正姚体"/>
                <w:szCs w:val="21"/>
              </w:rPr>
            </w:pPr>
          </w:p>
        </w:tc>
        <w:tc>
          <w:tcPr>
            <w:tcW w:w="2268" w:type="dxa"/>
            <w:gridSpan w:val="2"/>
          </w:tcPr>
          <w:p>
            <w:pPr>
              <w:spacing w:after="0" w:line="360" w:lineRule="auto"/>
              <w:ind w:firstLine="361"/>
              <w:rPr>
                <w:rFonts w:ascii="宋体" w:hAnsi="宋体" w:cs="宋体"/>
                <w:sz w:val="18"/>
                <w:szCs w:val="18"/>
              </w:rPr>
            </w:pPr>
            <w:r>
              <w:rPr>
                <w:rFonts w:hint="eastAsia" w:ascii="宋体" w:hAnsi="宋体" w:cs="宋体"/>
                <w:b/>
                <w:sz w:val="18"/>
                <w:szCs w:val="18"/>
              </w:rPr>
              <w:t>资产合计</w:t>
            </w:r>
          </w:p>
        </w:tc>
        <w:tc>
          <w:tcPr>
            <w:tcW w:w="4253" w:type="dxa"/>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436,814,569.78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672" w:type="dxa"/>
            <w:vMerge w:val="continue"/>
            <w:tcBorders>
              <w:left w:val="single" w:color="auto" w:sz="4" w:space="0"/>
            </w:tcBorders>
          </w:tcPr>
          <w:p>
            <w:pPr>
              <w:spacing w:after="0" w:line="360" w:lineRule="auto"/>
              <w:ind w:firstLine="420"/>
              <w:rPr>
                <w:rFonts w:ascii="方正姚体" w:eastAsia="方正姚体"/>
                <w:szCs w:val="21"/>
              </w:rPr>
            </w:pPr>
          </w:p>
        </w:tc>
        <w:tc>
          <w:tcPr>
            <w:tcW w:w="2268" w:type="dxa"/>
            <w:gridSpan w:val="2"/>
          </w:tcPr>
          <w:p>
            <w:pPr>
              <w:spacing w:after="0" w:line="360" w:lineRule="auto"/>
              <w:ind w:firstLine="361"/>
              <w:rPr>
                <w:rFonts w:ascii="宋体" w:hAnsi="宋体" w:cs="宋体"/>
                <w:b/>
                <w:sz w:val="18"/>
                <w:szCs w:val="18"/>
              </w:rPr>
            </w:pPr>
            <w:r>
              <w:rPr>
                <w:rFonts w:hint="eastAsia" w:ascii="宋体" w:hAnsi="宋体" w:cs="宋体"/>
                <w:b/>
                <w:sz w:val="18"/>
                <w:szCs w:val="18"/>
              </w:rPr>
              <w:t>流动负债</w:t>
            </w:r>
          </w:p>
        </w:tc>
        <w:tc>
          <w:tcPr>
            <w:tcW w:w="4253" w:type="dxa"/>
            <w:tcBorders>
              <w:left w:val="single" w:color="auto" w:sz="4" w:space="0"/>
              <w:right w:val="double" w:color="auto" w:sz="12" w:space="0"/>
            </w:tcBorders>
          </w:tcPr>
          <w:p>
            <w:pPr>
              <w:spacing w:after="0" w:line="360" w:lineRule="auto"/>
              <w:ind w:firstLine="360"/>
              <w:jc w:val="center"/>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672" w:type="dxa"/>
            <w:vMerge w:val="continue"/>
            <w:tcBorders>
              <w:left w:val="single" w:color="auto" w:sz="4" w:space="0"/>
            </w:tcBorders>
          </w:tcPr>
          <w:p>
            <w:pPr>
              <w:spacing w:after="0" w:line="360" w:lineRule="auto"/>
              <w:ind w:firstLine="420"/>
              <w:rPr>
                <w:rFonts w:ascii="方正姚体" w:eastAsia="方正姚体"/>
                <w:szCs w:val="21"/>
              </w:rPr>
            </w:pPr>
          </w:p>
        </w:tc>
        <w:tc>
          <w:tcPr>
            <w:tcW w:w="2268" w:type="dxa"/>
            <w:gridSpan w:val="2"/>
          </w:tcPr>
          <w:p>
            <w:pPr>
              <w:spacing w:after="0" w:line="360" w:lineRule="auto"/>
              <w:ind w:firstLine="360"/>
              <w:rPr>
                <w:rFonts w:ascii="宋体" w:hAnsi="宋体" w:cs="宋体"/>
                <w:b/>
                <w:sz w:val="18"/>
                <w:szCs w:val="18"/>
              </w:rPr>
            </w:pPr>
            <w:r>
              <w:rPr>
                <w:rFonts w:hint="eastAsia" w:ascii="宋体" w:hAnsi="宋体" w:cs="宋体"/>
                <w:sz w:val="18"/>
                <w:szCs w:val="18"/>
              </w:rPr>
              <w:t>其中：应付账款</w:t>
            </w:r>
          </w:p>
        </w:tc>
        <w:tc>
          <w:tcPr>
            <w:tcW w:w="4253" w:type="dxa"/>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10,685.00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672" w:type="dxa"/>
            <w:vMerge w:val="continue"/>
            <w:tcBorders>
              <w:left w:val="single" w:color="auto" w:sz="4" w:space="0"/>
            </w:tcBorders>
          </w:tcPr>
          <w:p>
            <w:pPr>
              <w:spacing w:after="0" w:line="360" w:lineRule="auto"/>
              <w:ind w:firstLine="420"/>
              <w:rPr>
                <w:rFonts w:ascii="方正姚体" w:eastAsia="方正姚体"/>
                <w:szCs w:val="21"/>
              </w:rPr>
            </w:pPr>
          </w:p>
        </w:tc>
        <w:tc>
          <w:tcPr>
            <w:tcW w:w="2268" w:type="dxa"/>
            <w:gridSpan w:val="2"/>
          </w:tcPr>
          <w:p>
            <w:pPr>
              <w:spacing w:after="0" w:line="360" w:lineRule="auto"/>
              <w:ind w:firstLine="540" w:firstLineChars="300"/>
              <w:rPr>
                <w:rFonts w:ascii="宋体" w:hAnsi="宋体" w:cs="宋体"/>
                <w:sz w:val="18"/>
                <w:szCs w:val="18"/>
              </w:rPr>
            </w:pPr>
            <w:r>
              <w:rPr>
                <w:rFonts w:hint="eastAsia" w:ascii="宋体" w:hAnsi="宋体" w:cs="宋体"/>
                <w:sz w:val="18"/>
                <w:szCs w:val="18"/>
              </w:rPr>
              <w:t>应交税费</w:t>
            </w:r>
          </w:p>
        </w:tc>
        <w:tc>
          <w:tcPr>
            <w:tcW w:w="4253" w:type="dxa"/>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1,785.42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672" w:type="dxa"/>
            <w:vMerge w:val="continue"/>
            <w:tcBorders>
              <w:left w:val="single" w:color="auto" w:sz="4" w:space="0"/>
            </w:tcBorders>
          </w:tcPr>
          <w:p>
            <w:pPr>
              <w:spacing w:after="0" w:line="360" w:lineRule="auto"/>
              <w:ind w:firstLine="420"/>
              <w:rPr>
                <w:rFonts w:ascii="方正姚体" w:eastAsia="方正姚体"/>
                <w:szCs w:val="21"/>
              </w:rPr>
            </w:pPr>
          </w:p>
        </w:tc>
        <w:tc>
          <w:tcPr>
            <w:tcW w:w="2268" w:type="dxa"/>
            <w:gridSpan w:val="2"/>
          </w:tcPr>
          <w:p>
            <w:pPr>
              <w:spacing w:after="0" w:line="360" w:lineRule="auto"/>
              <w:ind w:firstLine="540" w:firstLineChars="300"/>
              <w:rPr>
                <w:rFonts w:ascii="宋体" w:hAnsi="宋体" w:cs="宋体"/>
                <w:sz w:val="18"/>
                <w:szCs w:val="18"/>
              </w:rPr>
            </w:pPr>
            <w:r>
              <w:rPr>
                <w:rFonts w:hint="eastAsia" w:ascii="宋体" w:hAnsi="宋体" w:cs="宋体"/>
                <w:sz w:val="18"/>
                <w:szCs w:val="18"/>
              </w:rPr>
              <w:t>其他应付款</w:t>
            </w:r>
          </w:p>
        </w:tc>
        <w:tc>
          <w:tcPr>
            <w:tcW w:w="4253" w:type="dxa"/>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211.47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672" w:type="dxa"/>
            <w:vMerge w:val="continue"/>
            <w:tcBorders>
              <w:left w:val="single" w:color="auto" w:sz="4" w:space="0"/>
            </w:tcBorders>
          </w:tcPr>
          <w:p>
            <w:pPr>
              <w:spacing w:after="0" w:line="360" w:lineRule="auto"/>
              <w:ind w:firstLine="420"/>
              <w:rPr>
                <w:rFonts w:ascii="方正姚体" w:eastAsia="方正姚体"/>
                <w:szCs w:val="21"/>
              </w:rPr>
            </w:pPr>
          </w:p>
        </w:tc>
        <w:tc>
          <w:tcPr>
            <w:tcW w:w="2268" w:type="dxa"/>
            <w:gridSpan w:val="2"/>
          </w:tcPr>
          <w:p>
            <w:pPr>
              <w:spacing w:after="0" w:line="360" w:lineRule="auto"/>
              <w:ind w:firstLine="361"/>
              <w:rPr>
                <w:rFonts w:ascii="宋体" w:hAnsi="宋体" w:cs="宋体"/>
                <w:b/>
                <w:sz w:val="18"/>
                <w:szCs w:val="18"/>
              </w:rPr>
            </w:pPr>
            <w:r>
              <w:rPr>
                <w:rFonts w:hint="eastAsia" w:ascii="宋体" w:hAnsi="宋体" w:cs="宋体"/>
                <w:b/>
                <w:sz w:val="18"/>
                <w:szCs w:val="18"/>
              </w:rPr>
              <w:t>负债合计</w:t>
            </w:r>
          </w:p>
        </w:tc>
        <w:tc>
          <w:tcPr>
            <w:tcW w:w="4253" w:type="dxa"/>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12,681.89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672" w:type="dxa"/>
            <w:vMerge w:val="continue"/>
            <w:tcBorders>
              <w:left w:val="single" w:color="auto" w:sz="4" w:space="0"/>
            </w:tcBorders>
          </w:tcPr>
          <w:p>
            <w:pPr>
              <w:spacing w:after="0" w:line="360" w:lineRule="auto"/>
              <w:ind w:firstLine="420"/>
              <w:rPr>
                <w:rFonts w:ascii="方正姚体" w:eastAsia="方正姚体"/>
                <w:szCs w:val="21"/>
              </w:rPr>
            </w:pPr>
          </w:p>
        </w:tc>
        <w:tc>
          <w:tcPr>
            <w:tcW w:w="2268" w:type="dxa"/>
            <w:gridSpan w:val="2"/>
          </w:tcPr>
          <w:p>
            <w:pPr>
              <w:spacing w:after="0" w:line="360" w:lineRule="auto"/>
              <w:ind w:firstLine="361"/>
              <w:rPr>
                <w:rFonts w:ascii="宋体" w:hAnsi="宋体" w:cs="宋体"/>
                <w:b/>
                <w:sz w:val="18"/>
                <w:szCs w:val="18"/>
              </w:rPr>
            </w:pPr>
            <w:r>
              <w:rPr>
                <w:rFonts w:hint="eastAsia" w:ascii="宋体" w:hAnsi="宋体" w:cs="宋体"/>
                <w:b/>
                <w:sz w:val="18"/>
                <w:szCs w:val="18"/>
              </w:rPr>
              <w:t>所有者权益</w:t>
            </w:r>
          </w:p>
        </w:tc>
        <w:tc>
          <w:tcPr>
            <w:tcW w:w="4253" w:type="dxa"/>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436,801,887.89</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0" w:hRule="atLeast"/>
        </w:trPr>
        <w:tc>
          <w:tcPr>
            <w:tcW w:w="776" w:type="dxa"/>
            <w:vMerge w:val="continue"/>
            <w:tcBorders>
              <w:left w:val="double" w:color="auto" w:sz="12" w:space="0"/>
              <w:right w:val="single" w:color="auto" w:sz="4" w:space="0"/>
            </w:tcBorders>
            <w:vAlign w:val="center"/>
          </w:tcPr>
          <w:p>
            <w:pPr>
              <w:spacing w:after="0" w:line="360" w:lineRule="auto"/>
              <w:ind w:firstLine="422"/>
              <w:jc w:val="center"/>
              <w:rPr>
                <w:rFonts w:ascii="仿宋_GB2312" w:eastAsia="仿宋_GB2312"/>
                <w:b/>
                <w:szCs w:val="21"/>
              </w:rPr>
            </w:pPr>
          </w:p>
        </w:tc>
        <w:tc>
          <w:tcPr>
            <w:tcW w:w="3940" w:type="dxa"/>
            <w:gridSpan w:val="3"/>
            <w:vMerge w:val="restart"/>
            <w:tcBorders>
              <w:left w:val="single" w:color="auto" w:sz="4" w:space="0"/>
            </w:tcBorders>
            <w:vAlign w:val="center"/>
          </w:tcPr>
          <w:p>
            <w:pPr>
              <w:spacing w:after="0" w:line="360" w:lineRule="auto"/>
              <w:ind w:firstLine="422"/>
              <w:jc w:val="center"/>
              <w:rPr>
                <w:rFonts w:ascii="仿宋_GB2312" w:eastAsia="仿宋_GB2312"/>
                <w:b/>
                <w:szCs w:val="21"/>
              </w:rPr>
            </w:pPr>
            <w:r>
              <w:rPr>
                <w:rFonts w:hint="eastAsia" w:ascii="仿宋_GB2312" w:eastAsia="仿宋_GB2312"/>
                <w:b/>
                <w:szCs w:val="21"/>
              </w:rPr>
              <w:t>科目\年度、数据来源</w:t>
            </w:r>
          </w:p>
        </w:tc>
        <w:tc>
          <w:tcPr>
            <w:tcW w:w="4253" w:type="dxa"/>
            <w:tcBorders>
              <w:left w:val="single" w:color="auto" w:sz="4" w:space="0"/>
              <w:bottom w:val="single" w:color="auto" w:sz="4" w:space="0"/>
              <w:right w:val="double" w:color="auto" w:sz="12" w:space="0"/>
            </w:tcBorders>
          </w:tcPr>
          <w:p>
            <w:pPr>
              <w:spacing w:after="0" w:line="360" w:lineRule="auto"/>
              <w:ind w:firstLine="422"/>
              <w:jc w:val="center"/>
              <w:rPr>
                <w:rFonts w:ascii="仿宋_GB2312" w:eastAsia="仿宋_GB2312"/>
                <w:b/>
                <w:szCs w:val="21"/>
              </w:rPr>
            </w:pPr>
            <w:r>
              <w:rPr>
                <w:rFonts w:hint="eastAsia" w:ascii="仿宋_GB2312" w:eastAsia="仿宋_GB2312"/>
                <w:b/>
                <w:szCs w:val="21"/>
              </w:rPr>
              <w:t>2018年1-6月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trPr>
        <w:tc>
          <w:tcPr>
            <w:tcW w:w="776" w:type="dxa"/>
            <w:vMerge w:val="continue"/>
            <w:tcBorders>
              <w:left w:val="double" w:color="auto" w:sz="12" w:space="0"/>
              <w:right w:val="single" w:color="auto" w:sz="4" w:space="0"/>
            </w:tcBorders>
            <w:vAlign w:val="center"/>
          </w:tcPr>
          <w:p>
            <w:pPr>
              <w:spacing w:after="0" w:line="360" w:lineRule="auto"/>
              <w:ind w:firstLine="422"/>
              <w:jc w:val="center"/>
              <w:rPr>
                <w:rFonts w:ascii="仿宋_GB2312" w:eastAsia="仿宋_GB2312"/>
                <w:b/>
                <w:szCs w:val="21"/>
              </w:rPr>
            </w:pPr>
          </w:p>
        </w:tc>
        <w:tc>
          <w:tcPr>
            <w:tcW w:w="3940" w:type="dxa"/>
            <w:gridSpan w:val="3"/>
            <w:vMerge w:val="continue"/>
            <w:tcBorders>
              <w:left w:val="single" w:color="auto" w:sz="4" w:space="0"/>
            </w:tcBorders>
            <w:vAlign w:val="center"/>
          </w:tcPr>
          <w:p>
            <w:pPr>
              <w:spacing w:after="0" w:line="360" w:lineRule="auto"/>
              <w:ind w:firstLine="422"/>
              <w:jc w:val="center"/>
              <w:rPr>
                <w:rFonts w:ascii="仿宋_GB2312" w:eastAsia="仿宋_GB2312"/>
                <w:b/>
                <w:szCs w:val="21"/>
              </w:rPr>
            </w:pPr>
          </w:p>
        </w:tc>
        <w:tc>
          <w:tcPr>
            <w:tcW w:w="4253" w:type="dxa"/>
            <w:tcBorders>
              <w:top w:val="single" w:color="auto" w:sz="4" w:space="0"/>
              <w:left w:val="single" w:color="auto" w:sz="4" w:space="0"/>
              <w:right w:val="double" w:color="auto" w:sz="12" w:space="0"/>
            </w:tcBorders>
            <w:vAlign w:val="center"/>
          </w:tcPr>
          <w:p>
            <w:pPr>
              <w:spacing w:after="0" w:line="360" w:lineRule="auto"/>
              <w:ind w:right="45" w:firstLine="0" w:firstLineChars="0"/>
              <w:jc w:val="center"/>
              <w:rPr>
                <w:rFonts w:ascii="仿宋" w:hAnsi="仿宋" w:eastAsia="仿宋" w:cs="仿宋"/>
                <w:b/>
                <w:sz w:val="18"/>
                <w:szCs w:val="18"/>
              </w:rPr>
            </w:pPr>
            <w:r>
              <w:rPr>
                <w:rFonts w:hint="eastAsia" w:ascii="仿宋" w:hAnsi="仿宋" w:eastAsia="仿宋" w:cs="仿宋"/>
                <w:b/>
                <w:sz w:val="18"/>
                <w:szCs w:val="18"/>
              </w:rPr>
              <w:t>企业报表数据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vAlign w:val="center"/>
          </w:tcPr>
          <w:p>
            <w:pPr>
              <w:spacing w:after="0" w:line="360" w:lineRule="auto"/>
              <w:ind w:firstLine="420"/>
              <w:jc w:val="center"/>
              <w:rPr>
                <w:rFonts w:ascii="方正姚体" w:eastAsia="方正姚体"/>
                <w:szCs w:val="21"/>
              </w:rPr>
            </w:pPr>
          </w:p>
        </w:tc>
        <w:tc>
          <w:tcPr>
            <w:tcW w:w="1980" w:type="dxa"/>
            <w:gridSpan w:val="2"/>
            <w:vMerge w:val="restart"/>
            <w:tcBorders>
              <w:left w:val="single" w:color="auto" w:sz="4" w:space="0"/>
            </w:tcBorders>
            <w:vAlign w:val="center"/>
          </w:tcPr>
          <w:p>
            <w:pPr>
              <w:spacing w:after="0" w:line="360" w:lineRule="auto"/>
              <w:ind w:firstLine="219" w:firstLineChars="104"/>
              <w:jc w:val="left"/>
              <w:rPr>
                <w:rFonts w:ascii="方正姚体" w:eastAsia="方正姚体"/>
                <w:b/>
                <w:szCs w:val="21"/>
              </w:rPr>
            </w:pPr>
            <w:r>
              <w:rPr>
                <w:rFonts w:hint="eastAsia" w:ascii="方正姚体" w:eastAsia="方正姚体"/>
                <w:b/>
                <w:szCs w:val="21"/>
              </w:rPr>
              <w:t>利 润 表</w:t>
            </w:r>
          </w:p>
          <w:p>
            <w:pPr>
              <w:spacing w:after="0" w:line="360" w:lineRule="auto"/>
              <w:ind w:firstLine="256" w:firstLineChars="122"/>
              <w:rPr>
                <w:rFonts w:ascii="方正姚体" w:eastAsia="方正姚体"/>
                <w:szCs w:val="21"/>
              </w:rPr>
            </w:pPr>
          </w:p>
        </w:tc>
        <w:tc>
          <w:tcPr>
            <w:tcW w:w="1960" w:type="dxa"/>
          </w:tcPr>
          <w:p>
            <w:pPr>
              <w:spacing w:after="0" w:line="360" w:lineRule="auto"/>
              <w:ind w:firstLine="360"/>
              <w:rPr>
                <w:rFonts w:ascii="宋体" w:hAnsi="宋体" w:cs="宋体"/>
                <w:sz w:val="18"/>
                <w:szCs w:val="18"/>
              </w:rPr>
            </w:pPr>
            <w:r>
              <w:rPr>
                <w:rFonts w:hint="eastAsia" w:ascii="宋体" w:hAnsi="宋体" w:cs="宋体"/>
                <w:sz w:val="18"/>
                <w:szCs w:val="18"/>
              </w:rPr>
              <w:t>主营业务利润</w:t>
            </w:r>
          </w:p>
        </w:tc>
        <w:tc>
          <w:tcPr>
            <w:tcW w:w="4253" w:type="dxa"/>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980" w:type="dxa"/>
            <w:gridSpan w:val="2"/>
            <w:vMerge w:val="continue"/>
            <w:tcBorders>
              <w:left w:val="single" w:color="auto" w:sz="4" w:space="0"/>
            </w:tcBorders>
          </w:tcPr>
          <w:p>
            <w:pPr>
              <w:spacing w:after="0" w:line="360" w:lineRule="auto"/>
              <w:ind w:firstLine="420"/>
              <w:rPr>
                <w:rFonts w:ascii="方正姚体" w:eastAsia="方正姚体"/>
                <w:szCs w:val="21"/>
              </w:rPr>
            </w:pPr>
          </w:p>
        </w:tc>
        <w:tc>
          <w:tcPr>
            <w:tcW w:w="1960" w:type="dxa"/>
          </w:tcPr>
          <w:p>
            <w:pPr>
              <w:spacing w:after="0" w:line="360" w:lineRule="auto"/>
              <w:ind w:firstLine="360"/>
              <w:rPr>
                <w:rFonts w:ascii="宋体" w:hAnsi="宋体" w:cs="宋体"/>
                <w:sz w:val="18"/>
                <w:szCs w:val="18"/>
              </w:rPr>
            </w:pPr>
            <w:r>
              <w:rPr>
                <w:rFonts w:hint="eastAsia" w:ascii="宋体" w:hAnsi="宋体" w:cs="宋体"/>
                <w:sz w:val="18"/>
                <w:szCs w:val="18"/>
              </w:rPr>
              <w:t>营业利润</w:t>
            </w:r>
          </w:p>
        </w:tc>
        <w:tc>
          <w:tcPr>
            <w:tcW w:w="4253" w:type="dxa"/>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-9,196,863.88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980" w:type="dxa"/>
            <w:gridSpan w:val="2"/>
            <w:vMerge w:val="continue"/>
            <w:tcBorders>
              <w:left w:val="single" w:color="auto" w:sz="4" w:space="0"/>
            </w:tcBorders>
          </w:tcPr>
          <w:p>
            <w:pPr>
              <w:spacing w:after="0" w:line="360" w:lineRule="auto"/>
              <w:ind w:firstLine="420"/>
              <w:rPr>
                <w:rFonts w:ascii="方正姚体" w:eastAsia="方正姚体"/>
                <w:szCs w:val="21"/>
              </w:rPr>
            </w:pPr>
          </w:p>
        </w:tc>
        <w:tc>
          <w:tcPr>
            <w:tcW w:w="1960" w:type="dxa"/>
          </w:tcPr>
          <w:p>
            <w:pPr>
              <w:spacing w:after="0" w:line="360" w:lineRule="auto"/>
              <w:ind w:firstLine="360"/>
              <w:rPr>
                <w:rFonts w:ascii="宋体" w:hAnsi="宋体" w:cs="宋体"/>
                <w:sz w:val="18"/>
                <w:szCs w:val="18"/>
              </w:rPr>
            </w:pPr>
            <w:r>
              <w:rPr>
                <w:rFonts w:hint="eastAsia" w:ascii="宋体" w:hAnsi="宋体" w:cs="宋体"/>
                <w:sz w:val="18"/>
                <w:szCs w:val="18"/>
              </w:rPr>
              <w:t>投资收益</w:t>
            </w:r>
          </w:p>
        </w:tc>
        <w:tc>
          <w:tcPr>
            <w:tcW w:w="4253" w:type="dxa"/>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980" w:type="dxa"/>
            <w:gridSpan w:val="2"/>
            <w:vMerge w:val="continue"/>
            <w:tcBorders>
              <w:left w:val="single" w:color="auto" w:sz="4" w:space="0"/>
            </w:tcBorders>
          </w:tcPr>
          <w:p>
            <w:pPr>
              <w:spacing w:after="0" w:line="360" w:lineRule="auto"/>
              <w:ind w:firstLine="420"/>
              <w:rPr>
                <w:rFonts w:ascii="方正姚体" w:eastAsia="方正姚体"/>
                <w:szCs w:val="21"/>
              </w:rPr>
            </w:pPr>
          </w:p>
        </w:tc>
        <w:tc>
          <w:tcPr>
            <w:tcW w:w="1960" w:type="dxa"/>
          </w:tcPr>
          <w:p>
            <w:pPr>
              <w:spacing w:after="0" w:line="360" w:lineRule="auto"/>
              <w:ind w:firstLine="360"/>
              <w:rPr>
                <w:rFonts w:ascii="宋体" w:hAnsi="宋体" w:cs="宋体"/>
                <w:sz w:val="18"/>
                <w:szCs w:val="18"/>
              </w:rPr>
            </w:pPr>
            <w:r>
              <w:rPr>
                <w:rFonts w:hint="eastAsia" w:ascii="宋体" w:hAnsi="宋体" w:cs="宋体"/>
                <w:sz w:val="18"/>
                <w:szCs w:val="18"/>
              </w:rPr>
              <w:t>营业外收支净额</w:t>
            </w:r>
          </w:p>
        </w:tc>
        <w:tc>
          <w:tcPr>
            <w:tcW w:w="4253" w:type="dxa"/>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980" w:type="dxa"/>
            <w:gridSpan w:val="2"/>
            <w:vMerge w:val="continue"/>
            <w:tcBorders>
              <w:left w:val="single" w:color="auto" w:sz="4" w:space="0"/>
            </w:tcBorders>
          </w:tcPr>
          <w:p>
            <w:pPr>
              <w:spacing w:after="0" w:line="360" w:lineRule="auto"/>
              <w:ind w:firstLine="420"/>
              <w:rPr>
                <w:rFonts w:ascii="方正姚体" w:eastAsia="方正姚体"/>
                <w:szCs w:val="21"/>
              </w:rPr>
            </w:pPr>
          </w:p>
        </w:tc>
        <w:tc>
          <w:tcPr>
            <w:tcW w:w="1960" w:type="dxa"/>
          </w:tcPr>
          <w:p>
            <w:pPr>
              <w:spacing w:after="0" w:line="360" w:lineRule="auto"/>
              <w:ind w:firstLine="360"/>
              <w:rPr>
                <w:rFonts w:ascii="宋体" w:hAnsi="宋体" w:cs="宋体"/>
                <w:sz w:val="18"/>
                <w:szCs w:val="18"/>
              </w:rPr>
            </w:pPr>
            <w:r>
              <w:rPr>
                <w:rFonts w:hint="eastAsia" w:ascii="宋体" w:hAnsi="宋体" w:cs="宋体"/>
                <w:sz w:val="18"/>
                <w:szCs w:val="18"/>
              </w:rPr>
              <w:t>利润总额</w:t>
            </w:r>
          </w:p>
        </w:tc>
        <w:tc>
          <w:tcPr>
            <w:tcW w:w="4253" w:type="dxa"/>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-9,196,863.88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仿宋_GB2312" w:eastAsia="仿宋_GB2312"/>
                <w:szCs w:val="21"/>
              </w:rPr>
            </w:pPr>
          </w:p>
        </w:tc>
        <w:tc>
          <w:tcPr>
            <w:tcW w:w="1980" w:type="dxa"/>
            <w:gridSpan w:val="2"/>
            <w:vMerge w:val="continue"/>
            <w:tcBorders>
              <w:left w:val="single" w:color="auto" w:sz="4" w:space="0"/>
            </w:tcBorders>
          </w:tcPr>
          <w:p>
            <w:pPr>
              <w:spacing w:after="0" w:line="360" w:lineRule="auto"/>
              <w:ind w:firstLine="420"/>
              <w:rPr>
                <w:rFonts w:ascii="仿宋_GB2312" w:eastAsia="仿宋_GB2312"/>
                <w:szCs w:val="21"/>
              </w:rPr>
            </w:pPr>
          </w:p>
        </w:tc>
        <w:tc>
          <w:tcPr>
            <w:tcW w:w="1960" w:type="dxa"/>
          </w:tcPr>
          <w:p>
            <w:pPr>
              <w:spacing w:after="0" w:line="360" w:lineRule="auto"/>
              <w:ind w:firstLine="360"/>
              <w:rPr>
                <w:rFonts w:ascii="宋体" w:hAnsi="宋体" w:cs="宋体"/>
                <w:sz w:val="18"/>
                <w:szCs w:val="18"/>
              </w:rPr>
            </w:pPr>
            <w:r>
              <w:rPr>
                <w:rFonts w:hint="eastAsia" w:ascii="宋体" w:hAnsi="宋体" w:cs="宋体"/>
                <w:sz w:val="18"/>
                <w:szCs w:val="18"/>
              </w:rPr>
              <w:t>净利润</w:t>
            </w:r>
          </w:p>
        </w:tc>
        <w:tc>
          <w:tcPr>
            <w:tcW w:w="4253" w:type="dxa"/>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-9,196,863.88</w:t>
            </w:r>
          </w:p>
        </w:tc>
      </w:tr>
    </w:tbl>
    <w:p>
      <w:pPr>
        <w:spacing w:after="0" w:line="360" w:lineRule="auto"/>
        <w:ind w:firstLine="422"/>
        <w:rPr>
          <w:rFonts w:ascii="仿宋_GB2312" w:eastAsia="仿宋_GB2312"/>
          <w:b/>
          <w:szCs w:val="21"/>
        </w:rPr>
      </w:pPr>
    </w:p>
    <w:tbl>
      <w:tblPr>
        <w:tblStyle w:val="13"/>
        <w:tblW w:w="8820" w:type="dxa"/>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3420"/>
        <w:gridCol w:w="360"/>
        <w:gridCol w:w="952"/>
        <w:gridCol w:w="488"/>
        <w:gridCol w:w="930"/>
        <w:gridCol w:w="425"/>
        <w:gridCol w:w="9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trPr>
        <w:tc>
          <w:tcPr>
            <w:tcW w:w="1260" w:type="dxa"/>
            <w:vMerge w:val="restart"/>
            <w:tcBorders>
              <w:left w:val="double" w:color="auto" w:sz="12" w:space="0"/>
            </w:tcBorders>
            <w:vAlign w:val="center"/>
          </w:tcPr>
          <w:p>
            <w:pPr>
              <w:spacing w:after="0" w:line="360" w:lineRule="auto"/>
              <w:ind w:firstLine="0" w:firstLineChars="0"/>
              <w:rPr>
                <w:rFonts w:ascii="仿宋_GB2312" w:hAnsi="宋体" w:eastAsia="仿宋_GB2312"/>
                <w:b/>
                <w:sz w:val="24"/>
              </w:rPr>
            </w:pPr>
            <w:r>
              <w:rPr>
                <w:rFonts w:hint="eastAsia" w:ascii="仿宋_GB2312" w:hAnsi="宋体" w:eastAsia="仿宋_GB2312"/>
                <w:b/>
                <w:sz w:val="24"/>
              </w:rPr>
              <w:t>中介机构</w:t>
            </w:r>
          </w:p>
        </w:tc>
        <w:tc>
          <w:tcPr>
            <w:tcW w:w="3420" w:type="dxa"/>
            <w:vAlign w:val="center"/>
          </w:tcPr>
          <w:p>
            <w:pPr>
              <w:spacing w:after="0" w:line="360" w:lineRule="auto"/>
              <w:ind w:firstLine="361"/>
              <w:jc w:val="center"/>
              <w:rPr>
                <w:rFonts w:ascii="仿宋_GB2312" w:eastAsia="仿宋_GB2312"/>
                <w:b/>
                <w:sz w:val="18"/>
                <w:szCs w:val="18"/>
              </w:rPr>
            </w:pPr>
            <w:r>
              <w:rPr>
                <w:rFonts w:hint="eastAsia" w:ascii="仿宋_GB2312" w:eastAsia="仿宋_GB2312"/>
                <w:b/>
                <w:sz w:val="18"/>
                <w:szCs w:val="18"/>
              </w:rPr>
              <w:t>会 计 师 事 务 所</w:t>
            </w:r>
          </w:p>
        </w:tc>
        <w:tc>
          <w:tcPr>
            <w:tcW w:w="4140" w:type="dxa"/>
            <w:gridSpan w:val="6"/>
            <w:tcBorders>
              <w:right w:val="double" w:color="auto" w:sz="12" w:space="0"/>
            </w:tcBorders>
            <w:vAlign w:val="center"/>
          </w:tcPr>
          <w:p>
            <w:pPr>
              <w:spacing w:after="0" w:line="360" w:lineRule="auto"/>
              <w:ind w:firstLine="361"/>
              <w:jc w:val="center"/>
              <w:rPr>
                <w:rFonts w:ascii="仿宋_GB2312" w:eastAsia="仿宋_GB2312"/>
                <w:szCs w:val="21"/>
              </w:rPr>
            </w:pPr>
            <w:r>
              <w:rPr>
                <w:rFonts w:hint="eastAsia" w:ascii="仿宋_GB2312" w:eastAsia="仿宋_GB2312"/>
                <w:b/>
                <w:sz w:val="18"/>
                <w:szCs w:val="18"/>
              </w:rPr>
              <w:t>中兴财光华会计师事务所（特殊普通合伙）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trPr>
        <w:tc>
          <w:tcPr>
            <w:tcW w:w="1260" w:type="dxa"/>
            <w:vMerge w:val="continue"/>
            <w:tcBorders>
              <w:left w:val="double" w:color="auto" w:sz="12" w:space="0"/>
              <w:bottom w:val="double" w:color="auto" w:sz="12" w:space="0"/>
            </w:tcBorders>
            <w:vAlign w:val="center"/>
          </w:tcPr>
          <w:p>
            <w:pPr>
              <w:spacing w:after="0" w:line="360" w:lineRule="auto"/>
              <w:ind w:firstLine="482"/>
              <w:jc w:val="center"/>
              <w:rPr>
                <w:rFonts w:ascii="仿宋_GB2312" w:hAnsi="宋体" w:eastAsia="仿宋_GB2312"/>
                <w:b/>
                <w:sz w:val="24"/>
              </w:rPr>
            </w:pPr>
          </w:p>
        </w:tc>
        <w:tc>
          <w:tcPr>
            <w:tcW w:w="3420" w:type="dxa"/>
            <w:tcBorders>
              <w:bottom w:val="double" w:color="auto" w:sz="12" w:space="0"/>
            </w:tcBorders>
            <w:vAlign w:val="center"/>
          </w:tcPr>
          <w:p>
            <w:pPr>
              <w:spacing w:after="0" w:line="360" w:lineRule="auto"/>
              <w:ind w:firstLine="361"/>
              <w:jc w:val="center"/>
              <w:rPr>
                <w:rFonts w:ascii="仿宋_GB2312" w:eastAsia="仿宋_GB2312"/>
                <w:b/>
                <w:sz w:val="18"/>
                <w:szCs w:val="18"/>
              </w:rPr>
            </w:pPr>
            <w:r>
              <w:rPr>
                <w:rFonts w:hint="eastAsia" w:ascii="仿宋_GB2312" w:eastAsia="仿宋_GB2312"/>
                <w:b/>
                <w:sz w:val="18"/>
                <w:szCs w:val="18"/>
              </w:rPr>
              <w:t>评 估 事 务 所</w:t>
            </w:r>
          </w:p>
        </w:tc>
        <w:tc>
          <w:tcPr>
            <w:tcW w:w="4140" w:type="dxa"/>
            <w:gridSpan w:val="6"/>
            <w:tcBorders>
              <w:bottom w:val="double" w:color="auto" w:sz="12" w:space="0"/>
              <w:right w:val="double" w:color="auto" w:sz="12" w:space="0"/>
            </w:tcBorders>
            <w:vAlign w:val="center"/>
          </w:tcPr>
          <w:p>
            <w:pPr>
              <w:spacing w:after="0" w:line="360" w:lineRule="auto"/>
              <w:ind w:firstLine="361"/>
              <w:jc w:val="center"/>
              <w:rPr>
                <w:rFonts w:ascii="仿宋_GB2312" w:eastAsia="仿宋_GB2312"/>
                <w:b/>
                <w:sz w:val="18"/>
                <w:szCs w:val="18"/>
              </w:rPr>
            </w:pPr>
            <w:r>
              <w:rPr>
                <w:rFonts w:hint="eastAsia" w:ascii="仿宋_GB2312" w:eastAsia="仿宋_GB2312"/>
                <w:b/>
                <w:sz w:val="18"/>
                <w:szCs w:val="18"/>
              </w:rPr>
              <w:t>中京民信（北京）资产评估有限公司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trPr>
        <w:tc>
          <w:tcPr>
            <w:tcW w:w="1260" w:type="dxa"/>
            <w:vMerge w:val="restart"/>
            <w:tcBorders>
              <w:top w:val="double" w:color="auto" w:sz="12" w:space="0"/>
              <w:left w:val="double" w:color="auto" w:sz="12" w:space="0"/>
            </w:tcBorders>
            <w:vAlign w:val="center"/>
          </w:tcPr>
          <w:p>
            <w:pPr>
              <w:spacing w:after="0" w:line="360" w:lineRule="auto"/>
              <w:ind w:firstLine="482"/>
              <w:jc w:val="center"/>
              <w:rPr>
                <w:rFonts w:ascii="仿宋_GB2312" w:hAnsi="宋体" w:eastAsia="仿宋_GB2312"/>
                <w:b/>
                <w:sz w:val="24"/>
              </w:rPr>
            </w:pPr>
          </w:p>
          <w:p>
            <w:pPr>
              <w:spacing w:after="0" w:line="360" w:lineRule="auto"/>
              <w:ind w:firstLine="0" w:firstLineChars="0"/>
              <w:rPr>
                <w:rFonts w:ascii="仿宋_GB2312" w:hAnsi="宋体" w:eastAsia="仿宋_GB2312"/>
                <w:b/>
                <w:sz w:val="24"/>
              </w:rPr>
            </w:pPr>
            <w:r>
              <w:rPr>
                <w:rFonts w:hint="eastAsia" w:ascii="仿宋_GB2312" w:hAnsi="宋体" w:eastAsia="仿宋_GB2312"/>
                <w:b/>
                <w:sz w:val="24"/>
              </w:rPr>
              <w:t>资产评估核准或备案情况</w:t>
            </w:r>
          </w:p>
        </w:tc>
        <w:tc>
          <w:tcPr>
            <w:tcW w:w="3420" w:type="dxa"/>
            <w:tcBorders>
              <w:top w:val="double" w:color="auto" w:sz="12" w:space="0"/>
            </w:tcBorders>
            <w:vAlign w:val="center"/>
          </w:tcPr>
          <w:p>
            <w:pPr>
              <w:spacing w:after="0" w:line="360" w:lineRule="auto"/>
              <w:ind w:firstLine="361"/>
              <w:jc w:val="center"/>
              <w:rPr>
                <w:rFonts w:ascii="仿宋_GB2312" w:eastAsia="仿宋_GB2312"/>
                <w:b/>
                <w:i/>
                <w:sz w:val="18"/>
                <w:szCs w:val="18"/>
              </w:rPr>
            </w:pPr>
            <w:r>
              <w:rPr>
                <w:rFonts w:hint="eastAsia" w:ascii="仿宋_GB2312" w:eastAsia="仿宋_GB2312"/>
                <w:b/>
                <w:i/>
                <w:sz w:val="18"/>
                <w:szCs w:val="18"/>
              </w:rPr>
              <w:t>帐面值（万元）</w:t>
            </w:r>
          </w:p>
        </w:tc>
        <w:tc>
          <w:tcPr>
            <w:tcW w:w="360" w:type="dxa"/>
            <w:vMerge w:val="restart"/>
            <w:tcBorders>
              <w:top w:val="double" w:color="auto" w:sz="12" w:space="0"/>
            </w:tcBorders>
            <w:vAlign w:val="center"/>
          </w:tcPr>
          <w:p>
            <w:pPr>
              <w:spacing w:after="0" w:line="360" w:lineRule="auto"/>
              <w:ind w:firstLine="0" w:firstLineChars="0"/>
              <w:rPr>
                <w:rFonts w:eastAsia="仿宋_GB2312"/>
                <w:sz w:val="18"/>
                <w:szCs w:val="18"/>
              </w:rPr>
            </w:pPr>
            <w:r>
              <w:rPr>
                <w:rFonts w:eastAsia="仿宋_GB2312"/>
                <w:sz w:val="18"/>
                <w:szCs w:val="18"/>
              </w:rPr>
              <w:t>资产</w:t>
            </w:r>
          </w:p>
        </w:tc>
        <w:tc>
          <w:tcPr>
            <w:tcW w:w="952" w:type="dxa"/>
            <w:tcBorders>
              <w:top w:val="double" w:color="auto" w:sz="12" w:space="0"/>
            </w:tcBorders>
            <w:vAlign w:val="center"/>
          </w:tcPr>
          <w:p>
            <w:pPr>
              <w:spacing w:after="0" w:line="360" w:lineRule="auto"/>
              <w:ind w:firstLine="0" w:firstLineChars="0"/>
              <w:rPr>
                <w:sz w:val="18"/>
                <w:szCs w:val="18"/>
              </w:rPr>
            </w:pPr>
            <w:r>
              <w:rPr>
                <w:sz w:val="18"/>
                <w:szCs w:val="18"/>
              </w:rPr>
              <w:t>43681.46</w:t>
            </w:r>
          </w:p>
        </w:tc>
        <w:tc>
          <w:tcPr>
            <w:tcW w:w="488" w:type="dxa"/>
            <w:vMerge w:val="restart"/>
            <w:tcBorders>
              <w:top w:val="double" w:color="auto" w:sz="12" w:space="0"/>
            </w:tcBorders>
            <w:vAlign w:val="center"/>
          </w:tcPr>
          <w:p>
            <w:pPr>
              <w:spacing w:after="0" w:line="360" w:lineRule="auto"/>
              <w:ind w:firstLine="0" w:firstLineChars="0"/>
              <w:rPr>
                <w:rFonts w:eastAsia="仿宋_GB2312"/>
                <w:sz w:val="18"/>
                <w:szCs w:val="18"/>
              </w:rPr>
            </w:pPr>
            <w:r>
              <w:rPr>
                <w:rFonts w:eastAsia="仿宋_GB2312"/>
                <w:sz w:val="18"/>
                <w:szCs w:val="18"/>
              </w:rPr>
              <w:t>负债</w:t>
            </w:r>
          </w:p>
        </w:tc>
        <w:tc>
          <w:tcPr>
            <w:tcW w:w="930" w:type="dxa"/>
            <w:tcBorders>
              <w:top w:val="double" w:color="auto" w:sz="12" w:space="0"/>
            </w:tcBorders>
            <w:vAlign w:val="center"/>
          </w:tcPr>
          <w:p>
            <w:pPr>
              <w:spacing w:after="0" w:line="360" w:lineRule="auto"/>
              <w:ind w:firstLine="0" w:firstLineChars="0"/>
              <w:rPr>
                <w:sz w:val="18"/>
                <w:szCs w:val="18"/>
              </w:rPr>
            </w:pPr>
            <w:r>
              <w:rPr>
                <w:rFonts w:hint="eastAsia"/>
                <w:sz w:val="18"/>
                <w:szCs w:val="18"/>
              </w:rPr>
              <w:t>1.27</w:t>
            </w:r>
          </w:p>
        </w:tc>
        <w:tc>
          <w:tcPr>
            <w:tcW w:w="425" w:type="dxa"/>
            <w:vMerge w:val="restart"/>
            <w:tcBorders>
              <w:top w:val="double" w:color="auto" w:sz="12" w:space="0"/>
            </w:tcBorders>
            <w:vAlign w:val="center"/>
          </w:tcPr>
          <w:p>
            <w:pPr>
              <w:spacing w:after="0" w:line="360" w:lineRule="auto"/>
              <w:ind w:firstLine="0" w:firstLineChars="0"/>
              <w:rPr>
                <w:rFonts w:eastAsia="仿宋_GB2312"/>
                <w:sz w:val="18"/>
                <w:szCs w:val="18"/>
              </w:rPr>
            </w:pPr>
            <w:r>
              <w:rPr>
                <w:rFonts w:eastAsia="仿宋_GB2312"/>
                <w:sz w:val="18"/>
                <w:szCs w:val="18"/>
              </w:rPr>
              <w:t>净资产</w:t>
            </w:r>
          </w:p>
        </w:tc>
        <w:tc>
          <w:tcPr>
            <w:tcW w:w="985" w:type="dxa"/>
            <w:tcBorders>
              <w:top w:val="double" w:color="auto" w:sz="12" w:space="0"/>
              <w:right w:val="double" w:color="auto" w:sz="12" w:space="0"/>
            </w:tcBorders>
            <w:vAlign w:val="center"/>
          </w:tcPr>
          <w:p>
            <w:pPr>
              <w:spacing w:after="0" w:line="360" w:lineRule="auto"/>
              <w:ind w:firstLine="0" w:firstLineChars="0"/>
              <w:rPr>
                <w:sz w:val="18"/>
                <w:szCs w:val="18"/>
              </w:rPr>
            </w:pPr>
            <w:r>
              <w:rPr>
                <w:sz w:val="18"/>
                <w:szCs w:val="18"/>
              </w:rPr>
              <w:t>43680.18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1260" w:type="dxa"/>
            <w:vMerge w:val="continue"/>
            <w:tcBorders>
              <w:left w:val="double" w:color="auto" w:sz="12" w:space="0"/>
            </w:tcBorders>
            <w:vAlign w:val="center"/>
          </w:tcPr>
          <w:p>
            <w:pPr>
              <w:spacing w:after="0" w:line="360" w:lineRule="auto"/>
              <w:ind w:firstLine="482"/>
              <w:jc w:val="center"/>
              <w:rPr>
                <w:rFonts w:ascii="仿宋_GB2312" w:hAnsi="宋体" w:eastAsia="仿宋_GB2312"/>
                <w:b/>
                <w:sz w:val="24"/>
              </w:rPr>
            </w:pPr>
          </w:p>
        </w:tc>
        <w:tc>
          <w:tcPr>
            <w:tcW w:w="3420" w:type="dxa"/>
            <w:vAlign w:val="center"/>
          </w:tcPr>
          <w:p>
            <w:pPr>
              <w:spacing w:after="0" w:line="360" w:lineRule="auto"/>
              <w:ind w:firstLine="361"/>
              <w:jc w:val="center"/>
              <w:rPr>
                <w:rFonts w:ascii="仿宋_GB2312" w:eastAsia="仿宋_GB2312"/>
                <w:b/>
                <w:sz w:val="18"/>
                <w:szCs w:val="18"/>
              </w:rPr>
            </w:pPr>
            <w:r>
              <w:rPr>
                <w:rFonts w:hint="eastAsia" w:ascii="仿宋_GB2312" w:eastAsia="仿宋_GB2312"/>
                <w:b/>
                <w:sz w:val="18"/>
                <w:szCs w:val="18"/>
              </w:rPr>
              <w:t>评估结果（万元）</w:t>
            </w:r>
          </w:p>
        </w:tc>
        <w:tc>
          <w:tcPr>
            <w:tcW w:w="360" w:type="dxa"/>
            <w:vMerge w:val="continue"/>
            <w:vAlign w:val="center"/>
          </w:tcPr>
          <w:p>
            <w:pPr>
              <w:spacing w:after="0" w:line="360" w:lineRule="auto"/>
              <w:ind w:firstLine="360"/>
              <w:jc w:val="center"/>
              <w:rPr>
                <w:rFonts w:eastAsia="方正姚体"/>
                <w:sz w:val="18"/>
                <w:szCs w:val="18"/>
              </w:rPr>
            </w:pPr>
          </w:p>
        </w:tc>
        <w:tc>
          <w:tcPr>
            <w:tcW w:w="952" w:type="dxa"/>
            <w:vAlign w:val="center"/>
          </w:tcPr>
          <w:p>
            <w:pPr>
              <w:spacing w:after="0" w:line="360" w:lineRule="auto"/>
              <w:ind w:firstLine="0" w:firstLineChars="0"/>
              <w:rPr>
                <w:sz w:val="18"/>
                <w:szCs w:val="18"/>
              </w:rPr>
            </w:pPr>
          </w:p>
        </w:tc>
        <w:tc>
          <w:tcPr>
            <w:tcW w:w="488" w:type="dxa"/>
            <w:vMerge w:val="continue"/>
            <w:vAlign w:val="center"/>
          </w:tcPr>
          <w:p>
            <w:pPr>
              <w:spacing w:after="0" w:line="360" w:lineRule="auto"/>
              <w:ind w:firstLine="360"/>
              <w:jc w:val="center"/>
              <w:rPr>
                <w:rFonts w:eastAsia="方正姚体"/>
                <w:sz w:val="18"/>
                <w:szCs w:val="18"/>
              </w:rPr>
            </w:pPr>
          </w:p>
        </w:tc>
        <w:tc>
          <w:tcPr>
            <w:tcW w:w="930" w:type="dxa"/>
            <w:vAlign w:val="center"/>
          </w:tcPr>
          <w:p>
            <w:pPr>
              <w:spacing w:after="0" w:line="360" w:lineRule="auto"/>
              <w:ind w:firstLine="0" w:firstLineChars="0"/>
              <w:rPr>
                <w:sz w:val="18"/>
                <w:szCs w:val="18"/>
              </w:rPr>
            </w:pPr>
          </w:p>
        </w:tc>
        <w:tc>
          <w:tcPr>
            <w:tcW w:w="425" w:type="dxa"/>
            <w:vMerge w:val="continue"/>
            <w:vAlign w:val="center"/>
          </w:tcPr>
          <w:p>
            <w:pPr>
              <w:spacing w:after="0" w:line="360" w:lineRule="auto"/>
              <w:ind w:firstLine="360"/>
              <w:jc w:val="center"/>
              <w:rPr>
                <w:rFonts w:eastAsia="方正姚体"/>
                <w:sz w:val="18"/>
                <w:szCs w:val="18"/>
              </w:rPr>
            </w:pPr>
          </w:p>
        </w:tc>
        <w:tc>
          <w:tcPr>
            <w:tcW w:w="985" w:type="dxa"/>
            <w:tcBorders>
              <w:right w:val="double" w:color="auto" w:sz="12" w:space="0"/>
            </w:tcBorders>
            <w:vAlign w:val="center"/>
          </w:tcPr>
          <w:p>
            <w:pPr>
              <w:spacing w:after="0" w:line="360" w:lineRule="auto"/>
              <w:ind w:firstLine="0" w:firstLineChars="0"/>
              <w:rPr>
                <w:sz w:val="18"/>
                <w:szCs w:val="18"/>
              </w:rPr>
            </w:pPr>
            <w:r>
              <w:rPr>
                <w:sz w:val="18"/>
                <w:szCs w:val="18"/>
              </w:rPr>
              <w:t>68364.20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trPr>
        <w:tc>
          <w:tcPr>
            <w:tcW w:w="1260" w:type="dxa"/>
            <w:vMerge w:val="continue"/>
            <w:tcBorders>
              <w:left w:val="double" w:color="auto" w:sz="12" w:space="0"/>
            </w:tcBorders>
            <w:vAlign w:val="center"/>
          </w:tcPr>
          <w:p>
            <w:pPr>
              <w:spacing w:after="0" w:line="360" w:lineRule="auto"/>
              <w:ind w:firstLine="482"/>
              <w:jc w:val="center"/>
              <w:rPr>
                <w:rFonts w:ascii="仿宋_GB2312" w:hAnsi="宋体" w:eastAsia="仿宋_GB2312"/>
                <w:b/>
                <w:sz w:val="24"/>
              </w:rPr>
            </w:pPr>
          </w:p>
        </w:tc>
        <w:tc>
          <w:tcPr>
            <w:tcW w:w="3420" w:type="dxa"/>
            <w:tcBorders>
              <w:bottom w:val="single" w:color="auto" w:sz="4" w:space="0"/>
            </w:tcBorders>
            <w:vAlign w:val="center"/>
          </w:tcPr>
          <w:p>
            <w:pPr>
              <w:spacing w:after="0" w:line="360" w:lineRule="auto"/>
              <w:ind w:firstLine="361"/>
              <w:jc w:val="center"/>
              <w:rPr>
                <w:rFonts w:ascii="仿宋_GB2312" w:eastAsia="仿宋_GB2312"/>
                <w:b/>
                <w:sz w:val="18"/>
                <w:szCs w:val="18"/>
              </w:rPr>
            </w:pPr>
            <w:r>
              <w:rPr>
                <w:rFonts w:hint="eastAsia" w:ascii="仿宋_GB2312" w:eastAsia="仿宋_GB2312"/>
                <w:b/>
                <w:sz w:val="18"/>
                <w:szCs w:val="18"/>
              </w:rPr>
              <w:t>评 估 基 准 日</w:t>
            </w:r>
          </w:p>
        </w:tc>
        <w:tc>
          <w:tcPr>
            <w:tcW w:w="4140" w:type="dxa"/>
            <w:gridSpan w:val="6"/>
            <w:tcBorders>
              <w:bottom w:val="single" w:color="auto" w:sz="4" w:space="0"/>
              <w:right w:val="double" w:color="auto" w:sz="12" w:space="0"/>
            </w:tcBorders>
            <w:vAlign w:val="center"/>
          </w:tcPr>
          <w:p>
            <w:pPr>
              <w:spacing w:after="0" w:line="360" w:lineRule="auto"/>
              <w:ind w:firstLine="360"/>
              <w:jc w:val="center"/>
              <w:rPr>
                <w:rFonts w:ascii="方正姚体" w:eastAsia="方正姚体"/>
                <w:sz w:val="18"/>
                <w:szCs w:val="18"/>
              </w:rPr>
            </w:pPr>
            <w:r>
              <w:rPr>
                <w:rFonts w:hint="eastAsia" w:ascii="方正姚体" w:eastAsia="方正姚体"/>
                <w:sz w:val="18"/>
                <w:szCs w:val="18"/>
              </w:rPr>
              <w:t>2018年6月30日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trPr>
        <w:tc>
          <w:tcPr>
            <w:tcW w:w="1260" w:type="dxa"/>
            <w:vMerge w:val="continue"/>
            <w:tcBorders>
              <w:left w:val="double" w:color="auto" w:sz="12" w:space="0"/>
            </w:tcBorders>
            <w:vAlign w:val="center"/>
          </w:tcPr>
          <w:p>
            <w:pPr>
              <w:spacing w:after="0" w:line="360" w:lineRule="auto"/>
              <w:ind w:firstLine="482"/>
              <w:jc w:val="center"/>
              <w:rPr>
                <w:rFonts w:ascii="仿宋_GB2312" w:hAnsi="宋体" w:eastAsia="仿宋_GB2312"/>
                <w:b/>
                <w:sz w:val="24"/>
              </w:rPr>
            </w:pPr>
          </w:p>
        </w:tc>
        <w:tc>
          <w:tcPr>
            <w:tcW w:w="3420" w:type="dxa"/>
            <w:vAlign w:val="center"/>
          </w:tcPr>
          <w:p>
            <w:pPr>
              <w:spacing w:after="0" w:line="360" w:lineRule="auto"/>
              <w:ind w:firstLine="361"/>
              <w:jc w:val="center"/>
              <w:rPr>
                <w:rFonts w:ascii="仿宋_GB2312" w:eastAsia="仿宋_GB2312"/>
                <w:b/>
                <w:sz w:val="18"/>
                <w:szCs w:val="18"/>
              </w:rPr>
            </w:pPr>
            <w:r>
              <w:rPr>
                <w:rFonts w:hint="eastAsia" w:ascii="仿宋_GB2312" w:eastAsia="仿宋_GB2312"/>
                <w:b/>
                <w:sz w:val="18"/>
                <w:szCs w:val="18"/>
              </w:rPr>
              <w:t>评估核准（备案）机构</w:t>
            </w:r>
          </w:p>
        </w:tc>
        <w:tc>
          <w:tcPr>
            <w:tcW w:w="4140" w:type="dxa"/>
            <w:gridSpan w:val="6"/>
            <w:tcBorders>
              <w:right w:val="double" w:color="auto" w:sz="12" w:space="0"/>
            </w:tcBorders>
            <w:vAlign w:val="center"/>
          </w:tcPr>
          <w:p>
            <w:pPr>
              <w:spacing w:after="0" w:line="360" w:lineRule="auto"/>
              <w:ind w:firstLine="360"/>
              <w:jc w:val="center"/>
              <w:rPr>
                <w:rFonts w:ascii="方正姚体" w:eastAsia="方正姚体"/>
                <w:sz w:val="18"/>
                <w:szCs w:val="18"/>
              </w:rPr>
            </w:pPr>
            <w:r>
              <w:rPr>
                <w:rFonts w:hint="eastAsia" w:ascii="方正姚体" w:eastAsia="方正姚体"/>
                <w:sz w:val="18"/>
                <w:szCs w:val="18"/>
              </w:rPr>
              <w:t>核准□备案</w:t>
            </w:r>
            <w:r>
              <w:rPr>
                <w:b/>
                <w:sz w:val="18"/>
                <w:szCs w:val="18"/>
                <w:bdr w:val="single" w:color="auto" w:sz="4" w:space="0"/>
              </w:rPr>
              <w:t>√</w:t>
            </w:r>
          </w:p>
        </w:tc>
      </w:tr>
    </w:tbl>
    <w:p>
      <w:pPr>
        <w:spacing w:after="0" w:line="360" w:lineRule="auto"/>
        <w:ind w:firstLine="560"/>
        <w:rPr>
          <w:sz w:val="28"/>
          <w:szCs w:val="28"/>
        </w:rPr>
      </w:pPr>
      <w:r>
        <w:rPr>
          <w:rFonts w:hint="eastAsia"/>
          <w:sz w:val="28"/>
          <w:szCs w:val="28"/>
        </w:rPr>
        <w:t>2、其他信息披露</w:t>
      </w:r>
    </w:p>
    <w:p>
      <w:pPr>
        <w:spacing w:after="0" w:line="360" w:lineRule="auto"/>
        <w:ind w:firstLine="560"/>
        <w:rPr>
          <w:sz w:val="28"/>
          <w:szCs w:val="28"/>
        </w:rPr>
      </w:pPr>
      <w:r>
        <w:rPr>
          <w:rFonts w:hint="eastAsia"/>
          <w:sz w:val="28"/>
          <w:szCs w:val="28"/>
        </w:rPr>
        <w:t>京信评报字（2018）第471号评估报告中特别事项说明：</w:t>
      </w:r>
    </w:p>
    <w:p>
      <w:pPr>
        <w:numPr>
          <w:ilvl w:val="0"/>
          <w:numId w:val="2"/>
        </w:numPr>
        <w:spacing w:after="0" w:line="360" w:lineRule="auto"/>
        <w:ind w:left="0" w:firstLine="425" w:firstLineChars="0"/>
        <w:rPr>
          <w:sz w:val="28"/>
          <w:szCs w:val="28"/>
        </w:rPr>
      </w:pPr>
      <w:r>
        <w:rPr>
          <w:rFonts w:hint="eastAsia"/>
          <w:sz w:val="28"/>
          <w:szCs w:val="28"/>
        </w:rPr>
        <w:t>在对评估范围内的资产进行评估时，我们未考虑该等资产用于本次评估目的可能承担的费用和税项，我们未对部分资产的评估增值额作任何纳税考虑；未考虑资产可能承担的抵押、担保、诉讼事项及特殊的交易方式可能追加付出的价格等对评估结论的影响。</w:t>
      </w:r>
    </w:p>
    <w:p>
      <w:pPr>
        <w:numPr>
          <w:ilvl w:val="0"/>
          <w:numId w:val="2"/>
        </w:numPr>
        <w:spacing w:after="0" w:line="360" w:lineRule="auto"/>
        <w:ind w:left="0" w:firstLine="425" w:firstLineChars="0"/>
        <w:rPr>
          <w:sz w:val="28"/>
          <w:szCs w:val="28"/>
        </w:rPr>
      </w:pPr>
      <w:r>
        <w:rPr>
          <w:rFonts w:hint="eastAsia"/>
          <w:sz w:val="28"/>
          <w:szCs w:val="28"/>
        </w:rPr>
        <w:t>受浙江海正药业股份有限公司的委托，本次评估范围以浙江导明医药科技有限公司申报评估的资产及负债为限。</w:t>
      </w:r>
    </w:p>
    <w:p>
      <w:pPr>
        <w:numPr>
          <w:ilvl w:val="0"/>
          <w:numId w:val="2"/>
        </w:numPr>
        <w:spacing w:after="0" w:line="360" w:lineRule="auto"/>
        <w:ind w:left="0" w:firstLine="425" w:firstLineChars="0"/>
        <w:rPr>
          <w:sz w:val="28"/>
          <w:szCs w:val="28"/>
        </w:rPr>
      </w:pPr>
      <w:r>
        <w:rPr>
          <w:rFonts w:hint="eastAsia"/>
          <w:sz w:val="28"/>
          <w:szCs w:val="28"/>
        </w:rPr>
        <w:t>本次评估中电子设备的评估结果为不含税价值。</w:t>
      </w:r>
    </w:p>
    <w:p>
      <w:pPr>
        <w:numPr>
          <w:ilvl w:val="0"/>
          <w:numId w:val="2"/>
        </w:numPr>
        <w:spacing w:after="0" w:line="360" w:lineRule="auto"/>
        <w:ind w:left="0" w:firstLine="425" w:firstLineChars="0"/>
        <w:rPr>
          <w:sz w:val="28"/>
          <w:szCs w:val="28"/>
        </w:rPr>
      </w:pPr>
      <w:r>
        <w:rPr>
          <w:rFonts w:hint="eastAsia"/>
          <w:sz w:val="28"/>
          <w:szCs w:val="28"/>
        </w:rPr>
        <w:t>本报告中涉及的相关法律文件及资料由被评估单位负责提供，被评估单位对上述文件资料的真实性、合法性和完整性负责，并就此向本公司出具了承诺函。</w:t>
      </w:r>
    </w:p>
    <w:p>
      <w:pPr>
        <w:numPr>
          <w:ilvl w:val="0"/>
          <w:numId w:val="2"/>
        </w:numPr>
        <w:spacing w:after="0" w:line="360" w:lineRule="auto"/>
        <w:ind w:left="0" w:firstLine="425" w:firstLineChars="0"/>
        <w:rPr>
          <w:sz w:val="28"/>
          <w:szCs w:val="28"/>
        </w:rPr>
      </w:pPr>
      <w:r>
        <w:rPr>
          <w:rFonts w:hint="eastAsia"/>
          <w:sz w:val="28"/>
          <w:szCs w:val="28"/>
        </w:rPr>
        <w:t>对于委托人及被评估单位在委托时和评估过程中未作特殊说明的事项，而评估人员根据专业经验一般不能获悉及无法收集资料的情况下，评估机构及评估人员对此不承担相关责任。</w:t>
      </w:r>
    </w:p>
    <w:p>
      <w:pPr>
        <w:numPr>
          <w:ilvl w:val="0"/>
          <w:numId w:val="2"/>
        </w:numPr>
        <w:spacing w:after="0" w:line="360" w:lineRule="auto"/>
        <w:ind w:left="0" w:firstLine="425" w:firstLineChars="0"/>
        <w:rPr>
          <w:sz w:val="28"/>
          <w:szCs w:val="28"/>
        </w:rPr>
      </w:pPr>
      <w:r>
        <w:rPr>
          <w:rFonts w:hint="eastAsia"/>
          <w:sz w:val="28"/>
          <w:szCs w:val="28"/>
        </w:rPr>
        <w:t>被评估单位位于上海徐汇区的办公场所为租赁的厂房。位于杭州富阳的办公场所为租赁的办公室。</w:t>
      </w:r>
    </w:p>
    <w:p>
      <w:pPr>
        <w:spacing w:after="0" w:line="360" w:lineRule="auto"/>
        <w:ind w:firstLine="560"/>
        <w:rPr>
          <w:rFonts w:ascii="宋体" w:hAnsi="宋体"/>
          <w:sz w:val="28"/>
          <w:szCs w:val="28"/>
        </w:rPr>
      </w:pPr>
      <w:r>
        <w:rPr>
          <w:rFonts w:hint="eastAsia" w:ascii="宋体" w:hAnsi="宋体"/>
          <w:sz w:val="28"/>
          <w:szCs w:val="28"/>
        </w:rPr>
        <w:t>五、职工安置</w:t>
      </w:r>
    </w:p>
    <w:p>
      <w:pPr>
        <w:spacing w:after="0" w:line="360" w:lineRule="auto"/>
        <w:ind w:firstLine="560"/>
        <w:rPr>
          <w:rFonts w:ascii="宋体" w:hAnsi="宋体"/>
          <w:sz w:val="28"/>
          <w:szCs w:val="28"/>
        </w:rPr>
      </w:pPr>
      <w:r>
        <w:rPr>
          <w:rFonts w:hint="eastAsia" w:ascii="宋体" w:hAnsi="宋体"/>
          <w:sz w:val="28"/>
          <w:szCs w:val="28"/>
        </w:rPr>
        <w:t>本次股权转让不涉及职工安置问题。</w:t>
      </w:r>
    </w:p>
    <w:p>
      <w:pPr>
        <w:spacing w:after="0" w:line="360" w:lineRule="auto"/>
        <w:ind w:firstLine="560"/>
        <w:rPr>
          <w:rFonts w:ascii="宋体" w:hAnsi="宋体"/>
          <w:sz w:val="28"/>
          <w:szCs w:val="28"/>
        </w:rPr>
      </w:pPr>
      <w:r>
        <w:rPr>
          <w:rFonts w:hint="eastAsia" w:ascii="宋体" w:hAnsi="宋体"/>
          <w:sz w:val="28"/>
          <w:szCs w:val="28"/>
        </w:rPr>
        <w:t>六、债权债务处置</w:t>
      </w:r>
    </w:p>
    <w:p>
      <w:pPr>
        <w:spacing w:after="0" w:line="360" w:lineRule="auto"/>
        <w:ind w:firstLine="560"/>
        <w:rPr>
          <w:rFonts w:ascii="宋体" w:hAnsi="宋体"/>
          <w:sz w:val="28"/>
          <w:szCs w:val="28"/>
        </w:rPr>
      </w:pPr>
      <w:r>
        <w:rPr>
          <w:rFonts w:hint="eastAsia" w:ascii="宋体" w:hAnsi="宋体"/>
          <w:sz w:val="28"/>
          <w:szCs w:val="28"/>
        </w:rPr>
        <w:t>本次股权转让完成后，浙江导明医药科技有限公司的法人主体未发生变化，为依法存续的有限责任公司。故此，其所有债权、债务依然由浙江导明医药科技有限公司承继。</w:t>
      </w:r>
    </w:p>
    <w:p>
      <w:pPr>
        <w:spacing w:after="0" w:line="360" w:lineRule="auto"/>
        <w:ind w:firstLine="560"/>
        <w:rPr>
          <w:rFonts w:ascii="宋体" w:hAnsi="宋体"/>
          <w:sz w:val="28"/>
          <w:szCs w:val="28"/>
        </w:rPr>
      </w:pPr>
      <w:r>
        <w:rPr>
          <w:rFonts w:hint="eastAsia" w:ascii="宋体" w:hAnsi="宋体"/>
          <w:sz w:val="28"/>
          <w:szCs w:val="28"/>
        </w:rPr>
        <w:t>七、竞买人条件</w:t>
      </w:r>
    </w:p>
    <w:p>
      <w:pPr>
        <w:numPr>
          <w:ilvl w:val="255"/>
          <w:numId w:val="0"/>
        </w:numPr>
        <w:spacing w:after="0" w:line="360" w:lineRule="auto"/>
        <w:ind w:firstLine="560" w:firstLineChars="200"/>
        <w:rPr>
          <w:rFonts w:ascii="宋体" w:hAnsi="宋体"/>
          <w:sz w:val="28"/>
          <w:szCs w:val="28"/>
        </w:rPr>
      </w:pPr>
      <w:r>
        <w:rPr>
          <w:rFonts w:hint="eastAsia" w:ascii="宋体" w:hAnsi="宋体"/>
          <w:sz w:val="28"/>
          <w:szCs w:val="28"/>
        </w:rPr>
        <w:t>具有良好的商业信用及支付能力的境内外企业或其他组织，本项目接受联合体报名。</w:t>
      </w:r>
    </w:p>
    <w:p>
      <w:pPr>
        <w:spacing w:after="0" w:line="360" w:lineRule="auto"/>
        <w:ind w:firstLine="560"/>
        <w:rPr>
          <w:rFonts w:ascii="宋体" w:hAnsi="宋体"/>
          <w:sz w:val="28"/>
          <w:szCs w:val="28"/>
        </w:rPr>
      </w:pPr>
      <w:r>
        <w:rPr>
          <w:rFonts w:hint="eastAsia" w:ascii="宋体" w:hAnsi="宋体"/>
          <w:sz w:val="28"/>
          <w:szCs w:val="28"/>
        </w:rPr>
        <w:t>八、竞买保证金缴纳、使用、退还</w:t>
      </w:r>
    </w:p>
    <w:p>
      <w:pPr>
        <w:spacing w:after="0" w:line="360" w:lineRule="auto"/>
        <w:ind w:firstLine="560"/>
        <w:rPr>
          <w:rFonts w:ascii="宋体" w:hAnsi="宋体"/>
          <w:sz w:val="28"/>
          <w:szCs w:val="28"/>
        </w:rPr>
      </w:pPr>
      <w:r>
        <w:rPr>
          <w:rFonts w:hint="eastAsia" w:ascii="宋体" w:hAnsi="宋体"/>
          <w:sz w:val="28"/>
          <w:szCs w:val="28"/>
        </w:rPr>
        <w:t>1、竞买保证金缴纳：竞买人缴付的竞买保证金应在报名截止日前以转账方式缴入。</w:t>
      </w:r>
    </w:p>
    <w:p>
      <w:pPr>
        <w:spacing w:after="0" w:line="360" w:lineRule="auto"/>
        <w:ind w:firstLine="560"/>
        <w:rPr>
          <w:rFonts w:ascii="宋体" w:hAnsi="宋体"/>
          <w:sz w:val="28"/>
          <w:szCs w:val="28"/>
        </w:rPr>
      </w:pPr>
      <w:r>
        <w:rPr>
          <w:rFonts w:hint="eastAsia" w:ascii="宋体" w:hAnsi="宋体"/>
          <w:sz w:val="28"/>
          <w:szCs w:val="28"/>
        </w:rPr>
        <w:t>2、竞买保证金使用：竞买人竞得标的后，竞买保证金转为履约保证金，该保证金可抵作应支付部份转让款项。</w:t>
      </w:r>
    </w:p>
    <w:p>
      <w:pPr>
        <w:spacing w:after="0" w:line="360" w:lineRule="auto"/>
        <w:ind w:firstLine="560"/>
        <w:rPr>
          <w:rFonts w:ascii="宋体" w:hAnsi="宋体"/>
          <w:sz w:val="28"/>
          <w:szCs w:val="28"/>
        </w:rPr>
      </w:pPr>
      <w:r>
        <w:rPr>
          <w:rFonts w:hint="eastAsia" w:ascii="宋体" w:hAnsi="宋体"/>
          <w:sz w:val="28"/>
          <w:szCs w:val="28"/>
        </w:rPr>
        <w:t>3、出现下列情形竞买人保证金可在五个工作日内退还（不计息）：</w:t>
      </w:r>
    </w:p>
    <w:p>
      <w:pPr>
        <w:spacing w:after="0" w:line="360" w:lineRule="auto"/>
        <w:ind w:firstLine="565" w:firstLineChars="202"/>
        <w:rPr>
          <w:rFonts w:ascii="宋体" w:hAnsi="宋体"/>
          <w:sz w:val="28"/>
          <w:szCs w:val="28"/>
        </w:rPr>
      </w:pPr>
      <w:r>
        <w:rPr>
          <w:rFonts w:hint="eastAsia" w:ascii="宋体" w:hAnsi="宋体"/>
          <w:sz w:val="28"/>
          <w:szCs w:val="28"/>
        </w:rPr>
        <w:t>（1）经资格审核，不符合竞买资格的；</w:t>
      </w:r>
    </w:p>
    <w:p>
      <w:pPr>
        <w:spacing w:after="0" w:line="360" w:lineRule="auto"/>
        <w:ind w:firstLine="560"/>
        <w:rPr>
          <w:rFonts w:ascii="宋体" w:hAnsi="宋体"/>
          <w:sz w:val="28"/>
          <w:szCs w:val="28"/>
        </w:rPr>
      </w:pPr>
      <w:r>
        <w:rPr>
          <w:rFonts w:hint="eastAsia" w:ascii="宋体" w:hAnsi="宋体"/>
          <w:sz w:val="28"/>
          <w:szCs w:val="28"/>
        </w:rPr>
        <w:t>（2）参加竞价并应价但未能竞得标的者；</w:t>
      </w:r>
    </w:p>
    <w:p>
      <w:pPr>
        <w:spacing w:after="0" w:line="360" w:lineRule="auto"/>
        <w:ind w:firstLine="560"/>
        <w:rPr>
          <w:rFonts w:ascii="宋体" w:hAnsi="宋体"/>
          <w:sz w:val="28"/>
          <w:szCs w:val="28"/>
        </w:rPr>
      </w:pPr>
      <w:r>
        <w:rPr>
          <w:rFonts w:hint="eastAsia" w:ascii="宋体" w:hAnsi="宋体"/>
          <w:sz w:val="28"/>
          <w:szCs w:val="28"/>
        </w:rPr>
        <w:t>（3）竞价转让前，因政策等正当理由取消竞价转让的。</w:t>
      </w:r>
    </w:p>
    <w:p>
      <w:pPr>
        <w:tabs>
          <w:tab w:val="left" w:pos="6360"/>
        </w:tabs>
        <w:spacing w:after="0" w:line="360" w:lineRule="auto"/>
        <w:ind w:firstLine="560"/>
        <w:jc w:val="left"/>
        <w:rPr>
          <w:rFonts w:ascii="宋体" w:hAnsi="宋体"/>
          <w:sz w:val="28"/>
          <w:szCs w:val="28"/>
        </w:rPr>
      </w:pPr>
      <w:r>
        <w:rPr>
          <w:rFonts w:hint="eastAsia" w:ascii="宋体" w:hAnsi="宋体"/>
          <w:sz w:val="28"/>
          <w:szCs w:val="28"/>
        </w:rPr>
        <w:t>4、出现下列情形竞买人保证金不予退还：</w:t>
      </w:r>
    </w:p>
    <w:p>
      <w:pPr>
        <w:tabs>
          <w:tab w:val="left" w:pos="6360"/>
        </w:tabs>
        <w:spacing w:after="0" w:line="360" w:lineRule="auto"/>
        <w:ind w:firstLine="420" w:firstLineChars="150"/>
        <w:rPr>
          <w:rFonts w:ascii="宋体" w:hAnsi="宋体"/>
          <w:sz w:val="28"/>
          <w:szCs w:val="28"/>
        </w:rPr>
      </w:pPr>
      <w:r>
        <w:rPr>
          <w:rFonts w:hint="eastAsia" w:ascii="宋体" w:hAnsi="宋体"/>
          <w:sz w:val="28"/>
          <w:szCs w:val="28"/>
        </w:rPr>
        <w:t>（1）竞买人存在不当行为，包括但不限于：竞买人提供的资料和信息存在虚假、不真实、不具有效力等情形。</w:t>
      </w:r>
    </w:p>
    <w:p>
      <w:pPr>
        <w:tabs>
          <w:tab w:val="left" w:pos="6360"/>
        </w:tabs>
        <w:spacing w:after="0" w:line="360" w:lineRule="auto"/>
        <w:ind w:firstLine="420" w:firstLineChars="150"/>
        <w:rPr>
          <w:rFonts w:ascii="宋体" w:hAnsi="宋体"/>
          <w:sz w:val="28"/>
          <w:szCs w:val="28"/>
        </w:rPr>
      </w:pPr>
      <w:r>
        <w:rPr>
          <w:rFonts w:hint="eastAsia" w:ascii="宋体" w:hAnsi="宋体"/>
          <w:sz w:val="28"/>
          <w:szCs w:val="28"/>
        </w:rPr>
        <w:t>（2）竞买人交纳保证金后单方撤回竞买申请的；</w:t>
      </w:r>
    </w:p>
    <w:p>
      <w:pPr>
        <w:spacing w:after="0" w:line="360" w:lineRule="auto"/>
        <w:ind w:firstLine="338" w:firstLineChars="121"/>
        <w:rPr>
          <w:rFonts w:ascii="宋体" w:hAnsi="宋体"/>
          <w:sz w:val="28"/>
          <w:szCs w:val="28"/>
        </w:rPr>
      </w:pPr>
      <w:r>
        <w:rPr>
          <w:rFonts w:hint="eastAsia" w:ascii="宋体" w:hAnsi="宋体"/>
          <w:sz w:val="28"/>
          <w:szCs w:val="28"/>
        </w:rPr>
        <w:t>（3）公告期满，产生两个或两个以上符合条件的竞买人时，竞买人交纳保证金后未参加后续竞价程序的；</w:t>
      </w:r>
    </w:p>
    <w:p>
      <w:pPr>
        <w:spacing w:after="0" w:line="360" w:lineRule="auto"/>
        <w:ind w:firstLine="338" w:firstLineChars="121"/>
        <w:rPr>
          <w:rFonts w:ascii="宋体" w:hAnsi="宋体"/>
          <w:sz w:val="28"/>
          <w:szCs w:val="28"/>
        </w:rPr>
      </w:pPr>
      <w:r>
        <w:rPr>
          <w:rFonts w:hint="eastAsia" w:ascii="宋体" w:hAnsi="宋体"/>
          <w:sz w:val="28"/>
          <w:szCs w:val="28"/>
        </w:rPr>
        <w:t>（4）在竞价过程中以挂牌价格为起始价格，各竞买人均不应价的；</w:t>
      </w:r>
    </w:p>
    <w:p>
      <w:pPr>
        <w:spacing w:after="0" w:line="360" w:lineRule="auto"/>
        <w:ind w:firstLine="338" w:firstLineChars="121"/>
        <w:rPr>
          <w:rFonts w:ascii="宋体" w:hAnsi="宋体"/>
          <w:sz w:val="28"/>
          <w:szCs w:val="28"/>
        </w:rPr>
      </w:pPr>
      <w:r>
        <w:rPr>
          <w:rFonts w:hint="eastAsia" w:ascii="宋体" w:hAnsi="宋体"/>
          <w:sz w:val="28"/>
          <w:szCs w:val="28"/>
        </w:rPr>
        <w:t>（5）被确定为最终受让方后，未按期支付成交款项的；</w:t>
      </w:r>
    </w:p>
    <w:p>
      <w:pPr>
        <w:spacing w:after="0" w:line="360" w:lineRule="auto"/>
        <w:ind w:firstLine="338" w:firstLineChars="121"/>
        <w:rPr>
          <w:rFonts w:ascii="宋体" w:hAnsi="宋体"/>
          <w:sz w:val="28"/>
          <w:szCs w:val="28"/>
        </w:rPr>
      </w:pPr>
      <w:r>
        <w:rPr>
          <w:rFonts w:hint="eastAsia" w:ascii="宋体" w:hAnsi="宋体"/>
          <w:sz w:val="28"/>
          <w:szCs w:val="28"/>
        </w:rPr>
        <w:t>（6）未按期与出让方签订《成交确定书》和《转让合同》的；</w:t>
      </w:r>
    </w:p>
    <w:p>
      <w:pPr>
        <w:spacing w:after="0" w:line="360" w:lineRule="auto"/>
        <w:ind w:firstLine="338" w:firstLineChars="121"/>
        <w:rPr>
          <w:rFonts w:ascii="宋体" w:hAnsi="宋体"/>
          <w:sz w:val="28"/>
          <w:szCs w:val="28"/>
        </w:rPr>
      </w:pPr>
      <w:r>
        <w:rPr>
          <w:rFonts w:hint="eastAsia" w:ascii="宋体" w:hAnsi="宋体"/>
          <w:sz w:val="28"/>
          <w:szCs w:val="28"/>
        </w:rPr>
        <w:t>（7）竞买人存在影响标的正常转让、竞价公正性或其他竞价程序要求的情形的。</w:t>
      </w:r>
    </w:p>
    <w:p>
      <w:pPr>
        <w:spacing w:after="0" w:line="360" w:lineRule="auto"/>
        <w:ind w:firstLine="560"/>
        <w:rPr>
          <w:rFonts w:ascii="宋体" w:hAnsi="宋体"/>
          <w:sz w:val="28"/>
          <w:szCs w:val="28"/>
        </w:rPr>
      </w:pPr>
      <w:r>
        <w:rPr>
          <w:rFonts w:hint="eastAsia" w:ascii="宋体" w:hAnsi="宋体"/>
          <w:sz w:val="28"/>
          <w:szCs w:val="28"/>
        </w:rPr>
        <w:t>九、报名受理</w:t>
      </w:r>
    </w:p>
    <w:p>
      <w:pPr>
        <w:spacing w:after="0" w:line="360" w:lineRule="auto"/>
        <w:ind w:firstLine="560"/>
        <w:rPr>
          <w:rFonts w:ascii="宋体" w:hAnsi="宋体"/>
          <w:sz w:val="28"/>
          <w:szCs w:val="28"/>
        </w:rPr>
      </w:pPr>
      <w:r>
        <w:rPr>
          <w:rFonts w:hint="eastAsia" w:ascii="宋体" w:hAnsi="宋体"/>
          <w:sz w:val="28"/>
          <w:szCs w:val="28"/>
        </w:rPr>
        <w:t>竞买人应提供下列竞买资料后，台州市产权交易所有限公司（下称“产交所”）予以报名受理，并出具受理通知书。</w:t>
      </w:r>
    </w:p>
    <w:p>
      <w:pPr>
        <w:spacing w:after="0" w:line="360" w:lineRule="auto"/>
        <w:ind w:firstLine="560"/>
        <w:rPr>
          <w:rFonts w:ascii="宋体" w:hAnsi="宋体"/>
          <w:sz w:val="28"/>
          <w:szCs w:val="28"/>
        </w:rPr>
      </w:pPr>
      <w:r>
        <w:rPr>
          <w:rFonts w:hint="eastAsia" w:ascii="宋体" w:hAnsi="宋体"/>
          <w:sz w:val="28"/>
          <w:szCs w:val="28"/>
        </w:rPr>
        <w:t>1、竞买申请书及承诺函；</w:t>
      </w:r>
    </w:p>
    <w:p>
      <w:pPr>
        <w:spacing w:after="0" w:line="360" w:lineRule="auto"/>
        <w:ind w:firstLine="560"/>
        <w:rPr>
          <w:rFonts w:ascii="宋体" w:hAnsi="宋体"/>
          <w:sz w:val="28"/>
          <w:szCs w:val="28"/>
        </w:rPr>
      </w:pPr>
      <w:r>
        <w:rPr>
          <w:rFonts w:hint="eastAsia" w:ascii="宋体" w:hAnsi="宋体"/>
          <w:sz w:val="28"/>
          <w:szCs w:val="28"/>
        </w:rPr>
        <w:t>2、竞买人的主体资格证明文件：企业法人须提交有效的企业法人营业执照、法定代表人身份证（复印件加盖竞买人公章）；</w:t>
      </w:r>
    </w:p>
    <w:p>
      <w:pPr>
        <w:spacing w:after="0" w:line="360" w:lineRule="auto"/>
        <w:ind w:firstLine="560"/>
        <w:rPr>
          <w:rFonts w:ascii="宋体" w:hAnsi="宋体"/>
          <w:sz w:val="28"/>
          <w:szCs w:val="28"/>
        </w:rPr>
      </w:pPr>
      <w:r>
        <w:rPr>
          <w:rFonts w:hint="eastAsia" w:ascii="宋体" w:hAnsi="宋体"/>
          <w:sz w:val="28"/>
          <w:szCs w:val="28"/>
        </w:rPr>
        <w:t>3、章程（复印件加盖竞买人公章）、参加本次股权竞买的内部决策文件及相应批准文件；</w:t>
      </w:r>
    </w:p>
    <w:p>
      <w:pPr>
        <w:spacing w:after="0" w:line="360" w:lineRule="auto"/>
        <w:ind w:firstLine="560"/>
        <w:rPr>
          <w:rFonts w:ascii="宋体" w:hAnsi="宋体"/>
          <w:sz w:val="28"/>
          <w:szCs w:val="28"/>
        </w:rPr>
      </w:pPr>
      <w:r>
        <w:rPr>
          <w:rFonts w:hint="eastAsia" w:ascii="宋体" w:hAnsi="宋体"/>
          <w:sz w:val="28"/>
          <w:szCs w:val="28"/>
        </w:rPr>
        <w:t>4、其他有关本次批准挂牌转让报名所需的材料；</w:t>
      </w:r>
    </w:p>
    <w:p>
      <w:pPr>
        <w:spacing w:after="0" w:line="360" w:lineRule="auto"/>
        <w:ind w:firstLine="560"/>
        <w:rPr>
          <w:rFonts w:ascii="宋体" w:hAnsi="宋体"/>
          <w:sz w:val="28"/>
          <w:szCs w:val="28"/>
        </w:rPr>
      </w:pPr>
      <w:r>
        <w:rPr>
          <w:rFonts w:hint="eastAsia" w:ascii="宋体" w:hAnsi="宋体"/>
          <w:sz w:val="28"/>
          <w:szCs w:val="28"/>
        </w:rPr>
        <w:t>5、竞买保证金缴纳依据。</w:t>
      </w:r>
    </w:p>
    <w:p>
      <w:pPr>
        <w:spacing w:after="0" w:line="360" w:lineRule="auto"/>
        <w:ind w:firstLine="560"/>
        <w:rPr>
          <w:rFonts w:ascii="宋体" w:hAnsi="宋体"/>
          <w:sz w:val="28"/>
          <w:szCs w:val="28"/>
        </w:rPr>
      </w:pPr>
      <w:r>
        <w:rPr>
          <w:rFonts w:hint="eastAsia" w:ascii="宋体" w:hAnsi="宋体"/>
          <w:sz w:val="28"/>
          <w:szCs w:val="28"/>
        </w:rPr>
        <w:t>十、竞买资格审核</w:t>
      </w:r>
    </w:p>
    <w:p>
      <w:pPr>
        <w:spacing w:after="0" w:line="360" w:lineRule="auto"/>
        <w:ind w:firstLine="560"/>
        <w:rPr>
          <w:rFonts w:ascii="宋体" w:hAnsi="宋体"/>
          <w:sz w:val="28"/>
          <w:szCs w:val="28"/>
        </w:rPr>
      </w:pPr>
      <w:r>
        <w:rPr>
          <w:rFonts w:hint="eastAsia" w:ascii="宋体" w:hAnsi="宋体"/>
          <w:sz w:val="28"/>
          <w:szCs w:val="28"/>
        </w:rPr>
        <w:t>根据竞买人提供的上述资料，产交所在本次股权转让报名截止日后进行竞买资格审核，并将审核意见书面告知转让方进行征询、确认。</w:t>
      </w:r>
    </w:p>
    <w:p>
      <w:pPr>
        <w:spacing w:after="0" w:line="360" w:lineRule="auto"/>
        <w:ind w:firstLine="560"/>
        <w:rPr>
          <w:rFonts w:ascii="宋体" w:hAnsi="宋体"/>
          <w:sz w:val="28"/>
          <w:szCs w:val="28"/>
        </w:rPr>
      </w:pPr>
      <w:r>
        <w:rPr>
          <w:rFonts w:hint="eastAsia" w:ascii="宋体" w:hAnsi="宋体"/>
          <w:sz w:val="28"/>
          <w:szCs w:val="28"/>
        </w:rPr>
        <w:t>十一、竞买资格确认</w:t>
      </w:r>
    </w:p>
    <w:p>
      <w:pPr>
        <w:spacing w:after="0" w:line="360" w:lineRule="auto"/>
        <w:ind w:firstLine="560"/>
        <w:rPr>
          <w:rFonts w:ascii="宋体" w:hAnsi="宋体"/>
          <w:sz w:val="28"/>
          <w:szCs w:val="28"/>
        </w:rPr>
      </w:pPr>
      <w:r>
        <w:rPr>
          <w:rFonts w:hint="eastAsia" w:ascii="宋体" w:hAnsi="宋体"/>
          <w:sz w:val="28"/>
          <w:szCs w:val="28"/>
        </w:rPr>
        <w:t>竞买人的竞买资格经审核后，产交所将审核确认意见即时通知竞买人。</w:t>
      </w:r>
    </w:p>
    <w:p>
      <w:pPr>
        <w:spacing w:after="0" w:line="360" w:lineRule="auto"/>
        <w:ind w:firstLine="560"/>
        <w:rPr>
          <w:rFonts w:ascii="宋体" w:hAnsi="宋体"/>
          <w:sz w:val="28"/>
          <w:szCs w:val="28"/>
        </w:rPr>
      </w:pPr>
      <w:r>
        <w:rPr>
          <w:rFonts w:hint="eastAsia" w:ascii="宋体" w:hAnsi="宋体"/>
          <w:sz w:val="28"/>
          <w:szCs w:val="28"/>
        </w:rPr>
        <w:t>十二、本次股权挂牌转让按照下列确定是否成交</w:t>
      </w:r>
    </w:p>
    <w:p>
      <w:pPr>
        <w:spacing w:after="0" w:line="360" w:lineRule="auto"/>
        <w:ind w:firstLine="560"/>
        <w:rPr>
          <w:rFonts w:ascii="宋体" w:hAnsi="宋体"/>
          <w:sz w:val="28"/>
          <w:szCs w:val="28"/>
        </w:rPr>
      </w:pPr>
      <w:r>
        <w:rPr>
          <w:rFonts w:hint="eastAsia" w:ascii="宋体" w:hAnsi="宋体"/>
          <w:sz w:val="28"/>
          <w:szCs w:val="28"/>
        </w:rPr>
        <w:t>1、在挂牌报名截止时，只有一个竞买人报名的，竞买人的受让资格经审核合格被确定为受让人后，则在不变更公告挂牌的竞买条件和合同条款的前提下，本次挂牌价为转让的成交价。</w:t>
      </w:r>
    </w:p>
    <w:p>
      <w:pPr>
        <w:spacing w:after="0" w:line="360" w:lineRule="auto"/>
        <w:ind w:firstLine="560"/>
        <w:rPr>
          <w:rFonts w:ascii="宋体" w:hAnsi="宋体"/>
          <w:sz w:val="28"/>
          <w:szCs w:val="28"/>
        </w:rPr>
      </w:pPr>
      <w:r>
        <w:rPr>
          <w:rFonts w:hint="eastAsia" w:ascii="宋体" w:hAnsi="宋体"/>
          <w:sz w:val="28"/>
          <w:szCs w:val="28"/>
        </w:rPr>
        <w:t>2、在挂牌报名截止时，无人报名或竞买人经竞买资格审核不符合条件的，则本次股权挂牌转让不成交。若公告挂牌期之内，未征集到竞买人，则</w:t>
      </w:r>
      <w:r>
        <w:rPr>
          <w:rFonts w:ascii="宋体" w:hAnsi="宋体"/>
          <w:sz w:val="28"/>
          <w:szCs w:val="28"/>
        </w:rPr>
        <w:t>不变更挂牌条件，</w:t>
      </w:r>
      <w:r>
        <w:rPr>
          <w:rFonts w:hint="eastAsia" w:ascii="宋体" w:hAnsi="宋体"/>
          <w:sz w:val="28"/>
          <w:szCs w:val="28"/>
        </w:rPr>
        <w:t>延长信息公告期限，以5个工作日为一个周期，如未征集到意向受让方，继续顺延下一个周期，直至征集到意向受让方或转让方书面通知信息发布终结，最迟延期到</w:t>
      </w:r>
      <w:r>
        <w:rPr>
          <w:rFonts w:ascii="宋体" w:hAnsi="宋体"/>
          <w:bCs/>
          <w:sz w:val="28"/>
          <w:szCs w:val="28"/>
        </w:rPr>
        <w:t>2019</w:t>
      </w:r>
      <w:r>
        <w:rPr>
          <w:rFonts w:hint="eastAsia" w:ascii="宋体" w:hAnsi="宋体"/>
          <w:bCs/>
          <w:sz w:val="28"/>
          <w:szCs w:val="28"/>
        </w:rPr>
        <w:t>年</w:t>
      </w:r>
      <w:r>
        <w:rPr>
          <w:rFonts w:ascii="宋体" w:hAnsi="宋体"/>
          <w:bCs/>
          <w:sz w:val="28"/>
          <w:szCs w:val="28"/>
        </w:rPr>
        <w:t>10</w:t>
      </w:r>
      <w:r>
        <w:rPr>
          <w:rFonts w:hint="eastAsia" w:ascii="宋体" w:hAnsi="宋体"/>
          <w:bCs/>
          <w:sz w:val="28"/>
          <w:szCs w:val="28"/>
        </w:rPr>
        <w:t>月28日</w:t>
      </w:r>
      <w:r>
        <w:rPr>
          <w:rFonts w:hint="eastAsia" w:ascii="宋体" w:hAnsi="宋体"/>
          <w:sz w:val="28"/>
          <w:szCs w:val="28"/>
        </w:rPr>
        <w:t>。</w:t>
      </w:r>
    </w:p>
    <w:p>
      <w:pPr>
        <w:spacing w:after="0" w:line="360" w:lineRule="auto"/>
        <w:ind w:firstLine="560"/>
        <w:rPr>
          <w:rFonts w:ascii="宋体" w:hAnsi="宋体"/>
          <w:sz w:val="28"/>
          <w:szCs w:val="28"/>
        </w:rPr>
      </w:pPr>
      <w:r>
        <w:rPr>
          <w:rFonts w:hint="eastAsia" w:ascii="宋体" w:hAnsi="宋体"/>
          <w:sz w:val="28"/>
          <w:szCs w:val="28"/>
        </w:rPr>
        <w:t>3、在挂牌报名截止时，有两个或两个以上竞买人报名，竞买人的竞买资格经审核均合格的，则按照本次股权网络竞价规则实施竞价程序，出价最高者为受让方，其出价为本次项目挂牌转让的成交价。</w:t>
      </w:r>
    </w:p>
    <w:p>
      <w:pPr>
        <w:spacing w:after="0" w:line="360" w:lineRule="auto"/>
        <w:ind w:firstLine="560"/>
        <w:rPr>
          <w:rFonts w:hint="eastAsia" w:ascii="宋体" w:hAnsi="宋体" w:cs="宋体"/>
          <w:bCs/>
          <w:kern w:val="0"/>
          <w:sz w:val="28"/>
          <w:szCs w:val="28"/>
        </w:rPr>
      </w:pPr>
      <w:r>
        <w:rPr>
          <w:rFonts w:hint="eastAsia" w:ascii="宋体" w:hAnsi="宋体"/>
          <w:sz w:val="28"/>
          <w:szCs w:val="28"/>
        </w:rPr>
        <w:t>网络竞价时间：</w:t>
      </w:r>
      <w:r>
        <w:rPr>
          <w:rFonts w:hint="eastAsia" w:ascii="宋体" w:hAnsi="宋体" w:cs="宋体"/>
          <w:bCs/>
          <w:kern w:val="0"/>
          <w:sz w:val="28"/>
          <w:szCs w:val="28"/>
        </w:rPr>
        <w:t>2019年7月1日（星期一）上午9：30。若第一轮挂牌期间无人摘牌，则挂牌期限顺延，每5个工作日为一个延期周期；当出现意向受让方报名时，该延期周期结束；结束后次一个工作日进行网络竞价。</w:t>
      </w:r>
    </w:p>
    <w:p>
      <w:pPr>
        <w:spacing w:after="0" w:line="360" w:lineRule="auto"/>
        <w:ind w:firstLine="560"/>
        <w:rPr>
          <w:rFonts w:ascii="宋体" w:hAnsi="宋体"/>
          <w:sz w:val="28"/>
          <w:szCs w:val="28"/>
        </w:rPr>
      </w:pPr>
      <w:r>
        <w:rPr>
          <w:rFonts w:hint="eastAsia" w:ascii="宋体" w:hAnsi="宋体"/>
          <w:sz w:val="28"/>
          <w:szCs w:val="28"/>
        </w:rPr>
        <w:t>实行网络报名：台州市公共资源交易网（http://www.tzztb.com/tzcms/）现场资格确认。</w:t>
      </w:r>
    </w:p>
    <w:p>
      <w:pPr>
        <w:spacing w:after="0" w:line="360" w:lineRule="auto"/>
        <w:ind w:firstLine="560"/>
        <w:rPr>
          <w:rFonts w:ascii="宋体" w:hAnsi="宋体"/>
          <w:sz w:val="28"/>
          <w:szCs w:val="28"/>
        </w:rPr>
      </w:pPr>
      <w:r>
        <w:rPr>
          <w:rFonts w:hint="eastAsia" w:ascii="宋体" w:hAnsi="宋体"/>
          <w:sz w:val="28"/>
          <w:szCs w:val="28"/>
        </w:rPr>
        <w:t>资格确认地址：台州市产权交易所（台州市府大道777号民泰商业银行大楼五楼511室）。</w:t>
      </w:r>
    </w:p>
    <w:p>
      <w:pPr>
        <w:spacing w:after="0" w:line="360" w:lineRule="auto"/>
        <w:ind w:firstLine="560"/>
        <w:rPr>
          <w:sz w:val="28"/>
          <w:szCs w:val="28"/>
        </w:rPr>
      </w:pPr>
      <w:r>
        <w:rPr>
          <w:rFonts w:hint="eastAsia"/>
          <w:sz w:val="28"/>
          <w:szCs w:val="28"/>
        </w:rPr>
        <w:t>上述成交价不包括买受人在办理相关手续时所发生的税、费等。</w:t>
      </w:r>
    </w:p>
    <w:p>
      <w:pPr>
        <w:spacing w:after="0" w:line="360" w:lineRule="auto"/>
        <w:ind w:firstLine="560"/>
        <w:rPr>
          <w:rFonts w:ascii="宋体" w:hAnsi="宋体"/>
          <w:sz w:val="28"/>
          <w:szCs w:val="28"/>
        </w:rPr>
      </w:pPr>
      <w:r>
        <w:rPr>
          <w:rFonts w:hint="eastAsia" w:ascii="宋体" w:hAnsi="宋体"/>
          <w:sz w:val="28"/>
          <w:szCs w:val="28"/>
        </w:rPr>
        <w:t>十三、挂牌转让成交后，受让方须二个工作日内到产权交易所签署《成交确认书》，凭成交确认书当天与转让方签订《股权转让合同》。</w:t>
      </w:r>
    </w:p>
    <w:p>
      <w:pPr>
        <w:spacing w:after="0" w:line="360" w:lineRule="auto"/>
        <w:ind w:firstLine="560"/>
        <w:rPr>
          <w:rFonts w:ascii="宋体" w:hAnsi="宋体"/>
          <w:sz w:val="28"/>
          <w:szCs w:val="28"/>
        </w:rPr>
      </w:pPr>
      <w:r>
        <w:rPr>
          <w:rFonts w:hint="eastAsia" w:ascii="宋体" w:hAnsi="宋体"/>
          <w:sz w:val="28"/>
          <w:szCs w:val="28"/>
        </w:rPr>
        <w:t>十四、交易佣金</w:t>
      </w:r>
    </w:p>
    <w:p>
      <w:pPr>
        <w:spacing w:after="0" w:line="360" w:lineRule="auto"/>
        <w:ind w:firstLine="560"/>
        <w:rPr>
          <w:rFonts w:ascii="宋体" w:hAnsi="宋体"/>
          <w:sz w:val="28"/>
          <w:szCs w:val="28"/>
        </w:rPr>
      </w:pPr>
      <w:r>
        <w:rPr>
          <w:rFonts w:hint="eastAsia" w:ascii="宋体" w:hAnsi="宋体"/>
          <w:sz w:val="28"/>
          <w:szCs w:val="28"/>
        </w:rPr>
        <w:t>交易佣金按标的成交额</w:t>
      </w:r>
      <w:r>
        <w:rPr>
          <w:rFonts w:ascii="宋体" w:hAnsi="宋体"/>
          <w:sz w:val="28"/>
          <w:szCs w:val="28"/>
        </w:rPr>
        <w:t>0.2%</w:t>
      </w:r>
      <w:r>
        <w:rPr>
          <w:rFonts w:hint="eastAsia" w:ascii="宋体" w:hAnsi="宋体"/>
          <w:sz w:val="28"/>
          <w:szCs w:val="28"/>
        </w:rPr>
        <w:t>计算收取。</w:t>
      </w:r>
    </w:p>
    <w:p>
      <w:pPr>
        <w:spacing w:after="0" w:line="360" w:lineRule="auto"/>
        <w:ind w:firstLine="560"/>
        <w:rPr>
          <w:rFonts w:ascii="宋体" w:hAnsi="宋体"/>
          <w:sz w:val="28"/>
          <w:szCs w:val="28"/>
        </w:rPr>
      </w:pPr>
      <w:r>
        <w:rPr>
          <w:rFonts w:hint="eastAsia" w:ascii="宋体" w:hAnsi="宋体"/>
          <w:sz w:val="28"/>
          <w:szCs w:val="28"/>
        </w:rPr>
        <w:t>十五、付款方式</w:t>
      </w:r>
    </w:p>
    <w:p>
      <w:pPr>
        <w:numPr>
          <w:ilvl w:val="255"/>
          <w:numId w:val="0"/>
        </w:numPr>
        <w:tabs>
          <w:tab w:val="left" w:pos="6960"/>
        </w:tabs>
        <w:spacing w:after="0" w:line="360" w:lineRule="auto"/>
        <w:ind w:firstLine="560"/>
        <w:jc w:val="left"/>
        <w:rPr>
          <w:rFonts w:ascii="宋体" w:hAnsi="宋体"/>
          <w:sz w:val="28"/>
          <w:szCs w:val="28"/>
        </w:rPr>
      </w:pPr>
      <w:bookmarkStart w:id="10" w:name="_Hlk9845247"/>
      <w:bookmarkStart w:id="11" w:name="_Hlk9516373"/>
      <w:r>
        <w:rPr>
          <w:rFonts w:hint="eastAsia" w:ascii="宋体" w:hAnsi="宋体"/>
          <w:sz w:val="28"/>
          <w:szCs w:val="28"/>
        </w:rPr>
        <w:t>受让方与出让方的《股权转让合同》签订生效后五个工作日内支付本次股权转让成交价款的首款（即不低于总转让价值的30%）及交易佣金，上述款项缴入</w:t>
      </w:r>
      <w:r>
        <w:rPr>
          <w:rFonts w:hint="eastAsia" w:ascii="宋体" w:hAnsi="宋体"/>
          <w:bCs/>
          <w:sz w:val="28"/>
          <w:szCs w:val="28"/>
        </w:rPr>
        <w:t>台州市产权交易所有限公司（人民币开户</w:t>
      </w:r>
      <w:r>
        <w:rPr>
          <w:rFonts w:hint="eastAsia" w:ascii="宋体" w:hAnsi="宋体"/>
          <w:b/>
          <w:bCs/>
          <w:sz w:val="28"/>
          <w:szCs w:val="28"/>
        </w:rPr>
        <w:t>单位名称：台州市产权交易所有限公司，人民币开户行：</w:t>
      </w:r>
      <w:r>
        <w:rPr>
          <w:rFonts w:ascii="宋体" w:hAnsi="宋体"/>
          <w:b/>
          <w:bCs/>
          <w:sz w:val="28"/>
          <w:szCs w:val="28"/>
        </w:rPr>
        <w:t>浙江民泰商业银行台州椒江支行</w:t>
      </w:r>
      <w:r>
        <w:rPr>
          <w:rFonts w:hint="eastAsia" w:ascii="宋体" w:hAnsi="宋体"/>
          <w:b/>
          <w:bCs/>
          <w:sz w:val="28"/>
          <w:szCs w:val="28"/>
        </w:rPr>
        <w:t>，人民币账号：</w:t>
      </w:r>
      <w:r>
        <w:rPr>
          <w:rFonts w:ascii="宋体" w:hAnsi="宋体"/>
          <w:b/>
          <w:bCs/>
          <w:sz w:val="28"/>
          <w:szCs w:val="28"/>
        </w:rPr>
        <w:t>583016260</w:t>
      </w:r>
      <w:r>
        <w:rPr>
          <w:rFonts w:hint="eastAsia" w:ascii="宋体" w:hAnsi="宋体"/>
          <w:b/>
          <w:bCs/>
          <w:sz w:val="28"/>
          <w:szCs w:val="28"/>
        </w:rPr>
        <w:t>8</w:t>
      </w:r>
      <w:r>
        <w:rPr>
          <w:rFonts w:ascii="宋体" w:hAnsi="宋体"/>
          <w:b/>
          <w:bCs/>
          <w:sz w:val="28"/>
          <w:szCs w:val="28"/>
        </w:rPr>
        <w:t>000</w:t>
      </w:r>
      <w:r>
        <w:rPr>
          <w:rFonts w:hint="eastAsia" w:ascii="宋体" w:hAnsi="宋体"/>
          <w:b/>
          <w:bCs/>
          <w:sz w:val="28"/>
          <w:szCs w:val="28"/>
        </w:rPr>
        <w:t>28；美元开户单位：台州市产权交易所有限公司，美元开户行：中国农业银行台州市经济开发区支行，美元账号19900114040001067</w:t>
      </w:r>
      <w:r>
        <w:rPr>
          <w:rFonts w:hint="eastAsia" w:ascii="宋体" w:hAnsi="宋体"/>
          <w:bCs/>
          <w:sz w:val="28"/>
          <w:szCs w:val="28"/>
        </w:rPr>
        <w:t>）</w:t>
      </w:r>
      <w:r>
        <w:rPr>
          <w:rFonts w:hint="eastAsia" w:ascii="宋体" w:hAnsi="宋体"/>
          <w:sz w:val="28"/>
          <w:szCs w:val="28"/>
        </w:rPr>
        <w:t>。</w:t>
      </w:r>
    </w:p>
    <w:p>
      <w:pPr>
        <w:spacing w:after="0" w:line="360" w:lineRule="auto"/>
        <w:ind w:firstLine="560"/>
        <w:rPr>
          <w:rFonts w:ascii="宋体" w:hAnsi="宋体"/>
          <w:sz w:val="28"/>
          <w:szCs w:val="28"/>
        </w:rPr>
      </w:pPr>
      <w:r>
        <w:rPr>
          <w:rFonts w:hint="eastAsia" w:ascii="宋体" w:hAnsi="宋体"/>
          <w:sz w:val="28"/>
          <w:szCs w:val="28"/>
        </w:rPr>
        <w:t>剩余款项在</w:t>
      </w:r>
      <w:r>
        <w:rPr>
          <w:rFonts w:ascii="宋体" w:hAnsi="宋体"/>
          <w:sz w:val="28"/>
          <w:szCs w:val="28"/>
        </w:rPr>
        <w:t>2019</w:t>
      </w:r>
      <w:r>
        <w:rPr>
          <w:rFonts w:hint="eastAsia" w:ascii="宋体" w:hAnsi="宋体"/>
          <w:sz w:val="28"/>
          <w:szCs w:val="28"/>
        </w:rPr>
        <w:t>年</w:t>
      </w:r>
      <w:r>
        <w:rPr>
          <w:rFonts w:ascii="宋体" w:hAnsi="宋体"/>
          <w:sz w:val="28"/>
          <w:szCs w:val="28"/>
        </w:rPr>
        <w:t>11</w:t>
      </w:r>
      <w:r>
        <w:rPr>
          <w:rFonts w:hint="eastAsia" w:ascii="宋体" w:hAnsi="宋体"/>
          <w:sz w:val="28"/>
          <w:szCs w:val="28"/>
        </w:rPr>
        <w:t>月</w:t>
      </w:r>
      <w:r>
        <w:rPr>
          <w:rFonts w:ascii="宋体" w:hAnsi="宋体"/>
          <w:sz w:val="28"/>
          <w:szCs w:val="28"/>
        </w:rPr>
        <w:t>29</w:t>
      </w:r>
      <w:r>
        <w:rPr>
          <w:rFonts w:hint="eastAsia" w:ascii="宋体" w:hAnsi="宋体"/>
          <w:sz w:val="28"/>
          <w:szCs w:val="28"/>
        </w:rPr>
        <w:t>日前支付完成，且提供银行保函或符合出让方要求的合法有效担保，并按同期银行贷款利率支付首次付款日至分期付款日期间的利息。该款项直接支付给出让方（</w:t>
      </w:r>
      <w:r>
        <w:rPr>
          <w:rFonts w:hint="eastAsia" w:ascii="宋体" w:hAnsi="宋体"/>
          <w:b/>
          <w:sz w:val="28"/>
          <w:szCs w:val="28"/>
        </w:rPr>
        <w:t>单位名称：</w:t>
      </w:r>
      <w:r>
        <w:rPr>
          <w:rFonts w:hint="eastAsia" w:ascii="宋体" w:hAnsi="宋体"/>
          <w:b/>
          <w:bCs/>
          <w:sz w:val="28"/>
          <w:szCs w:val="28"/>
        </w:rPr>
        <w:t>浙江海正药业股份有限公司，</w:t>
      </w:r>
      <w:r>
        <w:rPr>
          <w:rFonts w:hint="eastAsia" w:ascii="宋体" w:hAnsi="宋体"/>
          <w:b/>
          <w:sz w:val="28"/>
          <w:szCs w:val="28"/>
        </w:rPr>
        <w:t>开户行：中国工商银行台州市椒江区支行，账号：1207011109021000728</w:t>
      </w:r>
      <w:r>
        <w:rPr>
          <w:rFonts w:hint="eastAsia" w:ascii="宋体" w:hAnsi="宋体"/>
          <w:sz w:val="28"/>
          <w:szCs w:val="28"/>
        </w:rPr>
        <w:t>）。</w:t>
      </w:r>
    </w:p>
    <w:bookmarkEnd w:id="10"/>
    <w:p>
      <w:pPr>
        <w:numPr>
          <w:ilvl w:val="255"/>
          <w:numId w:val="0"/>
        </w:numPr>
        <w:tabs>
          <w:tab w:val="left" w:pos="6960"/>
        </w:tabs>
        <w:spacing w:after="0" w:line="360" w:lineRule="auto"/>
        <w:ind w:firstLine="560"/>
        <w:jc w:val="left"/>
        <w:rPr>
          <w:rFonts w:ascii="宋体" w:hAnsi="宋体"/>
          <w:b/>
          <w:bCs/>
          <w:sz w:val="28"/>
          <w:szCs w:val="28"/>
        </w:rPr>
      </w:pPr>
      <w:r>
        <w:rPr>
          <w:rFonts w:hint="eastAsia" w:ascii="宋体" w:hAnsi="宋体"/>
          <w:sz w:val="28"/>
          <w:szCs w:val="28"/>
        </w:rPr>
        <w:t>受让方先期缴纳的竞买保证金转为履约保证金并可抵作部分转让价款。</w:t>
      </w:r>
    </w:p>
    <w:bookmarkEnd w:id="11"/>
    <w:p>
      <w:pPr>
        <w:spacing w:after="0" w:line="360" w:lineRule="auto"/>
        <w:ind w:firstLine="560"/>
        <w:rPr>
          <w:rFonts w:ascii="宋体" w:hAnsi="宋体"/>
          <w:bCs/>
          <w:sz w:val="28"/>
          <w:szCs w:val="28"/>
        </w:rPr>
      </w:pPr>
      <w:r>
        <w:rPr>
          <w:rFonts w:hint="eastAsia" w:ascii="宋体" w:hAnsi="宋体"/>
          <w:sz w:val="28"/>
          <w:szCs w:val="28"/>
        </w:rPr>
        <w:t>十六、</w:t>
      </w:r>
      <w:r>
        <w:rPr>
          <w:rFonts w:hint="eastAsia" w:ascii="宋体" w:hAnsi="宋体"/>
          <w:bCs/>
          <w:sz w:val="28"/>
          <w:szCs w:val="28"/>
        </w:rPr>
        <w:t>股权转让的移交、交割与清算</w:t>
      </w:r>
    </w:p>
    <w:p>
      <w:pPr>
        <w:spacing w:after="0" w:line="360" w:lineRule="auto"/>
        <w:ind w:firstLine="560"/>
        <w:rPr>
          <w:rFonts w:ascii="宋体" w:hAnsi="宋体"/>
          <w:sz w:val="28"/>
          <w:szCs w:val="28"/>
        </w:rPr>
      </w:pPr>
      <w:r>
        <w:rPr>
          <w:rFonts w:hint="eastAsia" w:ascii="宋体" w:hAnsi="宋体"/>
          <w:bCs/>
          <w:sz w:val="28"/>
          <w:szCs w:val="28"/>
        </w:rPr>
        <w:t>1、本次股权转让的交接，在出让方与受让方之间进行。受让方负责付清本次股权转让首款及佣金后，产交所审核后向受让方出具本次股权转让的《产权交易凭证》，受让方方能要求与出让方办理股权挂牌转让标的的交接手续；</w:t>
      </w:r>
    </w:p>
    <w:p>
      <w:pPr>
        <w:spacing w:after="0" w:line="360" w:lineRule="auto"/>
        <w:ind w:firstLine="560"/>
        <w:rPr>
          <w:rFonts w:ascii="宋体" w:hAnsi="宋体"/>
          <w:bCs/>
          <w:sz w:val="28"/>
          <w:szCs w:val="28"/>
        </w:rPr>
      </w:pPr>
      <w:r>
        <w:rPr>
          <w:rFonts w:hint="eastAsia" w:ascii="宋体" w:hAnsi="宋体"/>
          <w:bCs/>
          <w:sz w:val="28"/>
          <w:szCs w:val="28"/>
        </w:rPr>
        <w:t>2、股权转让交割日：工商变更登记之日为股权转让交割日，表示本次股权转让交割完毕。</w:t>
      </w:r>
    </w:p>
    <w:p>
      <w:pPr>
        <w:spacing w:after="0" w:line="360" w:lineRule="auto"/>
        <w:ind w:firstLine="560"/>
        <w:rPr>
          <w:rFonts w:ascii="宋体" w:hAnsi="宋体"/>
          <w:bCs/>
          <w:sz w:val="28"/>
          <w:szCs w:val="28"/>
        </w:rPr>
      </w:pPr>
      <w:r>
        <w:rPr>
          <w:rFonts w:hint="eastAsia" w:ascii="宋体" w:hAnsi="宋体"/>
          <w:bCs/>
          <w:sz w:val="28"/>
          <w:szCs w:val="28"/>
        </w:rPr>
        <w:t>3、股权转让评估基准日（2018年6月30日）至股权转让交割日期间，标的企业经营损益不再进行审计清算，由受让方享有或承担。</w:t>
      </w:r>
    </w:p>
    <w:p>
      <w:pPr>
        <w:spacing w:after="0" w:line="360" w:lineRule="auto"/>
        <w:ind w:firstLine="560"/>
        <w:rPr>
          <w:rFonts w:ascii="宋体" w:hAnsi="宋体"/>
          <w:bCs/>
          <w:sz w:val="28"/>
          <w:szCs w:val="28"/>
        </w:rPr>
      </w:pPr>
      <w:r>
        <w:rPr>
          <w:rFonts w:hint="eastAsia" w:ascii="宋体" w:hAnsi="宋体"/>
          <w:sz w:val="28"/>
          <w:szCs w:val="28"/>
        </w:rPr>
        <w:t>十七</w:t>
      </w:r>
      <w:r>
        <w:rPr>
          <w:rFonts w:hint="eastAsia" w:ascii="宋体" w:hAnsi="宋体"/>
          <w:bCs/>
          <w:sz w:val="28"/>
          <w:szCs w:val="28"/>
        </w:rPr>
        <w:t>、股权变更登记</w:t>
      </w:r>
    </w:p>
    <w:p>
      <w:pPr>
        <w:spacing w:after="0" w:line="360" w:lineRule="auto"/>
        <w:ind w:firstLine="560"/>
        <w:rPr>
          <w:rFonts w:ascii="宋体" w:hAnsi="宋体"/>
          <w:bCs/>
          <w:sz w:val="28"/>
          <w:szCs w:val="28"/>
        </w:rPr>
      </w:pPr>
      <w:r>
        <w:rPr>
          <w:rFonts w:hint="eastAsia" w:ascii="宋体" w:hAnsi="宋体"/>
          <w:bCs/>
          <w:sz w:val="28"/>
          <w:szCs w:val="28"/>
        </w:rPr>
        <w:t>受让方取得产交所出具的《产权交易凭证》后，应在出让方配合协助下自行办妥股权转让法律程序必备的文件资料，并上报有关部门进行股权变更登记申请手续。股权变更所发生的费用（税金除外）由受让方承担。如果由于受让方的原因导致无法获准变更登记的，由受让方承担违约责任，出让方与产交所不承担任何责任。</w:t>
      </w:r>
    </w:p>
    <w:p>
      <w:pPr>
        <w:spacing w:after="0" w:line="360" w:lineRule="auto"/>
        <w:ind w:firstLine="560"/>
        <w:rPr>
          <w:rFonts w:ascii="宋体" w:hAnsi="宋体"/>
          <w:bCs/>
          <w:sz w:val="28"/>
          <w:szCs w:val="28"/>
        </w:rPr>
      </w:pPr>
      <w:r>
        <w:rPr>
          <w:rFonts w:hint="eastAsia" w:ascii="宋体" w:hAnsi="宋体"/>
          <w:bCs/>
          <w:sz w:val="28"/>
          <w:szCs w:val="28"/>
        </w:rPr>
        <w:t>十八、委托人、产交所依法有权在竞价会开始前撤回、撤除转让标的并不受竞买人追索。对竞买人所造成的损失，由竞买人自行承担；交易内容发生变化的，经产交所审核后在竞价会开始前告知竞买人，相关补充内容为本次股权挂牌转让资料的有效组成部分。</w:t>
      </w:r>
    </w:p>
    <w:p>
      <w:pPr>
        <w:spacing w:after="0" w:line="360" w:lineRule="auto"/>
        <w:ind w:firstLine="560"/>
        <w:rPr>
          <w:rFonts w:ascii="宋体" w:hAnsi="宋体"/>
          <w:bCs/>
          <w:sz w:val="28"/>
          <w:szCs w:val="28"/>
        </w:rPr>
      </w:pPr>
      <w:r>
        <w:rPr>
          <w:rFonts w:hint="eastAsia" w:ascii="宋体" w:hAnsi="宋体"/>
          <w:bCs/>
          <w:sz w:val="28"/>
          <w:szCs w:val="28"/>
        </w:rPr>
        <w:t>十九、违约责任</w:t>
      </w:r>
    </w:p>
    <w:p>
      <w:pPr>
        <w:spacing w:after="0" w:line="360" w:lineRule="auto"/>
        <w:ind w:firstLine="560"/>
        <w:rPr>
          <w:rFonts w:ascii="宋体" w:hAnsi="宋体"/>
          <w:bCs/>
          <w:sz w:val="28"/>
          <w:szCs w:val="28"/>
          <w:u w:val="single"/>
        </w:rPr>
      </w:pPr>
      <w:r>
        <w:rPr>
          <w:rFonts w:hint="eastAsia" w:ascii="宋体" w:hAnsi="宋体"/>
          <w:bCs/>
          <w:sz w:val="28"/>
          <w:szCs w:val="28"/>
        </w:rPr>
        <w:t>竞买人撤回报价或成交后拒绝签署《成交确认书》、《股权转让合同》，视为其毁约，产交所有权追究其违约责任；受让方逾期支付股权转让成交款项的，视为受让方根本违约；出让方有权解除《股权转让合同》，产权交易所有权解除《成交确认书》，以上受让方应承担转让价款30%的违约金。</w:t>
      </w:r>
    </w:p>
    <w:p>
      <w:pPr>
        <w:spacing w:after="0" w:line="360" w:lineRule="auto"/>
        <w:ind w:firstLine="560"/>
        <w:rPr>
          <w:rFonts w:ascii="宋体" w:hAnsi="宋体"/>
          <w:bCs/>
          <w:sz w:val="28"/>
          <w:szCs w:val="28"/>
        </w:rPr>
      </w:pPr>
      <w:r>
        <w:rPr>
          <w:rFonts w:hint="eastAsia" w:ascii="宋体" w:hAnsi="宋体"/>
          <w:bCs/>
          <w:sz w:val="28"/>
          <w:szCs w:val="28"/>
        </w:rPr>
        <w:t>受让方毁约或根本违约情况下，产交所经委托人同意对该项标的再行挂牌转让，原受让方承担再行挂牌转让所产生的费用，再行挂牌转让成交总价低于原挂牌转让成交总价的，原受让方应当补足差额。</w:t>
      </w:r>
    </w:p>
    <w:p>
      <w:pPr>
        <w:spacing w:after="0" w:line="360" w:lineRule="auto"/>
        <w:ind w:firstLine="560"/>
        <w:rPr>
          <w:rFonts w:ascii="宋体" w:hAnsi="宋体"/>
          <w:bCs/>
          <w:sz w:val="28"/>
          <w:szCs w:val="28"/>
        </w:rPr>
      </w:pPr>
      <w:r>
        <w:rPr>
          <w:rFonts w:hint="eastAsia" w:ascii="宋体" w:hAnsi="宋体"/>
          <w:bCs/>
          <w:sz w:val="28"/>
          <w:szCs w:val="28"/>
        </w:rPr>
        <w:t>二十、竞买人应仔细审阅资产评估报告的内容，分析投资风险。请竞买人自行对标的企业的资产、负债、经营以及相关政策等情况进行全面考察和了解。一旦报名，即表明竞买人自愿承担投资风险和责任。</w:t>
      </w:r>
    </w:p>
    <w:p>
      <w:pPr>
        <w:spacing w:after="0" w:line="360" w:lineRule="auto"/>
        <w:ind w:firstLine="560"/>
        <w:rPr>
          <w:rFonts w:ascii="宋体" w:hAnsi="宋体"/>
          <w:bCs/>
          <w:sz w:val="28"/>
          <w:szCs w:val="28"/>
        </w:rPr>
      </w:pPr>
      <w:r>
        <w:rPr>
          <w:rFonts w:hint="eastAsia" w:ascii="宋体" w:hAnsi="宋体"/>
          <w:bCs/>
          <w:sz w:val="28"/>
          <w:szCs w:val="28"/>
        </w:rPr>
        <w:t>二十一、本次挂牌转让是经公告及公开展示后才举行的，挂牌转让标的涉及的相关资产、负债以现状为准。故产交所对本次挂牌转让标的涉及的相关资产、负债的状态及品质不作担保，也不承担瑕疵的担保责任。</w:t>
      </w:r>
    </w:p>
    <w:p>
      <w:pPr>
        <w:spacing w:after="0" w:line="360" w:lineRule="auto"/>
        <w:ind w:firstLine="560"/>
        <w:rPr>
          <w:rFonts w:ascii="宋体" w:hAnsi="宋体"/>
          <w:bCs/>
          <w:sz w:val="28"/>
          <w:szCs w:val="28"/>
        </w:rPr>
      </w:pPr>
      <w:r>
        <w:rPr>
          <w:rFonts w:hint="eastAsia" w:ascii="宋体" w:hAnsi="宋体"/>
          <w:bCs/>
          <w:sz w:val="28"/>
          <w:szCs w:val="28"/>
        </w:rPr>
        <w:t>二十二、凡参加本次挂牌转让的竞买人，即表明已全部了解《浙江导明医药科技有限公司20.24%国有股权转让文件》所涉及的相关资料，并愿意履行有关的义务；表明对转让标的已充分了解，并愿意承担投资风险和责任。</w:t>
      </w:r>
    </w:p>
    <w:p>
      <w:pPr>
        <w:spacing w:after="0" w:line="360" w:lineRule="auto"/>
        <w:ind w:firstLine="560"/>
        <w:rPr>
          <w:rFonts w:ascii="宋体" w:hAnsi="宋体"/>
          <w:bCs/>
          <w:sz w:val="28"/>
          <w:szCs w:val="28"/>
        </w:rPr>
      </w:pPr>
      <w:r>
        <w:rPr>
          <w:rFonts w:hint="eastAsia" w:ascii="宋体" w:hAnsi="宋体"/>
          <w:bCs/>
          <w:sz w:val="28"/>
          <w:szCs w:val="28"/>
        </w:rPr>
        <w:t>二十三、本次转让文件的最终解释权归委托方和台州市产权交易所。</w:t>
      </w:r>
    </w:p>
    <w:p>
      <w:pPr>
        <w:spacing w:after="0" w:line="360" w:lineRule="auto"/>
        <w:ind w:firstLine="560"/>
        <w:rPr>
          <w:rFonts w:ascii="宋体" w:hAnsi="宋体"/>
          <w:bCs/>
          <w:sz w:val="28"/>
          <w:szCs w:val="28"/>
        </w:rPr>
      </w:pPr>
    </w:p>
    <w:p>
      <w:pPr>
        <w:spacing w:after="0" w:line="360" w:lineRule="auto"/>
        <w:ind w:right="560" w:firstLine="560"/>
        <w:rPr>
          <w:rFonts w:ascii="宋体" w:hAnsi="宋体"/>
          <w:bCs/>
          <w:sz w:val="28"/>
          <w:szCs w:val="28"/>
        </w:rPr>
      </w:pPr>
    </w:p>
    <w:p>
      <w:pPr>
        <w:spacing w:after="0" w:line="360" w:lineRule="auto"/>
        <w:ind w:firstLine="4620" w:firstLineChars="1650"/>
        <w:jc w:val="center"/>
        <w:rPr>
          <w:rFonts w:ascii="宋体" w:hAnsi="宋体"/>
          <w:bCs/>
          <w:sz w:val="28"/>
          <w:szCs w:val="28"/>
        </w:rPr>
      </w:pPr>
      <w:r>
        <w:rPr>
          <w:rFonts w:hint="eastAsia" w:ascii="宋体" w:hAnsi="宋体"/>
          <w:bCs/>
          <w:sz w:val="28"/>
          <w:szCs w:val="28"/>
        </w:rPr>
        <w:t>台州市产权交易所有限公司</w:t>
      </w:r>
    </w:p>
    <w:p>
      <w:pPr>
        <w:spacing w:after="0" w:line="360" w:lineRule="auto"/>
        <w:ind w:firstLine="4620" w:firstLineChars="1650"/>
        <w:jc w:val="center"/>
        <w:rPr>
          <w:rFonts w:ascii="宋体" w:hAnsi="宋体"/>
          <w:bCs/>
          <w:sz w:val="28"/>
          <w:szCs w:val="28"/>
        </w:rPr>
      </w:pPr>
      <w:r>
        <w:rPr>
          <w:rFonts w:hint="eastAsia" w:ascii="宋体" w:hAnsi="宋体"/>
          <w:bCs/>
          <w:sz w:val="28"/>
          <w:szCs w:val="28"/>
        </w:rPr>
        <w:t>二○一九年五月三十一日</w:t>
      </w:r>
    </w:p>
    <w:p>
      <w:pPr>
        <w:widowControl/>
        <w:spacing w:after="0" w:line="360" w:lineRule="auto"/>
        <w:ind w:firstLine="0" w:firstLineChars="0"/>
        <w:jc w:val="center"/>
        <w:rPr>
          <w:rFonts w:ascii="华文中宋" w:hAnsi="华文中宋" w:eastAsia="华文中宋" w:cs="华文中宋"/>
          <w:sz w:val="28"/>
          <w:szCs w:val="28"/>
          <w:shd w:val="clear" w:color="auto" w:fill="FFFFFF"/>
        </w:rPr>
      </w:pPr>
      <w:r>
        <w:rPr>
          <w:rStyle w:val="22"/>
          <w:rFonts w:hint="eastAsia"/>
        </w:rPr>
        <w:t>网络竞价规则</w:t>
      </w:r>
    </w:p>
    <w:p>
      <w:pPr>
        <w:tabs>
          <w:tab w:val="left" w:pos="720"/>
          <w:tab w:val="left" w:pos="1260"/>
          <w:tab w:val="left" w:pos="2160"/>
          <w:tab w:val="left" w:pos="2880"/>
          <w:tab w:val="left" w:pos="3600"/>
          <w:tab w:val="left" w:pos="4320"/>
          <w:tab w:val="left" w:pos="5040"/>
          <w:tab w:val="left" w:pos="5760"/>
          <w:tab w:val="left" w:pos="6660"/>
          <w:tab w:val="left" w:pos="8280"/>
        </w:tabs>
        <w:autoSpaceDE w:val="0"/>
        <w:autoSpaceDN w:val="0"/>
        <w:adjustRightInd w:val="0"/>
        <w:spacing w:after="0" w:line="360" w:lineRule="auto"/>
        <w:ind w:right="23" w:firstLine="560"/>
        <w:rPr>
          <w:rFonts w:ascii="宋体" w:hAnsi="宋体" w:cs="宋体"/>
          <w:kern w:val="0"/>
          <w:sz w:val="28"/>
          <w:szCs w:val="28"/>
        </w:rPr>
      </w:pPr>
      <w:r>
        <w:rPr>
          <w:rFonts w:hint="eastAsia" w:ascii="宋体" w:hAnsi="宋体" w:cs="宋体"/>
          <w:kern w:val="0"/>
          <w:sz w:val="28"/>
          <w:szCs w:val="28"/>
        </w:rPr>
        <w:t>台州市产权交易所（以下简称“产交所”）对浙江导明医药科技有限公司20.24%国有股权</w:t>
      </w:r>
      <w:r>
        <w:rPr>
          <w:rFonts w:hint="eastAsia" w:ascii="宋体" w:hAnsi="宋体"/>
          <w:sz w:val="28"/>
          <w:szCs w:val="28"/>
        </w:rPr>
        <w:t>对外公开出让</w:t>
      </w:r>
      <w:r>
        <w:rPr>
          <w:rFonts w:hint="eastAsia" w:ascii="宋体" w:hAnsi="宋体" w:cs="宋体"/>
          <w:kern w:val="0"/>
          <w:sz w:val="28"/>
          <w:szCs w:val="28"/>
        </w:rPr>
        <w:t>，特制定本次多次性网络竞价规则：</w:t>
      </w:r>
    </w:p>
    <w:p>
      <w:pPr>
        <w:spacing w:after="0" w:line="360" w:lineRule="auto"/>
        <w:ind w:firstLine="560"/>
        <w:rPr>
          <w:rFonts w:ascii="宋体" w:hAnsi="宋体" w:cs="宋体"/>
          <w:sz w:val="28"/>
          <w:szCs w:val="28"/>
        </w:rPr>
      </w:pPr>
      <w:r>
        <w:rPr>
          <w:rFonts w:hint="eastAsia" w:ascii="宋体" w:hAnsi="宋体" w:cs="宋体"/>
          <w:sz w:val="28"/>
          <w:szCs w:val="28"/>
        </w:rPr>
        <w:t>一、竞价人报名及资格确认成功后，即表示已认真阅读并同意本竞价文件中提出的相关内容，报价一经确认提交即不可撤回，竞价人须谨慎报价。</w:t>
      </w:r>
    </w:p>
    <w:p>
      <w:pPr>
        <w:spacing w:after="0" w:line="360" w:lineRule="auto"/>
        <w:ind w:firstLine="551" w:firstLineChars="196"/>
        <w:rPr>
          <w:rFonts w:ascii="宋体" w:hAnsi="宋体" w:cs="宋体"/>
          <w:b/>
          <w:bCs/>
          <w:sz w:val="28"/>
          <w:szCs w:val="28"/>
        </w:rPr>
      </w:pPr>
      <w:r>
        <w:rPr>
          <w:rFonts w:hint="eastAsia" w:ascii="宋体" w:hAnsi="宋体" w:cs="宋体"/>
          <w:b/>
          <w:sz w:val="28"/>
          <w:szCs w:val="28"/>
        </w:rPr>
        <w:t>二、本次报价不得低于起始价人民币13,836.91万元或等值其他货币。</w:t>
      </w:r>
    </w:p>
    <w:p>
      <w:pPr>
        <w:widowControl/>
        <w:shd w:val="clear" w:color="auto" w:fill="FFFFFF"/>
        <w:spacing w:after="0" w:line="360" w:lineRule="auto"/>
        <w:ind w:firstLine="562"/>
        <w:jc w:val="left"/>
        <w:rPr>
          <w:rFonts w:ascii="宋体" w:hAnsi="宋体" w:cs="宋体"/>
          <w:i/>
          <w:sz w:val="28"/>
          <w:szCs w:val="28"/>
        </w:rPr>
      </w:pPr>
      <w:r>
        <w:rPr>
          <w:rFonts w:hint="eastAsia" w:ascii="宋体" w:hAnsi="宋体" w:cs="宋体"/>
          <w:b/>
          <w:bCs/>
          <w:sz w:val="28"/>
          <w:szCs w:val="28"/>
        </w:rPr>
        <w:t>三、</w:t>
      </w:r>
      <w:r>
        <w:rPr>
          <w:rFonts w:hint="eastAsia" w:ascii="宋体" w:hAnsi="宋体" w:cs="宋体"/>
          <w:sz w:val="28"/>
          <w:szCs w:val="28"/>
        </w:rPr>
        <w:t>本次报价以报价最高者为成交方。</w:t>
      </w:r>
    </w:p>
    <w:p>
      <w:pPr>
        <w:widowControl/>
        <w:shd w:val="clear" w:color="auto" w:fill="FFFFFF"/>
        <w:spacing w:after="0" w:line="360" w:lineRule="auto"/>
        <w:ind w:firstLine="562"/>
        <w:jc w:val="left"/>
        <w:rPr>
          <w:rFonts w:ascii="宋体" w:hAnsi="宋体" w:cs="宋体"/>
          <w:b/>
          <w:bCs/>
          <w:sz w:val="28"/>
          <w:szCs w:val="28"/>
        </w:rPr>
      </w:pPr>
      <w:r>
        <w:rPr>
          <w:rFonts w:hint="eastAsia" w:ascii="宋体" w:hAnsi="宋体" w:cs="宋体"/>
          <w:b/>
          <w:bCs/>
          <w:sz w:val="28"/>
          <w:szCs w:val="28"/>
        </w:rPr>
        <w:t>四、网络多次性竞价程序：</w:t>
      </w:r>
    </w:p>
    <w:p>
      <w:pPr>
        <w:spacing w:after="0" w:line="360" w:lineRule="auto"/>
        <w:ind w:firstLine="560"/>
        <w:rPr>
          <w:rFonts w:ascii="宋体" w:hAnsi="宋体" w:cs="宋体"/>
          <w:b/>
          <w:kern w:val="0"/>
          <w:sz w:val="28"/>
          <w:szCs w:val="28"/>
        </w:rPr>
      </w:pPr>
      <w:r>
        <w:rPr>
          <w:rFonts w:hint="eastAsia" w:ascii="宋体" w:hAnsi="宋体" w:cs="宋体"/>
          <w:sz w:val="28"/>
          <w:szCs w:val="28"/>
        </w:rPr>
        <w:t>1、意向竞价人在台州市公共资源交易网</w:t>
      </w:r>
      <w:r>
        <w:rPr>
          <w:rFonts w:hint="eastAsia" w:ascii="宋体" w:hAnsi="宋体" w:cs="宋体"/>
          <w:b/>
          <w:kern w:val="0"/>
          <w:sz w:val="28"/>
          <w:szCs w:val="28"/>
        </w:rPr>
        <w:t>（</w:t>
      </w:r>
      <w:r>
        <w:fldChar w:fldCharType="begin"/>
      </w:r>
      <w:r>
        <w:instrText xml:space="preserve"> HYPERLINK "http://www.tzztb.com/tzcms/" </w:instrText>
      </w:r>
      <w:r>
        <w:fldChar w:fldCharType="separate"/>
      </w:r>
      <w:r>
        <w:rPr>
          <w:rStyle w:val="16"/>
          <w:rFonts w:hint="eastAsia" w:ascii="宋体" w:hAnsi="宋体" w:cs="宋体"/>
          <w:b/>
          <w:color w:val="auto"/>
          <w:sz w:val="28"/>
          <w:szCs w:val="28"/>
        </w:rPr>
        <w:t>http://www.tzztb.com/tzcms/</w:t>
      </w:r>
      <w:r>
        <w:rPr>
          <w:rStyle w:val="16"/>
          <w:rFonts w:hint="eastAsia" w:ascii="宋体" w:hAnsi="宋体" w:cs="宋体"/>
          <w:b/>
          <w:color w:val="auto"/>
          <w:sz w:val="28"/>
          <w:szCs w:val="28"/>
        </w:rPr>
        <w:fldChar w:fldCharType="end"/>
      </w:r>
      <w:r>
        <w:rPr>
          <w:rFonts w:hint="eastAsia" w:ascii="宋体" w:hAnsi="宋体" w:cs="宋体"/>
          <w:b/>
          <w:kern w:val="0"/>
          <w:sz w:val="28"/>
          <w:szCs w:val="28"/>
        </w:rPr>
        <w:t>）</w:t>
      </w:r>
      <w:r>
        <w:rPr>
          <w:rFonts w:hint="eastAsia" w:ascii="宋体" w:hAnsi="宋体" w:cs="宋体"/>
          <w:sz w:val="28"/>
          <w:szCs w:val="28"/>
        </w:rPr>
        <w:t>上对本项目进行网络报名。如实登记手机号并牢记密码。</w:t>
      </w:r>
    </w:p>
    <w:p>
      <w:pPr>
        <w:wordWrap w:val="0"/>
        <w:spacing w:after="0" w:line="360" w:lineRule="auto"/>
        <w:ind w:firstLine="560"/>
        <w:rPr>
          <w:rFonts w:ascii="宋体" w:hAnsi="宋体" w:cs="宋体"/>
          <w:kern w:val="0"/>
          <w:sz w:val="28"/>
          <w:szCs w:val="28"/>
        </w:rPr>
      </w:pPr>
      <w:r>
        <w:rPr>
          <w:rFonts w:hint="eastAsia" w:ascii="宋体" w:hAnsi="宋体" w:cs="宋体"/>
          <w:sz w:val="28"/>
          <w:szCs w:val="28"/>
        </w:rPr>
        <w:t>2、报名成功并收到短信后在规定时间内（2019年5月31日至6月 28日16：00，节假日除外）到</w:t>
      </w:r>
      <w:r>
        <w:rPr>
          <w:rFonts w:hint="eastAsia" w:ascii="宋体" w:hAnsi="宋体" w:cs="宋体"/>
          <w:kern w:val="0"/>
          <w:sz w:val="28"/>
          <w:szCs w:val="28"/>
        </w:rPr>
        <w:t>台州市产权交易所（</w:t>
      </w:r>
      <w:r>
        <w:rPr>
          <w:rFonts w:hint="eastAsia" w:ascii="宋体" w:hAnsi="宋体"/>
          <w:kern w:val="0"/>
          <w:sz w:val="28"/>
          <w:szCs w:val="28"/>
        </w:rPr>
        <w:t>台州市市府大道777号浙江民泰商业银行五楼511室</w:t>
      </w:r>
      <w:r>
        <w:rPr>
          <w:rFonts w:hint="eastAsia" w:ascii="宋体" w:hAnsi="宋体" w:cs="宋体"/>
          <w:kern w:val="0"/>
          <w:sz w:val="28"/>
          <w:szCs w:val="28"/>
        </w:rPr>
        <w:t>）进行资料审核,并缴付竞买保证金，并将审核意见告知出让方进行征询、确认。</w:t>
      </w:r>
    </w:p>
    <w:p>
      <w:pPr>
        <w:spacing w:after="0" w:line="360" w:lineRule="auto"/>
        <w:ind w:firstLine="560"/>
        <w:rPr>
          <w:rFonts w:ascii="宋体" w:hAnsi="宋体" w:cs="宋体"/>
          <w:b/>
          <w:bCs/>
          <w:sz w:val="28"/>
          <w:szCs w:val="28"/>
          <w:u w:val="single"/>
        </w:rPr>
      </w:pPr>
      <w:r>
        <w:rPr>
          <w:rFonts w:hint="eastAsia" w:ascii="宋体" w:hAnsi="宋体" w:cs="宋体"/>
          <w:kern w:val="0"/>
          <w:sz w:val="28"/>
          <w:szCs w:val="28"/>
        </w:rPr>
        <w:t>3、</w:t>
      </w:r>
      <w:r>
        <w:rPr>
          <w:rFonts w:hint="eastAsia" w:ascii="宋体" w:hAnsi="宋体" w:cs="宋体"/>
          <w:b/>
          <w:bCs/>
          <w:kern w:val="0"/>
          <w:sz w:val="28"/>
          <w:szCs w:val="28"/>
          <w:u w:val="single"/>
        </w:rPr>
        <w:t>在竞价时间十分钟前凭报名时的</w:t>
      </w:r>
      <w:r>
        <w:rPr>
          <w:rFonts w:hint="eastAsia" w:ascii="宋体" w:hAnsi="宋体" w:cs="宋体"/>
          <w:b/>
          <w:bCs/>
          <w:sz w:val="28"/>
          <w:szCs w:val="28"/>
          <w:u w:val="single"/>
        </w:rPr>
        <w:t>信用代码证号（或手机号码）、密码以及手机验证码登入本项目网络竞价大厅进行报价准备，并在竞价时间予以报价。</w:t>
      </w:r>
    </w:p>
    <w:p>
      <w:pPr>
        <w:spacing w:after="0" w:line="360" w:lineRule="auto"/>
        <w:ind w:firstLine="551" w:firstLineChars="196"/>
        <w:rPr>
          <w:rFonts w:ascii="宋体" w:hAnsi="宋体" w:cs="宋体"/>
          <w:b/>
          <w:bCs/>
          <w:sz w:val="28"/>
          <w:szCs w:val="28"/>
          <w:shd w:val="clear" w:color="auto" w:fill="FFFFFF"/>
        </w:rPr>
      </w:pPr>
      <w:r>
        <w:rPr>
          <w:rFonts w:hint="eastAsia" w:ascii="宋体" w:hAnsi="宋体" w:cs="宋体"/>
          <w:b/>
          <w:bCs/>
          <w:sz w:val="28"/>
          <w:szCs w:val="28"/>
          <w:shd w:val="clear" w:color="auto" w:fill="FFFFFF"/>
        </w:rPr>
        <w:t>多次网络报价的报价时段分为自由报价时段和延时报价时段。自由报价时段是网络竞价系统中预设的一段时间周期，此时段内，竞价人可以发送报价，也可不发送报价，自由报价时段结束后，系统进入延时报价时段。 延时报价时段是在自由报价时段之外提供的不定时间的补充交易时段，设一定时长的延时周期。在一个延时周期内，如无竞价人继续报价，则竞价活动结束；如有竞价人报价，则重新进入一个延时周期，直到无人报价为止。“自由报价时长”和“延时报价时长”以本项目竞价厅为准。</w:t>
      </w:r>
    </w:p>
    <w:p>
      <w:pPr>
        <w:spacing w:after="0" w:line="360" w:lineRule="auto"/>
        <w:ind w:firstLine="562"/>
        <w:jc w:val="left"/>
        <w:rPr>
          <w:rFonts w:ascii="宋体" w:hAnsi="宋体" w:cs="宋体"/>
          <w:b/>
          <w:bCs/>
          <w:sz w:val="28"/>
          <w:szCs w:val="28"/>
          <w:shd w:val="clear" w:color="auto" w:fill="FFFFFF"/>
        </w:rPr>
      </w:pPr>
      <w:r>
        <w:rPr>
          <w:rFonts w:hint="eastAsia" w:ascii="宋体" w:hAnsi="宋体" w:cs="宋体"/>
          <w:b/>
          <w:bCs/>
          <w:sz w:val="28"/>
          <w:szCs w:val="28"/>
          <w:shd w:val="clear" w:color="auto" w:fill="FFFFFF"/>
        </w:rPr>
        <w:t>竞价人在规定的报价时段内通过网络竞价系统报价，报价指令未确认前可撤回或更改，经确认后不得撤销。在规定的报价时段内，所有竞价人均未报价的，网络竞价活动终止。</w:t>
      </w:r>
    </w:p>
    <w:p>
      <w:pPr>
        <w:spacing w:after="0" w:line="360" w:lineRule="auto"/>
        <w:ind w:firstLine="562"/>
        <w:jc w:val="left"/>
        <w:rPr>
          <w:rFonts w:ascii="宋体" w:hAnsi="宋体" w:cs="宋体"/>
          <w:b/>
          <w:bCs/>
          <w:sz w:val="28"/>
          <w:szCs w:val="28"/>
          <w:shd w:val="clear" w:color="auto" w:fill="FFFFFF"/>
        </w:rPr>
      </w:pPr>
      <w:r>
        <w:rPr>
          <w:rFonts w:hint="eastAsia" w:ascii="宋体" w:hAnsi="宋体" w:cs="宋体"/>
          <w:b/>
          <w:bCs/>
          <w:sz w:val="28"/>
          <w:szCs w:val="28"/>
          <w:shd w:val="clear" w:color="auto" w:fill="FFFFFF"/>
        </w:rPr>
        <w:t>本次网络竞价的首次报价是以13</w:t>
      </w:r>
      <w:r>
        <w:rPr>
          <w:rFonts w:ascii="宋体" w:hAnsi="宋体" w:cs="宋体"/>
          <w:b/>
          <w:bCs/>
          <w:sz w:val="28"/>
          <w:szCs w:val="28"/>
          <w:shd w:val="clear" w:color="auto" w:fill="FFFFFF"/>
        </w:rPr>
        <w:t>,836.91</w:t>
      </w:r>
      <w:r>
        <w:rPr>
          <w:rFonts w:hint="eastAsia" w:ascii="宋体" w:hAnsi="宋体" w:cs="宋体"/>
          <w:b/>
          <w:bCs/>
          <w:sz w:val="28"/>
          <w:szCs w:val="28"/>
          <w:shd w:val="clear" w:color="auto" w:fill="FFFFFF"/>
        </w:rPr>
        <w:t>万元人民币（挂牌价）或等值其他货币为基础，根据公告内容，不得低于</w:t>
      </w:r>
      <w:r>
        <w:rPr>
          <w:rFonts w:ascii="宋体" w:hAnsi="宋体" w:cs="宋体"/>
          <w:b/>
          <w:bCs/>
          <w:sz w:val="28"/>
          <w:szCs w:val="28"/>
          <w:shd w:val="clear" w:color="auto" w:fill="FFFFFF"/>
        </w:rPr>
        <w:t>13,836.91</w:t>
      </w:r>
      <w:r>
        <w:rPr>
          <w:rFonts w:hint="eastAsia" w:ascii="宋体" w:hAnsi="宋体" w:cs="宋体"/>
          <w:b/>
          <w:bCs/>
          <w:sz w:val="28"/>
          <w:szCs w:val="28"/>
          <w:shd w:val="clear" w:color="auto" w:fill="FFFFFF"/>
        </w:rPr>
        <w:t>万元人民币或等值其他货币（挂牌价），再次报价应根据公告高于前次报价，成为当前最新报价，原报价即丧失其约束力，每次加价必须等于交易中心事先确定的加价幅度或加价幅度的整数倍。报价结束时的最高报价为成交价，其报价者即为成交方。</w:t>
      </w:r>
    </w:p>
    <w:p>
      <w:pPr>
        <w:spacing w:after="0" w:line="360" w:lineRule="auto"/>
        <w:ind w:firstLine="560"/>
        <w:rPr>
          <w:rFonts w:ascii="宋体" w:hAnsi="宋体" w:cs="宋体"/>
          <w:sz w:val="28"/>
          <w:szCs w:val="28"/>
        </w:rPr>
      </w:pPr>
      <w:r>
        <w:rPr>
          <w:rFonts w:hint="eastAsia" w:ascii="宋体" w:hAnsi="宋体" w:cs="宋体"/>
          <w:sz w:val="28"/>
          <w:szCs w:val="28"/>
        </w:rPr>
        <w:t>4、竞价大厅公布成交结果。</w:t>
      </w:r>
    </w:p>
    <w:p>
      <w:pPr>
        <w:spacing w:after="0" w:line="360" w:lineRule="auto"/>
        <w:ind w:firstLine="560"/>
        <w:rPr>
          <w:rFonts w:ascii="宋体" w:hAnsi="宋体" w:cs="宋体"/>
          <w:sz w:val="28"/>
          <w:szCs w:val="28"/>
        </w:rPr>
      </w:pPr>
      <w:r>
        <w:rPr>
          <w:rFonts w:hint="eastAsia" w:ascii="宋体" w:hAnsi="宋体" w:cs="宋体"/>
          <w:sz w:val="28"/>
          <w:szCs w:val="28"/>
        </w:rPr>
        <w:t>5、成交方携带身份证明到</w:t>
      </w:r>
      <w:r>
        <w:rPr>
          <w:rFonts w:hint="eastAsia" w:ascii="宋体" w:hAnsi="宋体" w:cs="宋体"/>
          <w:kern w:val="0"/>
          <w:sz w:val="28"/>
          <w:szCs w:val="28"/>
        </w:rPr>
        <w:t>台州市产权交易所（台州市民泰银行五楼511室）领取成交通知书</w:t>
      </w:r>
      <w:r>
        <w:rPr>
          <w:rFonts w:hint="eastAsia" w:ascii="宋体" w:hAnsi="宋体" w:cs="宋体"/>
          <w:sz w:val="28"/>
          <w:szCs w:val="28"/>
        </w:rPr>
        <w:t>。</w:t>
      </w:r>
    </w:p>
    <w:p>
      <w:pPr>
        <w:spacing w:after="0" w:line="360" w:lineRule="auto"/>
        <w:ind w:firstLine="562"/>
        <w:rPr>
          <w:rFonts w:ascii="宋体" w:hAnsi="宋体" w:cs="宋体"/>
          <w:sz w:val="28"/>
          <w:szCs w:val="28"/>
        </w:rPr>
      </w:pPr>
      <w:r>
        <w:rPr>
          <w:rFonts w:hint="eastAsia" w:ascii="宋体" w:hAnsi="宋体" w:cs="宋体"/>
          <w:b/>
          <w:sz w:val="28"/>
          <w:szCs w:val="28"/>
        </w:rPr>
        <w:t>五、</w:t>
      </w:r>
      <w:r>
        <w:rPr>
          <w:rFonts w:hint="eastAsia" w:ascii="宋体" w:hAnsi="宋体" w:cs="宋体"/>
          <w:b/>
          <w:bCs/>
          <w:kern w:val="0"/>
          <w:sz w:val="28"/>
          <w:szCs w:val="28"/>
        </w:rPr>
        <w:t>网络竞价时间：</w:t>
      </w:r>
      <w:r>
        <w:rPr>
          <w:rFonts w:hint="eastAsia" w:ascii="宋体" w:hAnsi="宋体" w:cs="宋体"/>
          <w:bCs/>
          <w:kern w:val="0"/>
          <w:sz w:val="28"/>
          <w:szCs w:val="28"/>
        </w:rPr>
        <w:t>2019年7月1日（星期一）上午</w:t>
      </w:r>
      <w:r>
        <w:rPr>
          <w:rFonts w:ascii="宋体" w:hAnsi="宋体" w:cs="宋体"/>
          <w:bCs/>
          <w:kern w:val="0"/>
          <w:sz w:val="28"/>
          <w:szCs w:val="28"/>
        </w:rPr>
        <w:t>9：30</w:t>
      </w:r>
      <w:r>
        <w:rPr>
          <w:rFonts w:hint="eastAsia" w:ascii="宋体" w:hAnsi="宋体" w:cs="宋体"/>
          <w:bCs/>
          <w:kern w:val="0"/>
          <w:sz w:val="28"/>
          <w:szCs w:val="28"/>
        </w:rPr>
        <w:t>。若第一轮挂牌期间无人摘牌，则挂牌期限顺延，每5个工作日为一个延期周期；当出现意向受让方报名时，该延期周期结束；结束后次一个工作日进行网络竞价。</w:t>
      </w:r>
      <w:r>
        <w:rPr>
          <w:rFonts w:hint="eastAsia" w:ascii="宋体" w:hAnsi="宋体" w:cs="宋体"/>
          <w:sz w:val="28"/>
          <w:szCs w:val="28"/>
        </w:rPr>
        <w:t>六、确定成交方后，成交方须在二个工作日内到我所签署《成交确认书》。成交方凭《成交确认书》当天与委托方签订《股权转让合同》。</w:t>
      </w:r>
    </w:p>
    <w:p>
      <w:pPr>
        <w:spacing w:after="0" w:line="360" w:lineRule="auto"/>
        <w:ind w:firstLine="560"/>
        <w:rPr>
          <w:rFonts w:ascii="宋体" w:hAnsi="宋体" w:cs="宋体"/>
          <w:sz w:val="28"/>
          <w:szCs w:val="28"/>
          <w:u w:val="single"/>
        </w:rPr>
      </w:pPr>
      <w:r>
        <w:rPr>
          <w:rFonts w:hint="eastAsia" w:ascii="宋体" w:hAnsi="宋体" w:cs="宋体"/>
          <w:sz w:val="28"/>
          <w:szCs w:val="28"/>
          <w:u w:val="single"/>
        </w:rPr>
        <w:t>成交方无故拖延或拒签合同的将保证金不予退还并取消成交资格。</w:t>
      </w:r>
    </w:p>
    <w:p>
      <w:pPr>
        <w:numPr>
          <w:ilvl w:val="0"/>
          <w:numId w:val="3"/>
        </w:numPr>
        <w:spacing w:after="0" w:line="360" w:lineRule="auto"/>
        <w:ind w:firstLine="560"/>
        <w:rPr>
          <w:rFonts w:ascii="宋体" w:hAnsi="宋体" w:cs="宋体"/>
          <w:kern w:val="0"/>
          <w:sz w:val="28"/>
          <w:szCs w:val="28"/>
        </w:rPr>
      </w:pPr>
      <w:r>
        <w:rPr>
          <w:rFonts w:hint="eastAsia" w:ascii="宋体" w:hAnsi="宋体" w:cs="宋体"/>
          <w:kern w:val="0"/>
          <w:sz w:val="28"/>
          <w:szCs w:val="28"/>
        </w:rPr>
        <w:t>免责声明：</w:t>
      </w:r>
    </w:p>
    <w:p>
      <w:pPr>
        <w:numPr>
          <w:ilvl w:val="0"/>
          <w:numId w:val="4"/>
        </w:numPr>
        <w:spacing w:after="0" w:line="360" w:lineRule="auto"/>
        <w:ind w:firstLine="593" w:firstLineChars="0"/>
        <w:rPr>
          <w:rFonts w:ascii="宋体" w:hAnsi="宋体" w:cs="宋体"/>
          <w:sz w:val="28"/>
          <w:szCs w:val="28"/>
          <w:shd w:val="clear" w:color="auto" w:fill="FFFFFF"/>
        </w:rPr>
      </w:pPr>
      <w:r>
        <w:rPr>
          <w:rFonts w:hint="eastAsia" w:ascii="宋体" w:hAnsi="宋体" w:cs="宋体"/>
          <w:sz w:val="28"/>
          <w:szCs w:val="28"/>
          <w:shd w:val="clear" w:color="auto" w:fill="FFFFFF"/>
        </w:rPr>
        <w:t>报价人在参加网络竞价活动之前，应对竞价标的进行了全面了解，接受竞价文件的内容和要求，对其报价行为负责，且网络报价实施后不得以不了解所竞得标的为由予以反悔。</w:t>
      </w:r>
    </w:p>
    <w:p>
      <w:pPr>
        <w:numPr>
          <w:ilvl w:val="0"/>
          <w:numId w:val="4"/>
        </w:numPr>
        <w:spacing w:after="0" w:line="360" w:lineRule="auto"/>
        <w:ind w:firstLine="593" w:firstLineChars="0"/>
        <w:rPr>
          <w:rFonts w:ascii="宋体" w:hAnsi="宋体" w:cs="宋体"/>
          <w:sz w:val="28"/>
          <w:szCs w:val="28"/>
          <w:shd w:val="clear" w:color="auto" w:fill="FFFFFF"/>
        </w:rPr>
      </w:pPr>
      <w:r>
        <w:rPr>
          <w:rFonts w:hint="eastAsia" w:ascii="宋体" w:hAnsi="宋体" w:cs="宋体"/>
          <w:sz w:val="28"/>
          <w:szCs w:val="28"/>
          <w:shd w:val="clear" w:color="auto" w:fill="FFFFFF"/>
        </w:rPr>
        <w:t>为确保网络传输的安全，保障报价人的利益，网络报价平台对网络资料的传输采用数据加密处理，但无法保证电子信息绝对安全。</w:t>
      </w:r>
    </w:p>
    <w:p>
      <w:pPr>
        <w:numPr>
          <w:ilvl w:val="0"/>
          <w:numId w:val="4"/>
        </w:numPr>
        <w:spacing w:after="0" w:line="360" w:lineRule="auto"/>
        <w:ind w:firstLine="593" w:firstLineChars="0"/>
        <w:rPr>
          <w:rFonts w:ascii="宋体" w:hAnsi="宋体" w:cs="宋体"/>
          <w:sz w:val="28"/>
          <w:szCs w:val="28"/>
          <w:shd w:val="clear" w:color="auto" w:fill="FFFFFF"/>
        </w:rPr>
      </w:pPr>
      <w:r>
        <w:rPr>
          <w:rFonts w:hint="eastAsia" w:ascii="宋体" w:hAnsi="宋体" w:cs="宋体"/>
          <w:sz w:val="28"/>
          <w:szCs w:val="28"/>
          <w:shd w:val="clear" w:color="auto" w:fill="FFFFFF"/>
        </w:rPr>
        <w:t>如因不可抗力造成网络报价活动不能正常进行，台州产权交易所不承担任何责任。</w:t>
      </w:r>
    </w:p>
    <w:p>
      <w:pPr>
        <w:numPr>
          <w:ilvl w:val="0"/>
          <w:numId w:val="4"/>
        </w:numPr>
        <w:spacing w:after="0" w:line="360" w:lineRule="auto"/>
        <w:ind w:firstLine="593" w:firstLineChars="0"/>
        <w:rPr>
          <w:rFonts w:ascii="宋体" w:hAnsi="宋体" w:cs="宋体"/>
          <w:sz w:val="28"/>
          <w:szCs w:val="28"/>
          <w:shd w:val="clear" w:color="auto" w:fill="FFFFFF"/>
        </w:rPr>
      </w:pPr>
      <w:r>
        <w:rPr>
          <w:rFonts w:hint="eastAsia" w:ascii="宋体" w:hAnsi="宋体" w:cs="宋体"/>
          <w:sz w:val="28"/>
          <w:szCs w:val="28"/>
          <w:shd w:val="clear" w:color="auto" w:fill="FFFFFF"/>
        </w:rPr>
        <w:t>如因网络报价服务器等设备故障、网络传输线路（电信）故障、黑客攻击等原因造成网络报价不能正常进行，台州产权交易所不承担任何责任。但是，我所将全力排除故障，解决问题，尽快恢复网络报价平台的正常运行。</w:t>
      </w:r>
    </w:p>
    <w:p>
      <w:pPr>
        <w:numPr>
          <w:ilvl w:val="0"/>
          <w:numId w:val="4"/>
        </w:numPr>
        <w:spacing w:after="0" w:line="360" w:lineRule="auto"/>
        <w:ind w:firstLine="593" w:firstLineChars="0"/>
        <w:rPr>
          <w:rFonts w:ascii="宋体" w:hAnsi="宋体" w:cs="宋体"/>
          <w:sz w:val="28"/>
          <w:szCs w:val="28"/>
          <w:shd w:val="clear" w:color="auto" w:fill="FFFFFF"/>
        </w:rPr>
      </w:pPr>
      <w:r>
        <w:rPr>
          <w:rFonts w:hint="eastAsia" w:ascii="宋体" w:hAnsi="宋体" w:cs="宋体"/>
          <w:sz w:val="28"/>
          <w:szCs w:val="28"/>
          <w:shd w:val="clear" w:color="auto" w:fill="FFFFFF"/>
        </w:rPr>
        <w:t>如因报价人自身报价电脑设备故障、网络传输线路不畅通等原因，造成报价人不能正常进行网络报价，我所不承担任何责任。</w:t>
      </w:r>
    </w:p>
    <w:p>
      <w:pPr>
        <w:numPr>
          <w:ilvl w:val="0"/>
          <w:numId w:val="4"/>
        </w:numPr>
        <w:spacing w:after="0" w:line="360" w:lineRule="auto"/>
        <w:ind w:firstLine="593" w:firstLineChars="0"/>
        <w:rPr>
          <w:rFonts w:ascii="宋体" w:hAnsi="宋体" w:cs="宋体"/>
          <w:sz w:val="28"/>
          <w:szCs w:val="28"/>
          <w:shd w:val="clear" w:color="auto" w:fill="FFFFFF"/>
        </w:rPr>
      </w:pPr>
      <w:r>
        <w:rPr>
          <w:rFonts w:hint="eastAsia" w:ascii="宋体" w:hAnsi="宋体" w:cs="宋体"/>
          <w:sz w:val="28"/>
          <w:szCs w:val="28"/>
          <w:shd w:val="clear" w:color="auto" w:fill="FFFFFF"/>
        </w:rPr>
        <w:t>如因报价人操作不当或操作失误而造成的任何损失，由当事人自己负责。</w:t>
      </w:r>
    </w:p>
    <w:p>
      <w:pPr>
        <w:numPr>
          <w:ilvl w:val="0"/>
          <w:numId w:val="4"/>
        </w:numPr>
        <w:spacing w:after="0" w:line="360" w:lineRule="auto"/>
        <w:ind w:firstLine="593" w:firstLineChars="0"/>
        <w:rPr>
          <w:rFonts w:ascii="宋体" w:hAnsi="宋体" w:cs="宋体"/>
          <w:sz w:val="28"/>
          <w:szCs w:val="28"/>
          <w:shd w:val="clear" w:color="auto" w:fill="FFFFFF"/>
        </w:rPr>
      </w:pPr>
      <w:r>
        <w:rPr>
          <w:rFonts w:hint="eastAsia" w:ascii="宋体" w:hAnsi="宋体" w:cs="宋体"/>
          <w:sz w:val="28"/>
          <w:szCs w:val="28"/>
          <w:shd w:val="clear" w:color="auto" w:fill="FFFFFF"/>
        </w:rPr>
        <w:t>如因报价人的报价设备的系统时间与网络报价平台服务器时间不一致而造成的任何后果，由当事人自己负责。</w:t>
      </w:r>
    </w:p>
    <w:p>
      <w:pPr>
        <w:numPr>
          <w:ilvl w:val="0"/>
          <w:numId w:val="4"/>
        </w:numPr>
        <w:spacing w:after="0" w:line="360" w:lineRule="auto"/>
        <w:ind w:firstLine="593" w:firstLineChars="0"/>
        <w:rPr>
          <w:rFonts w:ascii="宋体" w:hAnsi="宋体" w:cs="宋体"/>
          <w:sz w:val="28"/>
          <w:szCs w:val="28"/>
          <w:shd w:val="clear" w:color="auto" w:fill="FFFFFF"/>
        </w:rPr>
      </w:pPr>
      <w:r>
        <w:rPr>
          <w:rFonts w:hint="eastAsia" w:ascii="宋体" w:hAnsi="宋体" w:cs="宋体"/>
          <w:sz w:val="28"/>
          <w:szCs w:val="28"/>
          <w:shd w:val="clear" w:color="auto" w:fill="FFFFFF"/>
        </w:rPr>
        <w:t>用户、报价人应对自身的账户安全负责。若用户或报价人的账户被盗用，则由当事人自己负责。</w:t>
      </w:r>
    </w:p>
    <w:p>
      <w:pPr>
        <w:numPr>
          <w:ilvl w:val="0"/>
          <w:numId w:val="3"/>
        </w:numPr>
        <w:spacing w:after="0" w:line="360" w:lineRule="auto"/>
        <w:ind w:firstLine="560"/>
        <w:rPr>
          <w:rFonts w:ascii="宋体" w:hAnsi="宋体" w:cs="宋体"/>
          <w:kern w:val="0"/>
          <w:sz w:val="28"/>
          <w:szCs w:val="28"/>
        </w:rPr>
      </w:pPr>
      <w:r>
        <w:rPr>
          <w:rFonts w:hint="eastAsia" w:ascii="宋体" w:hAnsi="宋体" w:cs="宋体"/>
          <w:kern w:val="0"/>
          <w:sz w:val="28"/>
          <w:szCs w:val="28"/>
        </w:rPr>
        <w:t>请各竞价人仔细阅读本竞价文件。</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after="0" w:line="360" w:lineRule="auto"/>
        <w:ind w:right="23" w:firstLine="4620" w:firstLineChars="1650"/>
        <w:jc w:val="left"/>
        <w:rPr>
          <w:rFonts w:ascii="宋体" w:hAnsi="宋体"/>
          <w:sz w:val="28"/>
          <w:szCs w:val="28"/>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after="0" w:line="360" w:lineRule="auto"/>
        <w:ind w:right="23" w:firstLine="4620" w:firstLineChars="1650"/>
        <w:jc w:val="left"/>
        <w:rPr>
          <w:rFonts w:ascii="宋体" w:hAnsi="宋体"/>
          <w:sz w:val="28"/>
          <w:szCs w:val="28"/>
        </w:rPr>
      </w:pPr>
      <w:r>
        <w:rPr>
          <w:rFonts w:hint="eastAsia" w:ascii="宋体" w:hAnsi="宋体"/>
          <w:sz w:val="28"/>
          <w:szCs w:val="28"/>
        </w:rPr>
        <w:t xml:space="preserve"> 台州市产权交易所有限公司</w:t>
      </w:r>
    </w:p>
    <w:p>
      <w:pPr>
        <w:spacing w:after="0" w:line="360" w:lineRule="auto"/>
        <w:ind w:firstLine="0" w:firstLineChars="0"/>
        <w:jc w:val="center"/>
      </w:pPr>
      <w:r>
        <w:rPr>
          <w:rFonts w:hint="eastAsia" w:ascii="宋体" w:hAnsi="宋体"/>
          <w:sz w:val="28"/>
          <w:szCs w:val="28"/>
        </w:rPr>
        <w:t xml:space="preserve">                            二〇一九年五月三十一日</w:t>
      </w:r>
    </w:p>
    <w:p>
      <w:pPr>
        <w:spacing w:after="0" w:line="360" w:lineRule="auto"/>
        <w:ind w:firstLine="562"/>
        <w:rPr>
          <w:rFonts w:ascii="宋体" w:hAnsi="宋体"/>
          <w:b/>
          <w:sz w:val="28"/>
          <w:szCs w:val="28"/>
        </w:rPr>
      </w:pPr>
      <w:r>
        <w:rPr>
          <w:rFonts w:hint="eastAsia" w:ascii="宋体" w:hAnsi="宋体"/>
          <w:b/>
          <w:sz w:val="28"/>
          <w:szCs w:val="28"/>
        </w:rPr>
        <w:br w:type="page"/>
      </w:r>
    </w:p>
    <w:p>
      <w:pPr>
        <w:spacing w:after="0" w:line="360" w:lineRule="auto"/>
        <w:ind w:firstLine="0" w:firstLineChars="0"/>
        <w:jc w:val="center"/>
        <w:rPr>
          <w:rFonts w:ascii="宋体" w:hAnsi="宋体"/>
          <w:b/>
          <w:sz w:val="28"/>
          <w:szCs w:val="28"/>
        </w:rPr>
      </w:pPr>
      <w:r>
        <w:rPr>
          <w:rFonts w:hint="eastAsia" w:ascii="宋体" w:hAnsi="宋体"/>
          <w:b/>
          <w:sz w:val="28"/>
          <w:szCs w:val="28"/>
        </w:rPr>
        <w:t>浙江导明医药科技有限公司</w:t>
      </w:r>
      <w:r>
        <w:rPr>
          <w:rFonts w:ascii="宋体" w:hAnsi="宋体"/>
          <w:b/>
          <w:sz w:val="28"/>
          <w:szCs w:val="28"/>
        </w:rPr>
        <w:t>20.24</w:t>
      </w:r>
      <w:r>
        <w:rPr>
          <w:rFonts w:hint="eastAsia" w:ascii="宋体" w:hAnsi="宋体"/>
          <w:b/>
          <w:sz w:val="28"/>
          <w:szCs w:val="28"/>
        </w:rPr>
        <w:t>%国有股权</w:t>
      </w:r>
    </w:p>
    <w:p>
      <w:pPr>
        <w:spacing w:after="0" w:line="360" w:lineRule="auto"/>
        <w:ind w:firstLine="0" w:firstLineChars="0"/>
        <w:jc w:val="center"/>
        <w:rPr>
          <w:rFonts w:ascii="宋体" w:hAnsi="宋体"/>
          <w:b/>
          <w:sz w:val="28"/>
          <w:szCs w:val="28"/>
        </w:rPr>
      </w:pPr>
      <w:r>
        <w:rPr>
          <w:rFonts w:hint="eastAsia" w:ascii="宋体" w:hAnsi="宋体"/>
          <w:b/>
          <w:sz w:val="28"/>
          <w:szCs w:val="28"/>
        </w:rPr>
        <w:t>竞买申请书</w:t>
      </w:r>
    </w:p>
    <w:p>
      <w:pPr>
        <w:spacing w:after="0" w:line="360" w:lineRule="auto"/>
        <w:ind w:firstLine="0" w:firstLineChars="0"/>
        <w:rPr>
          <w:rFonts w:ascii="宋体" w:hAnsi="宋体"/>
          <w:sz w:val="28"/>
          <w:szCs w:val="28"/>
        </w:rPr>
      </w:pPr>
      <w:r>
        <w:rPr>
          <w:rFonts w:hint="eastAsia" w:ascii="宋体" w:hAnsi="宋体"/>
          <w:sz w:val="28"/>
          <w:szCs w:val="28"/>
        </w:rPr>
        <w:t>台州市产权交易所有限公司：</w:t>
      </w:r>
    </w:p>
    <w:p>
      <w:pPr>
        <w:spacing w:after="0" w:line="360" w:lineRule="auto"/>
        <w:ind w:firstLine="560"/>
        <w:jc w:val="left"/>
        <w:rPr>
          <w:rFonts w:ascii="宋体" w:hAnsi="宋体"/>
          <w:sz w:val="28"/>
          <w:szCs w:val="28"/>
        </w:rPr>
      </w:pPr>
      <w:r>
        <w:rPr>
          <w:rFonts w:hint="eastAsia" w:ascii="宋体" w:hAnsi="宋体"/>
          <w:sz w:val="28"/>
          <w:szCs w:val="28"/>
        </w:rPr>
        <w:t>经认真阅读《浙江导明医药科技有限公司</w:t>
      </w:r>
      <w:r>
        <w:rPr>
          <w:rFonts w:ascii="宋体" w:hAnsi="宋体"/>
          <w:sz w:val="28"/>
          <w:szCs w:val="28"/>
        </w:rPr>
        <w:t>20.24</w:t>
      </w:r>
      <w:r>
        <w:rPr>
          <w:rFonts w:hint="eastAsia" w:ascii="宋体" w:hAnsi="宋体"/>
          <w:sz w:val="28"/>
          <w:szCs w:val="28"/>
        </w:rPr>
        <w:t>%国有股权转让文件》，对该转让文件无异议，对转让标的已作详细了解并对己方所作承诺负法律责任。特申请参加浙江导明医药科技有限公司</w:t>
      </w:r>
      <w:r>
        <w:rPr>
          <w:rFonts w:ascii="宋体" w:hAnsi="宋体"/>
          <w:sz w:val="28"/>
          <w:szCs w:val="28"/>
        </w:rPr>
        <w:t>20.24</w:t>
      </w:r>
      <w:r>
        <w:rPr>
          <w:rFonts w:hint="eastAsia" w:ascii="宋体" w:hAnsi="宋体"/>
          <w:sz w:val="28"/>
          <w:szCs w:val="28"/>
        </w:rPr>
        <w:t>%国有股权竞买，遵守履行贵公司提出的浙江导明医药科技有限公司</w:t>
      </w:r>
      <w:r>
        <w:rPr>
          <w:rFonts w:ascii="宋体" w:hAnsi="宋体"/>
          <w:sz w:val="28"/>
          <w:szCs w:val="28"/>
        </w:rPr>
        <w:t>20.24</w:t>
      </w:r>
      <w:r>
        <w:rPr>
          <w:rFonts w:hint="eastAsia" w:ascii="宋体" w:hAnsi="宋体"/>
          <w:sz w:val="28"/>
          <w:szCs w:val="28"/>
        </w:rPr>
        <w:t>%国有股权转让文件及其他有关程序、事项，并保证遵守我方所承诺的要求与规定履行。</w:t>
      </w:r>
    </w:p>
    <w:p>
      <w:pPr>
        <w:spacing w:after="0" w:line="360" w:lineRule="auto"/>
        <w:ind w:firstLine="560"/>
        <w:rPr>
          <w:rFonts w:ascii="宋体" w:hAnsi="宋体"/>
          <w:sz w:val="28"/>
          <w:szCs w:val="28"/>
        </w:rPr>
      </w:pPr>
      <w:r>
        <w:rPr>
          <w:rFonts w:hint="eastAsia" w:ascii="宋体" w:hAnsi="宋体"/>
          <w:sz w:val="28"/>
          <w:szCs w:val="28"/>
        </w:rPr>
        <w:t>我方对竞买标的的意向报价为</w:t>
      </w:r>
      <w:r>
        <w:rPr>
          <w:rFonts w:hint="eastAsia" w:ascii="宋体" w:hAnsi="宋体"/>
          <w:sz w:val="28"/>
          <w:szCs w:val="28"/>
          <w:u w:val="single"/>
        </w:rPr>
        <w:t xml:space="preserve">        </w:t>
      </w:r>
      <w:r>
        <w:rPr>
          <w:rFonts w:hint="eastAsia" w:ascii="宋体" w:hAnsi="宋体"/>
          <w:sz w:val="28"/>
          <w:szCs w:val="28"/>
        </w:rPr>
        <w:t>万元（应不低于转让底价，即人民币</w:t>
      </w:r>
      <w:r>
        <w:rPr>
          <w:rFonts w:ascii="宋体" w:hAnsi="宋体"/>
          <w:sz w:val="28"/>
          <w:szCs w:val="28"/>
        </w:rPr>
        <w:t>13,836.91</w:t>
      </w:r>
      <w:r>
        <w:rPr>
          <w:rFonts w:hint="eastAsia" w:ascii="宋体" w:hAnsi="宋体"/>
          <w:sz w:val="28"/>
          <w:szCs w:val="28"/>
        </w:rPr>
        <w:t xml:space="preserve">万元或等值其他货币）；  </w:t>
      </w:r>
    </w:p>
    <w:p>
      <w:pPr>
        <w:spacing w:after="0" w:line="360" w:lineRule="auto"/>
        <w:ind w:firstLine="560"/>
        <w:rPr>
          <w:rFonts w:ascii="宋体" w:hAnsi="宋体"/>
          <w:sz w:val="28"/>
          <w:szCs w:val="28"/>
        </w:rPr>
      </w:pPr>
    </w:p>
    <w:p>
      <w:pPr>
        <w:spacing w:after="0" w:line="360" w:lineRule="auto"/>
        <w:ind w:firstLine="560"/>
        <w:rPr>
          <w:rFonts w:ascii="宋体" w:hAnsi="宋体"/>
          <w:sz w:val="28"/>
          <w:szCs w:val="28"/>
        </w:rPr>
      </w:pPr>
      <w:r>
        <w:rPr>
          <w:rFonts w:hint="eastAsia" w:ascii="宋体" w:hAnsi="宋体"/>
          <w:sz w:val="28"/>
          <w:szCs w:val="28"/>
        </w:rPr>
        <w:t>竞买申请人（盖章）：</w:t>
      </w:r>
    </w:p>
    <w:p>
      <w:pPr>
        <w:spacing w:after="0" w:line="360" w:lineRule="auto"/>
        <w:ind w:firstLine="560"/>
        <w:rPr>
          <w:rFonts w:ascii="宋体" w:hAnsi="宋体"/>
          <w:sz w:val="28"/>
          <w:szCs w:val="28"/>
        </w:rPr>
      </w:pPr>
      <w:r>
        <w:rPr>
          <w:rFonts w:hint="eastAsia" w:ascii="宋体" w:hAnsi="宋体"/>
          <w:sz w:val="28"/>
          <w:szCs w:val="28"/>
        </w:rPr>
        <w:t>法定代表人：                     身份证号：</w:t>
      </w:r>
    </w:p>
    <w:p>
      <w:pPr>
        <w:spacing w:after="0" w:line="360" w:lineRule="auto"/>
        <w:ind w:firstLine="560"/>
        <w:rPr>
          <w:rFonts w:ascii="宋体" w:hAnsi="宋体"/>
          <w:sz w:val="28"/>
          <w:szCs w:val="28"/>
        </w:rPr>
      </w:pPr>
      <w:r>
        <w:rPr>
          <w:rFonts w:hint="eastAsia" w:ascii="宋体" w:hAnsi="宋体"/>
          <w:sz w:val="28"/>
          <w:szCs w:val="28"/>
        </w:rPr>
        <w:t>委托代理人：                     身份证号：</w:t>
      </w:r>
    </w:p>
    <w:p>
      <w:pPr>
        <w:spacing w:after="0" w:line="360" w:lineRule="auto"/>
        <w:ind w:firstLine="560"/>
        <w:rPr>
          <w:rFonts w:ascii="宋体" w:hAnsi="宋体"/>
          <w:sz w:val="28"/>
          <w:szCs w:val="28"/>
        </w:rPr>
      </w:pPr>
      <w:r>
        <w:rPr>
          <w:rFonts w:hint="eastAsia" w:ascii="宋体" w:hAnsi="宋体"/>
          <w:sz w:val="28"/>
          <w:szCs w:val="28"/>
        </w:rPr>
        <w:t>联系地址：                       邮政编码：</w:t>
      </w:r>
    </w:p>
    <w:p>
      <w:pPr>
        <w:spacing w:after="0" w:line="360" w:lineRule="auto"/>
        <w:ind w:firstLine="560"/>
        <w:rPr>
          <w:rFonts w:ascii="宋体" w:hAnsi="宋体"/>
          <w:sz w:val="28"/>
          <w:szCs w:val="28"/>
        </w:rPr>
      </w:pPr>
      <w:r>
        <w:rPr>
          <w:rFonts w:hint="eastAsia" w:ascii="宋体" w:hAnsi="宋体"/>
          <w:sz w:val="28"/>
          <w:szCs w:val="28"/>
        </w:rPr>
        <w:t>联系电话：                       传    真：</w:t>
      </w:r>
    </w:p>
    <w:p>
      <w:pPr>
        <w:spacing w:after="0" w:line="360" w:lineRule="auto"/>
        <w:ind w:firstLine="560"/>
        <w:rPr>
          <w:rFonts w:ascii="宋体" w:hAnsi="宋体"/>
          <w:sz w:val="28"/>
          <w:szCs w:val="28"/>
        </w:rPr>
      </w:pPr>
      <w:r>
        <w:rPr>
          <w:rFonts w:hint="eastAsia" w:ascii="宋体" w:hAnsi="宋体"/>
          <w:sz w:val="28"/>
          <w:szCs w:val="28"/>
        </w:rPr>
        <w:t>E-mail：</w:t>
      </w:r>
      <w:r>
        <w:rPr>
          <w:rFonts w:ascii="宋体" w:hAnsi="宋体"/>
          <w:sz w:val="28"/>
          <w:szCs w:val="28"/>
        </w:rPr>
        <w:br w:type="textWrapping"/>
      </w:r>
      <w:r>
        <w:rPr>
          <w:rFonts w:hint="eastAsia" w:ascii="宋体" w:hAnsi="宋体"/>
          <w:sz w:val="28"/>
          <w:szCs w:val="28"/>
        </w:rPr>
        <w:t xml:space="preserve">                                     年   月   日</w:t>
      </w:r>
    </w:p>
    <w:p>
      <w:pPr>
        <w:spacing w:after="0" w:line="360" w:lineRule="auto"/>
        <w:ind w:firstLine="560"/>
        <w:rPr>
          <w:rFonts w:ascii="宋体" w:hAnsi="宋体"/>
          <w:sz w:val="28"/>
          <w:szCs w:val="28"/>
        </w:rPr>
      </w:pPr>
      <w:r>
        <w:rPr>
          <w:rFonts w:hint="eastAsia" w:ascii="宋体" w:hAnsi="宋体"/>
          <w:sz w:val="28"/>
          <w:szCs w:val="28"/>
        </w:rPr>
        <w:t xml:space="preserve">附件：                                    </w:t>
      </w:r>
    </w:p>
    <w:p>
      <w:pPr>
        <w:spacing w:after="0" w:line="360" w:lineRule="auto"/>
        <w:ind w:left="425" w:leftChars="200" w:hanging="5" w:hangingChars="2"/>
        <w:rPr>
          <w:rFonts w:ascii="宋体" w:hAnsi="宋体"/>
          <w:sz w:val="28"/>
          <w:szCs w:val="28"/>
        </w:rPr>
      </w:pPr>
      <w:r>
        <w:rPr>
          <w:rFonts w:hint="eastAsia" w:ascii="宋体" w:hAnsi="宋体"/>
          <w:sz w:val="28"/>
          <w:szCs w:val="28"/>
        </w:rPr>
        <w:t>□ 企业（公司）法人主体资格证明文件，包含企业法人营业执照副本的复印件，法定代表人及授权委托人的身份证明及授权委托书、公司章程、相关决议等</w:t>
      </w:r>
    </w:p>
    <w:p>
      <w:pPr>
        <w:spacing w:after="0" w:line="360" w:lineRule="auto"/>
        <w:ind w:firstLine="560"/>
        <w:rPr>
          <w:rFonts w:ascii="宋体" w:hAnsi="宋体"/>
          <w:sz w:val="28"/>
          <w:szCs w:val="28"/>
        </w:rPr>
      </w:pPr>
      <w:r>
        <w:rPr>
          <w:rFonts w:hint="eastAsia" w:ascii="宋体" w:hAnsi="宋体"/>
          <w:sz w:val="28"/>
          <w:szCs w:val="28"/>
        </w:rPr>
        <w:t>□ 符合受让条件的有关证明及资料</w:t>
      </w:r>
    </w:p>
    <w:p>
      <w:pPr>
        <w:spacing w:after="0" w:line="360" w:lineRule="auto"/>
        <w:ind w:firstLine="560"/>
        <w:rPr>
          <w:rFonts w:ascii="宋体" w:hAnsi="宋体"/>
          <w:sz w:val="28"/>
          <w:szCs w:val="28"/>
        </w:rPr>
      </w:pPr>
      <w:r>
        <w:rPr>
          <w:rFonts w:hint="eastAsia" w:ascii="宋体" w:hAnsi="宋体"/>
          <w:sz w:val="28"/>
          <w:szCs w:val="28"/>
        </w:rPr>
        <w:t>□ 竞买保证金1,500万元人民币或等值其他货币（汇单）</w:t>
      </w:r>
    </w:p>
    <w:p>
      <w:pPr>
        <w:spacing w:after="0" w:line="360" w:lineRule="auto"/>
        <w:ind w:firstLine="560"/>
        <w:rPr>
          <w:rFonts w:ascii="宋体" w:hAnsi="宋体"/>
          <w:sz w:val="28"/>
          <w:szCs w:val="28"/>
        </w:rPr>
      </w:pPr>
      <w:r>
        <w:rPr>
          <w:rFonts w:hint="eastAsia" w:ascii="宋体" w:hAnsi="宋体"/>
          <w:sz w:val="28"/>
          <w:szCs w:val="28"/>
        </w:rPr>
        <w:t>备注：以上附件如非原件为复印件的应加盖公章或签名。</w:t>
      </w:r>
      <w:r>
        <w:rPr>
          <w:rFonts w:hint="eastAsia" w:ascii="宋体" w:hAnsi="宋体"/>
          <w:sz w:val="28"/>
          <w:szCs w:val="28"/>
        </w:rPr>
        <w:br w:type="page"/>
      </w:r>
    </w:p>
    <w:p>
      <w:pPr>
        <w:spacing w:after="0" w:line="360" w:lineRule="auto"/>
        <w:ind w:right="517" w:firstLine="0" w:firstLineChars="0"/>
        <w:jc w:val="center"/>
        <w:rPr>
          <w:rFonts w:ascii="宋体" w:hAnsi="宋体"/>
          <w:b/>
          <w:sz w:val="28"/>
          <w:szCs w:val="28"/>
        </w:rPr>
      </w:pPr>
      <w:r>
        <w:rPr>
          <w:rFonts w:hint="eastAsia" w:ascii="宋体" w:hAnsi="宋体"/>
          <w:b/>
          <w:sz w:val="28"/>
          <w:szCs w:val="28"/>
        </w:rPr>
        <w:t>浙江导明医药科技有限公司</w:t>
      </w:r>
      <w:r>
        <w:rPr>
          <w:rFonts w:ascii="宋体" w:hAnsi="宋体"/>
          <w:b/>
          <w:sz w:val="28"/>
          <w:szCs w:val="28"/>
        </w:rPr>
        <w:t>20.24</w:t>
      </w:r>
      <w:r>
        <w:rPr>
          <w:rFonts w:hint="eastAsia" w:ascii="宋体" w:hAnsi="宋体"/>
          <w:b/>
          <w:sz w:val="28"/>
          <w:szCs w:val="28"/>
        </w:rPr>
        <w:t>%国有股权转让</w:t>
      </w:r>
    </w:p>
    <w:p>
      <w:pPr>
        <w:spacing w:after="0" w:line="360" w:lineRule="auto"/>
        <w:ind w:firstLine="0" w:firstLineChars="0"/>
        <w:jc w:val="center"/>
        <w:rPr>
          <w:rFonts w:ascii="宋体" w:hAnsi="宋体"/>
          <w:b/>
          <w:sz w:val="28"/>
          <w:szCs w:val="28"/>
        </w:rPr>
      </w:pPr>
      <w:r>
        <w:rPr>
          <w:rFonts w:hint="eastAsia" w:ascii="宋体" w:hAnsi="宋体"/>
          <w:b/>
          <w:sz w:val="28"/>
          <w:szCs w:val="28"/>
        </w:rPr>
        <w:t>竞买人承诺函</w:t>
      </w:r>
    </w:p>
    <w:p>
      <w:pPr>
        <w:spacing w:after="0" w:line="360" w:lineRule="auto"/>
        <w:ind w:firstLine="0" w:firstLineChars="0"/>
        <w:rPr>
          <w:rFonts w:ascii="宋体" w:hAnsi="宋体"/>
          <w:b/>
          <w:sz w:val="28"/>
          <w:szCs w:val="28"/>
        </w:rPr>
      </w:pPr>
      <w:r>
        <w:rPr>
          <w:rFonts w:hint="eastAsia" w:ascii="宋体" w:hAnsi="宋体"/>
          <w:sz w:val="28"/>
          <w:szCs w:val="28"/>
        </w:rPr>
        <w:t>台州市产权交易所有限公司：</w:t>
      </w:r>
    </w:p>
    <w:p>
      <w:pPr>
        <w:spacing w:after="0" w:line="360" w:lineRule="auto"/>
        <w:ind w:firstLine="560"/>
        <w:rPr>
          <w:rFonts w:ascii="宋体" w:hAnsi="宋体"/>
          <w:sz w:val="28"/>
          <w:szCs w:val="28"/>
        </w:rPr>
      </w:pPr>
      <w:r>
        <w:rPr>
          <w:rFonts w:hint="eastAsia" w:ascii="宋体" w:hAnsi="宋体"/>
          <w:sz w:val="28"/>
          <w:szCs w:val="28"/>
        </w:rPr>
        <w:t>经认真阅读贵公司所提供的“浙江导明医药科技有限公司</w:t>
      </w:r>
      <w:r>
        <w:rPr>
          <w:rFonts w:ascii="宋体" w:hAnsi="宋体"/>
          <w:sz w:val="28"/>
          <w:szCs w:val="28"/>
        </w:rPr>
        <w:t>20.24</w:t>
      </w:r>
      <w:r>
        <w:rPr>
          <w:rFonts w:hint="eastAsia" w:ascii="宋体" w:hAnsi="宋体"/>
          <w:sz w:val="28"/>
          <w:szCs w:val="28"/>
        </w:rPr>
        <w:t>%国有股权转让文件”以及贵公司提出的转让须知与网络竞价规则等，我方愿意接受转让方提出的竞价条件及“浙江导明医药科技有限公司</w:t>
      </w:r>
      <w:r>
        <w:rPr>
          <w:rFonts w:ascii="宋体" w:hAnsi="宋体"/>
          <w:sz w:val="28"/>
          <w:szCs w:val="28"/>
        </w:rPr>
        <w:t>20.24</w:t>
      </w:r>
      <w:r>
        <w:rPr>
          <w:rFonts w:hint="eastAsia" w:ascii="宋体" w:hAnsi="宋体"/>
          <w:sz w:val="28"/>
          <w:szCs w:val="28"/>
        </w:rPr>
        <w:t>%国有股权转让文件”中涉及的相关事项，现我方将有关事项承诺如下：</w:t>
      </w:r>
    </w:p>
    <w:p>
      <w:pPr>
        <w:spacing w:after="0" w:line="360" w:lineRule="auto"/>
        <w:ind w:firstLine="560"/>
        <w:rPr>
          <w:rFonts w:ascii="宋体" w:hAnsi="宋体"/>
          <w:sz w:val="28"/>
          <w:szCs w:val="28"/>
        </w:rPr>
      </w:pPr>
      <w:r>
        <w:rPr>
          <w:rFonts w:hint="eastAsia" w:ascii="宋体" w:hAnsi="宋体"/>
          <w:sz w:val="28"/>
          <w:szCs w:val="28"/>
        </w:rPr>
        <w:t>一、我方所提交的报名资料和文件符合竞价条件的有关证明为真实、合法、有效（含有关附件），我方确保我方竞买的主体资格和所提供的所有资料均能符合审批机关、工商管理部门对（企业）公司法人的股东主体资格的要求，否则我方所交保证金由转让方没收，并承担由此造成的违约责任及相关损失。</w:t>
      </w:r>
    </w:p>
    <w:p>
      <w:pPr>
        <w:spacing w:after="0" w:line="360" w:lineRule="auto"/>
        <w:ind w:firstLine="560"/>
        <w:rPr>
          <w:rFonts w:ascii="宋体" w:hAnsi="宋体"/>
          <w:sz w:val="28"/>
          <w:szCs w:val="28"/>
        </w:rPr>
      </w:pPr>
      <w:r>
        <w:rPr>
          <w:rFonts w:hint="eastAsia" w:ascii="宋体" w:hAnsi="宋体"/>
          <w:sz w:val="28"/>
          <w:szCs w:val="28"/>
        </w:rPr>
        <w:t>二、我方已详实了解本次转让标的有关情况，并保证成交后所支付的资金来源合法。</w:t>
      </w:r>
    </w:p>
    <w:p>
      <w:pPr>
        <w:spacing w:after="0" w:line="360" w:lineRule="auto"/>
        <w:ind w:firstLine="560"/>
        <w:rPr>
          <w:rFonts w:ascii="宋体" w:hAnsi="宋体"/>
          <w:sz w:val="28"/>
          <w:szCs w:val="28"/>
        </w:rPr>
      </w:pPr>
      <w:r>
        <w:rPr>
          <w:rFonts w:hint="eastAsia" w:ascii="宋体" w:hAnsi="宋体"/>
          <w:sz w:val="28"/>
          <w:szCs w:val="28"/>
        </w:rPr>
        <w:t>三、我方已阅读并了解《成交确认书》、《股权转让合同》及“浙江导明医药科技有限公司</w:t>
      </w:r>
      <w:r>
        <w:rPr>
          <w:rFonts w:ascii="宋体" w:hAnsi="宋体"/>
          <w:sz w:val="28"/>
          <w:szCs w:val="28"/>
        </w:rPr>
        <w:t>20.24</w:t>
      </w:r>
      <w:r>
        <w:rPr>
          <w:rFonts w:hint="eastAsia" w:ascii="宋体" w:hAnsi="宋体"/>
          <w:sz w:val="28"/>
          <w:szCs w:val="28"/>
        </w:rPr>
        <w:t>%国有股权转让文件”并不持异议，成交后按上述条款履行义务。</w:t>
      </w:r>
    </w:p>
    <w:p>
      <w:pPr>
        <w:spacing w:after="0" w:line="360" w:lineRule="auto"/>
        <w:ind w:firstLine="560"/>
        <w:rPr>
          <w:rFonts w:ascii="宋体" w:hAnsi="宋体"/>
          <w:sz w:val="28"/>
          <w:szCs w:val="28"/>
        </w:rPr>
      </w:pPr>
      <w:r>
        <w:rPr>
          <w:rFonts w:hint="eastAsia" w:ascii="宋体" w:hAnsi="宋体"/>
          <w:sz w:val="28"/>
          <w:szCs w:val="28"/>
        </w:rPr>
        <w:t>四、作为该项目的竞买人，我方承诺如仅有我方一家报名并经确认后，我方愿意接受挂牌价作为成交价，保证签订《成交确认书》、《股权转让合同》并履行相关义务；如有二家或二家以上报名的，我方愿意接受参与网络竞价的方式，竞得后保证二个工作日内签订《成交确认书》、《股权转让合同》并履行相关义务。</w:t>
      </w:r>
    </w:p>
    <w:p>
      <w:pPr>
        <w:spacing w:after="0" w:line="360" w:lineRule="auto"/>
        <w:ind w:firstLine="560"/>
        <w:rPr>
          <w:rFonts w:ascii="宋体" w:hAnsi="宋体"/>
          <w:sz w:val="28"/>
          <w:szCs w:val="28"/>
        </w:rPr>
      </w:pPr>
      <w:r>
        <w:rPr>
          <w:rFonts w:hint="eastAsia" w:ascii="宋体" w:hAnsi="宋体"/>
          <w:sz w:val="28"/>
          <w:szCs w:val="28"/>
        </w:rPr>
        <w:t>五、若我方竞得，所缴纳的竞买保证金全部转为履约保证金，并根据合同的约定可抵作成交价款的支付。交易佣金按标的成交额</w:t>
      </w:r>
      <w:r>
        <w:rPr>
          <w:rFonts w:ascii="宋体" w:hAnsi="宋体"/>
          <w:sz w:val="28"/>
          <w:szCs w:val="28"/>
        </w:rPr>
        <w:t>0.2%</w:t>
      </w:r>
      <w:r>
        <w:rPr>
          <w:rFonts w:hint="eastAsia" w:ascii="宋体" w:hAnsi="宋体"/>
          <w:sz w:val="28"/>
          <w:szCs w:val="28"/>
        </w:rPr>
        <w:t>计算支付。</w:t>
      </w:r>
    </w:p>
    <w:p>
      <w:pPr>
        <w:spacing w:after="0" w:line="360" w:lineRule="auto"/>
        <w:ind w:firstLine="560"/>
        <w:rPr>
          <w:rFonts w:ascii="宋体" w:hAnsi="宋体"/>
          <w:sz w:val="28"/>
          <w:szCs w:val="28"/>
        </w:rPr>
      </w:pPr>
      <w:r>
        <w:rPr>
          <w:rFonts w:hint="eastAsia" w:ascii="宋体" w:hAnsi="宋体"/>
          <w:sz w:val="28"/>
          <w:szCs w:val="28"/>
        </w:rPr>
        <w:t>六、如因正当理由在竞价会开始前撤回转让标的的情况，我方愿意接受该事实，并配合贵公司办理退还保证金等手续，不再向贵公司追索保证金利息及其他任何费用与责任。</w:t>
      </w:r>
    </w:p>
    <w:p>
      <w:pPr>
        <w:spacing w:after="0" w:line="360" w:lineRule="auto"/>
        <w:ind w:firstLine="560"/>
        <w:rPr>
          <w:rFonts w:ascii="宋体" w:hAnsi="宋体"/>
          <w:sz w:val="28"/>
          <w:szCs w:val="28"/>
        </w:rPr>
      </w:pPr>
      <w:r>
        <w:rPr>
          <w:rFonts w:hint="eastAsia" w:ascii="宋体" w:hAnsi="宋体"/>
          <w:sz w:val="28"/>
          <w:szCs w:val="28"/>
        </w:rPr>
        <w:t>七、如在竞价该项目的过程中发生争议需提起诉讼或仲裁，除贵公司存在重大过错、故意行为之外，我方承诺不将贵公司列为相关诉讼、仲裁的被告，被申请人和第三人。</w:t>
      </w:r>
    </w:p>
    <w:p>
      <w:pPr>
        <w:spacing w:after="0" w:line="360" w:lineRule="auto"/>
        <w:ind w:firstLine="560"/>
        <w:rPr>
          <w:rFonts w:ascii="宋体" w:hAnsi="宋体"/>
          <w:sz w:val="28"/>
          <w:szCs w:val="28"/>
        </w:rPr>
      </w:pPr>
    </w:p>
    <w:p>
      <w:pPr>
        <w:spacing w:after="0" w:line="360" w:lineRule="auto"/>
        <w:ind w:right="1200" w:firstLine="560"/>
        <w:jc w:val="right"/>
        <w:rPr>
          <w:rFonts w:ascii="宋体" w:hAnsi="宋体"/>
          <w:sz w:val="28"/>
          <w:szCs w:val="28"/>
        </w:rPr>
      </w:pPr>
    </w:p>
    <w:p>
      <w:pPr>
        <w:spacing w:after="0" w:line="360" w:lineRule="auto"/>
        <w:ind w:right="1200" w:firstLine="560"/>
        <w:jc w:val="right"/>
        <w:rPr>
          <w:rFonts w:ascii="宋体" w:hAnsi="宋体"/>
          <w:sz w:val="28"/>
          <w:szCs w:val="28"/>
        </w:rPr>
      </w:pPr>
    </w:p>
    <w:p>
      <w:pPr>
        <w:spacing w:after="0" w:line="360" w:lineRule="auto"/>
        <w:ind w:right="1200" w:firstLine="560"/>
        <w:jc w:val="right"/>
        <w:rPr>
          <w:rFonts w:ascii="宋体" w:hAnsi="宋体"/>
          <w:sz w:val="28"/>
          <w:szCs w:val="28"/>
        </w:rPr>
      </w:pPr>
      <w:r>
        <w:rPr>
          <w:rFonts w:hint="eastAsia" w:ascii="宋体" w:hAnsi="宋体"/>
          <w:sz w:val="28"/>
          <w:szCs w:val="28"/>
        </w:rPr>
        <w:t>承诺人（签章）</w:t>
      </w:r>
    </w:p>
    <w:p>
      <w:pPr>
        <w:spacing w:after="0" w:line="360" w:lineRule="auto"/>
        <w:ind w:firstLine="560"/>
        <w:jc w:val="right"/>
        <w:rPr>
          <w:rFonts w:ascii="宋体" w:hAnsi="宋体"/>
          <w:sz w:val="28"/>
          <w:szCs w:val="28"/>
        </w:rPr>
      </w:pPr>
      <w:r>
        <w:rPr>
          <w:rFonts w:hint="eastAsia" w:ascii="宋体" w:hAnsi="宋体"/>
          <w:sz w:val="28"/>
          <w:szCs w:val="28"/>
        </w:rPr>
        <w:t>二○一九年    月    日</w:t>
      </w:r>
    </w:p>
    <w:p>
      <w:pPr>
        <w:spacing w:after="0" w:line="360" w:lineRule="auto"/>
        <w:ind w:firstLine="560"/>
        <w:jc w:val="center"/>
        <w:rPr>
          <w:rFonts w:ascii="宋体" w:hAnsi="宋体"/>
          <w:b/>
          <w:spacing w:val="12"/>
          <w:sz w:val="32"/>
          <w:szCs w:val="32"/>
        </w:rPr>
      </w:pPr>
      <w:r>
        <w:rPr>
          <w:rFonts w:hint="eastAsia" w:ascii="宋体" w:hAnsi="宋体"/>
          <w:sz w:val="28"/>
          <w:szCs w:val="28"/>
        </w:rPr>
        <w:br w:type="page"/>
      </w:r>
      <w:r>
        <w:rPr>
          <w:rFonts w:hint="eastAsia" w:ascii="宋体" w:hAnsi="宋体"/>
          <w:b/>
          <w:spacing w:val="12"/>
          <w:sz w:val="32"/>
          <w:szCs w:val="32"/>
        </w:rPr>
        <w:t>成交确认书</w:t>
      </w:r>
    </w:p>
    <w:p>
      <w:pPr>
        <w:spacing w:after="0" w:line="360" w:lineRule="auto"/>
        <w:ind w:firstLine="562"/>
        <w:rPr>
          <w:rFonts w:ascii="宋体" w:hAnsi="宋体"/>
          <w:b/>
          <w:sz w:val="28"/>
          <w:szCs w:val="28"/>
        </w:rPr>
      </w:pPr>
      <w:r>
        <w:rPr>
          <w:rFonts w:hint="eastAsia" w:ascii="宋体" w:hAnsi="宋体"/>
          <w:b/>
          <w:sz w:val="28"/>
          <w:szCs w:val="28"/>
        </w:rPr>
        <w:t>挂牌方：台州市产权交易所有限公司</w:t>
      </w:r>
    </w:p>
    <w:p>
      <w:pPr>
        <w:spacing w:after="0" w:line="360" w:lineRule="auto"/>
        <w:ind w:firstLine="562"/>
        <w:rPr>
          <w:rFonts w:ascii="宋体" w:hAnsi="宋体"/>
          <w:b/>
          <w:sz w:val="28"/>
          <w:szCs w:val="28"/>
        </w:rPr>
      </w:pPr>
      <w:r>
        <w:rPr>
          <w:rFonts w:hint="eastAsia" w:ascii="宋体" w:hAnsi="宋体"/>
          <w:b/>
          <w:sz w:val="28"/>
          <w:szCs w:val="28"/>
        </w:rPr>
        <w:t xml:space="preserve">受让方：                         联系电话：  </w:t>
      </w:r>
    </w:p>
    <w:p>
      <w:pPr>
        <w:spacing w:after="0" w:line="360" w:lineRule="auto"/>
        <w:ind w:firstLine="560"/>
        <w:rPr>
          <w:rFonts w:ascii="宋体" w:hAnsi="宋体"/>
          <w:sz w:val="28"/>
          <w:szCs w:val="28"/>
        </w:rPr>
      </w:pPr>
      <w:r>
        <w:rPr>
          <w:rFonts w:hint="eastAsia" w:ascii="宋体" w:hAnsi="宋体"/>
          <w:sz w:val="28"/>
          <w:szCs w:val="28"/>
        </w:rPr>
        <w:t>受让方于2019年   月   日上午9:30时在举行的(</w:t>
      </w:r>
      <w:r>
        <w:rPr>
          <w:rFonts w:hint="eastAsia" w:ascii="宋体" w:hAnsi="宋体"/>
          <w:bCs/>
          <w:sz w:val="28"/>
          <w:szCs w:val="28"/>
        </w:rPr>
        <w:t>台交所挂[2019]12号)</w:t>
      </w:r>
      <w:r>
        <w:rPr>
          <w:rFonts w:hint="eastAsia" w:ascii="宋体" w:hAnsi="宋体"/>
          <w:sz w:val="28"/>
          <w:szCs w:val="28"/>
        </w:rPr>
        <w:t xml:space="preserve"> </w:t>
      </w:r>
      <w:r>
        <w:rPr>
          <w:rFonts w:hint="eastAsia" w:ascii="宋体" w:hAnsi="宋体"/>
          <w:b/>
          <w:sz w:val="28"/>
          <w:szCs w:val="28"/>
        </w:rPr>
        <w:t>浙江导明医药科技有限公司</w:t>
      </w:r>
      <w:r>
        <w:rPr>
          <w:rFonts w:ascii="宋体" w:hAnsi="宋体"/>
          <w:b/>
          <w:sz w:val="28"/>
          <w:szCs w:val="28"/>
        </w:rPr>
        <w:t>20.24</w:t>
      </w:r>
      <w:r>
        <w:rPr>
          <w:rFonts w:hint="eastAsia" w:ascii="宋体" w:hAnsi="宋体"/>
          <w:b/>
          <w:sz w:val="28"/>
          <w:szCs w:val="28"/>
        </w:rPr>
        <w:t>%国有股权</w:t>
      </w:r>
      <w:r>
        <w:rPr>
          <w:rFonts w:hint="eastAsia" w:ascii="宋体" w:hAnsi="宋体"/>
          <w:sz w:val="28"/>
          <w:szCs w:val="28"/>
        </w:rPr>
        <w:t>出让</w:t>
      </w:r>
      <w:r>
        <w:rPr>
          <w:rFonts w:hint="eastAsia" w:ascii="宋体" w:hAnsi="宋体"/>
          <w:bCs/>
          <w:sz w:val="28"/>
          <w:szCs w:val="28"/>
        </w:rPr>
        <w:t>网络竞价</w:t>
      </w:r>
      <w:r>
        <w:rPr>
          <w:rFonts w:hint="eastAsia" w:ascii="宋体" w:hAnsi="宋体"/>
          <w:sz w:val="28"/>
          <w:szCs w:val="28"/>
        </w:rPr>
        <w:t>活动中，受让以下股权，根据国务院《企业国有资产交易监督管理办法》和相关法律法规规定，双方签订成交确认书如下：</w:t>
      </w:r>
    </w:p>
    <w:p>
      <w:pPr>
        <w:spacing w:after="0" w:line="360" w:lineRule="auto"/>
        <w:ind w:firstLine="560"/>
        <w:rPr>
          <w:rFonts w:ascii="宋体" w:hAnsi="宋体"/>
          <w:sz w:val="28"/>
          <w:szCs w:val="28"/>
        </w:rPr>
      </w:pPr>
      <w:r>
        <w:rPr>
          <w:rFonts w:hint="eastAsia" w:ascii="宋体" w:hAnsi="宋体"/>
          <w:sz w:val="28"/>
          <w:szCs w:val="28"/>
        </w:rPr>
        <w:t>一、买受人受让标的：浙江导明医药科技有限公司</w:t>
      </w:r>
      <w:r>
        <w:rPr>
          <w:rFonts w:ascii="宋体" w:hAnsi="宋体"/>
          <w:sz w:val="28"/>
          <w:szCs w:val="28"/>
        </w:rPr>
        <w:t>20.24</w:t>
      </w:r>
      <w:r>
        <w:rPr>
          <w:rFonts w:hint="eastAsia" w:ascii="宋体" w:hAnsi="宋体"/>
          <w:sz w:val="28"/>
          <w:szCs w:val="28"/>
        </w:rPr>
        <w:t>%国有股权</w:t>
      </w:r>
      <w:r>
        <w:rPr>
          <w:rFonts w:hint="eastAsia" w:ascii="宋体" w:hAnsi="宋体"/>
          <w:sz w:val="28"/>
          <w:szCs w:val="28"/>
          <w:lang w:val="ms-MY"/>
        </w:rPr>
        <w:t>。</w:t>
      </w:r>
    </w:p>
    <w:p>
      <w:pPr>
        <w:spacing w:after="0" w:line="360" w:lineRule="auto"/>
        <w:ind w:firstLine="560"/>
        <w:rPr>
          <w:rFonts w:ascii="宋体" w:hAnsi="宋体"/>
          <w:sz w:val="28"/>
          <w:szCs w:val="28"/>
        </w:rPr>
      </w:pPr>
      <w:r>
        <w:rPr>
          <w:rFonts w:hint="eastAsia" w:ascii="宋体" w:hAnsi="宋体"/>
          <w:sz w:val="28"/>
          <w:szCs w:val="28"/>
        </w:rPr>
        <w:t>二、成交金额及佣金：本转让标的成交金额为</w:t>
      </w:r>
      <w:r>
        <w:rPr>
          <w:rFonts w:hint="eastAsia" w:ascii="宋体" w:hAnsi="宋体"/>
          <w:sz w:val="28"/>
          <w:szCs w:val="28"/>
          <w:u w:val="single"/>
        </w:rPr>
        <w:t>　　　　　　　　</w:t>
      </w:r>
      <w:r>
        <w:rPr>
          <w:rFonts w:hint="eastAsia" w:ascii="宋体" w:hAnsi="宋体"/>
          <w:sz w:val="28"/>
          <w:szCs w:val="28"/>
        </w:rPr>
        <w:t>万元（大写：　　元整），佣金为</w:t>
      </w:r>
      <w:r>
        <w:rPr>
          <w:rFonts w:hint="eastAsia" w:ascii="宋体" w:hAnsi="宋体"/>
          <w:sz w:val="28"/>
          <w:szCs w:val="28"/>
          <w:u w:val="single"/>
        </w:rPr>
        <w:t>　　　　　</w:t>
      </w:r>
      <w:r>
        <w:rPr>
          <w:rFonts w:hint="eastAsia" w:ascii="宋体" w:hAnsi="宋体"/>
          <w:sz w:val="28"/>
          <w:szCs w:val="28"/>
        </w:rPr>
        <w:t>万元（大写：　 ）。</w:t>
      </w:r>
    </w:p>
    <w:p>
      <w:pPr>
        <w:tabs>
          <w:tab w:val="left" w:pos="6960"/>
        </w:tabs>
        <w:spacing w:after="0" w:line="360" w:lineRule="auto"/>
        <w:ind w:firstLine="560"/>
        <w:rPr>
          <w:rFonts w:ascii="宋体" w:hAnsi="宋体"/>
          <w:sz w:val="28"/>
          <w:szCs w:val="28"/>
        </w:rPr>
      </w:pPr>
      <w:r>
        <w:rPr>
          <w:rFonts w:hint="eastAsia" w:ascii="宋体" w:hAnsi="宋体"/>
          <w:sz w:val="28"/>
          <w:szCs w:val="28"/>
        </w:rPr>
        <w:t>三、付款方式：</w:t>
      </w:r>
    </w:p>
    <w:p>
      <w:pPr>
        <w:tabs>
          <w:tab w:val="left" w:pos="6960"/>
        </w:tabs>
        <w:spacing w:after="0" w:line="360" w:lineRule="auto"/>
        <w:ind w:firstLine="560"/>
        <w:rPr>
          <w:rFonts w:ascii="宋体" w:hAnsi="宋体"/>
          <w:sz w:val="28"/>
          <w:szCs w:val="28"/>
        </w:rPr>
      </w:pPr>
      <w:r>
        <w:rPr>
          <w:rFonts w:hint="eastAsia" w:ascii="宋体" w:hAnsi="宋体"/>
          <w:sz w:val="28"/>
          <w:szCs w:val="28"/>
        </w:rPr>
        <w:t>股权转让成交后，买受人在二个工作日内签署本《成交确认书》和《股权转让合同》，《股权转让合同》生效后五个工作日内买受人须支付本次股权转让成交价款的首款（即不低于总转让价值的30%）及交易佣金，上述款项缴入</w:t>
      </w:r>
      <w:r>
        <w:rPr>
          <w:rFonts w:hint="eastAsia" w:ascii="宋体" w:hAnsi="宋体"/>
          <w:bCs/>
          <w:sz w:val="28"/>
          <w:szCs w:val="28"/>
        </w:rPr>
        <w:t>台州市产权交易所有限公司（人民币开户</w:t>
      </w:r>
      <w:r>
        <w:rPr>
          <w:rFonts w:hint="eastAsia" w:ascii="宋体" w:hAnsi="宋体"/>
          <w:b/>
          <w:bCs/>
          <w:sz w:val="28"/>
          <w:szCs w:val="28"/>
        </w:rPr>
        <w:t>单位名称：台州市产权交易所有限公司，人民币开户行：</w:t>
      </w:r>
      <w:r>
        <w:rPr>
          <w:rFonts w:ascii="宋体" w:hAnsi="宋体"/>
          <w:b/>
          <w:bCs/>
          <w:sz w:val="28"/>
          <w:szCs w:val="28"/>
        </w:rPr>
        <w:t>浙江民泰商业银行台州椒江支行</w:t>
      </w:r>
      <w:r>
        <w:rPr>
          <w:rFonts w:hint="eastAsia" w:ascii="宋体" w:hAnsi="宋体"/>
          <w:b/>
          <w:bCs/>
          <w:sz w:val="28"/>
          <w:szCs w:val="28"/>
        </w:rPr>
        <w:t>，人民币账号：</w:t>
      </w:r>
      <w:r>
        <w:rPr>
          <w:rFonts w:ascii="宋体" w:hAnsi="宋体"/>
          <w:b/>
          <w:bCs/>
          <w:sz w:val="28"/>
          <w:szCs w:val="28"/>
        </w:rPr>
        <w:t>583016260</w:t>
      </w:r>
      <w:r>
        <w:rPr>
          <w:rFonts w:hint="eastAsia" w:ascii="宋体" w:hAnsi="宋体"/>
          <w:b/>
          <w:bCs/>
          <w:sz w:val="28"/>
          <w:szCs w:val="28"/>
        </w:rPr>
        <w:t>8</w:t>
      </w:r>
      <w:r>
        <w:rPr>
          <w:rFonts w:ascii="宋体" w:hAnsi="宋体"/>
          <w:b/>
          <w:bCs/>
          <w:sz w:val="28"/>
          <w:szCs w:val="28"/>
        </w:rPr>
        <w:t>000</w:t>
      </w:r>
      <w:r>
        <w:rPr>
          <w:rFonts w:hint="eastAsia" w:ascii="宋体" w:hAnsi="宋体"/>
          <w:b/>
          <w:bCs/>
          <w:sz w:val="28"/>
          <w:szCs w:val="28"/>
        </w:rPr>
        <w:t>28；美元开户单位：台州市产权交易所有限公司，美元开户行：中国农业银行台州市经济开发区支行，美元账号19900114040001067</w:t>
      </w:r>
      <w:r>
        <w:rPr>
          <w:rFonts w:hint="eastAsia" w:ascii="宋体" w:hAnsi="宋体"/>
          <w:bCs/>
          <w:sz w:val="28"/>
          <w:szCs w:val="28"/>
        </w:rPr>
        <w:t>）</w:t>
      </w:r>
      <w:r>
        <w:rPr>
          <w:rFonts w:hint="eastAsia" w:ascii="宋体" w:hAnsi="宋体"/>
          <w:sz w:val="28"/>
          <w:szCs w:val="28"/>
        </w:rPr>
        <w:t>。</w:t>
      </w:r>
    </w:p>
    <w:p>
      <w:pPr>
        <w:tabs>
          <w:tab w:val="left" w:pos="6960"/>
        </w:tabs>
        <w:spacing w:after="0" w:line="360" w:lineRule="auto"/>
        <w:ind w:firstLine="560"/>
        <w:rPr>
          <w:rFonts w:ascii="宋体" w:hAnsi="宋体"/>
          <w:sz w:val="28"/>
          <w:szCs w:val="28"/>
        </w:rPr>
      </w:pPr>
      <w:r>
        <w:rPr>
          <w:rFonts w:hint="eastAsia" w:ascii="宋体" w:hAnsi="宋体"/>
          <w:sz w:val="28"/>
          <w:szCs w:val="28"/>
        </w:rPr>
        <w:t>剩余款项在</w:t>
      </w:r>
      <w:r>
        <w:rPr>
          <w:rFonts w:ascii="宋体" w:hAnsi="宋体"/>
          <w:sz w:val="28"/>
          <w:szCs w:val="28"/>
        </w:rPr>
        <w:t>2019</w:t>
      </w:r>
      <w:r>
        <w:rPr>
          <w:rFonts w:hint="eastAsia" w:ascii="宋体" w:hAnsi="宋体"/>
          <w:sz w:val="28"/>
          <w:szCs w:val="28"/>
        </w:rPr>
        <w:t>年</w:t>
      </w:r>
      <w:r>
        <w:rPr>
          <w:rFonts w:ascii="宋体" w:hAnsi="宋体"/>
          <w:sz w:val="28"/>
          <w:szCs w:val="28"/>
        </w:rPr>
        <w:t>11</w:t>
      </w:r>
      <w:r>
        <w:rPr>
          <w:rFonts w:hint="eastAsia" w:ascii="宋体" w:hAnsi="宋体"/>
          <w:sz w:val="28"/>
          <w:szCs w:val="28"/>
        </w:rPr>
        <w:t>月</w:t>
      </w:r>
      <w:r>
        <w:rPr>
          <w:rFonts w:ascii="宋体" w:hAnsi="宋体"/>
          <w:sz w:val="28"/>
          <w:szCs w:val="28"/>
        </w:rPr>
        <w:t>29</w:t>
      </w:r>
      <w:r>
        <w:rPr>
          <w:rFonts w:hint="eastAsia" w:ascii="宋体" w:hAnsi="宋体"/>
          <w:sz w:val="28"/>
          <w:szCs w:val="28"/>
        </w:rPr>
        <w:t>日前支付完成，且提供银行保函或符合出让方要求的合法有效担保，并按同期银行贷款利率支付首次付款日至分期付款日期间的利息。该款项直接支付给出让方（</w:t>
      </w:r>
      <w:r>
        <w:rPr>
          <w:rFonts w:hint="eastAsia" w:ascii="宋体" w:hAnsi="宋体"/>
          <w:b/>
          <w:sz w:val="28"/>
          <w:szCs w:val="28"/>
        </w:rPr>
        <w:t>单位名称：</w:t>
      </w:r>
      <w:r>
        <w:rPr>
          <w:rFonts w:hint="eastAsia" w:ascii="宋体" w:hAnsi="宋体"/>
          <w:b/>
          <w:bCs/>
          <w:sz w:val="28"/>
          <w:szCs w:val="28"/>
        </w:rPr>
        <w:t>浙江海正药业股份有限公司，</w:t>
      </w:r>
      <w:r>
        <w:rPr>
          <w:rFonts w:hint="eastAsia" w:ascii="宋体" w:hAnsi="宋体"/>
          <w:b/>
          <w:sz w:val="28"/>
          <w:szCs w:val="28"/>
        </w:rPr>
        <w:t>开户行：中国工商银行台州市椒江区支行，账号：1207011109021000728</w:t>
      </w:r>
      <w:r>
        <w:rPr>
          <w:rFonts w:hint="eastAsia" w:ascii="宋体" w:hAnsi="宋体"/>
          <w:sz w:val="28"/>
          <w:szCs w:val="28"/>
        </w:rPr>
        <w:t>）。</w:t>
      </w:r>
    </w:p>
    <w:p>
      <w:pPr>
        <w:tabs>
          <w:tab w:val="left" w:pos="6960"/>
        </w:tabs>
        <w:spacing w:after="0" w:line="360" w:lineRule="auto"/>
        <w:ind w:firstLine="560"/>
        <w:jc w:val="left"/>
        <w:rPr>
          <w:rFonts w:ascii="宋体" w:hAnsi="宋体"/>
          <w:bCs/>
          <w:sz w:val="28"/>
          <w:szCs w:val="28"/>
          <w:u w:val="single"/>
        </w:rPr>
      </w:pPr>
      <w:r>
        <w:rPr>
          <w:rFonts w:hint="eastAsia" w:ascii="宋体" w:hAnsi="宋体"/>
          <w:sz w:val="28"/>
          <w:szCs w:val="28"/>
        </w:rPr>
        <w:t>四、买受人成交后拒绝签署《成交确认书》、《股权转让合同》</w:t>
      </w:r>
      <w:r>
        <w:rPr>
          <w:rFonts w:hint="eastAsia" w:ascii="宋体" w:hAnsi="宋体"/>
          <w:bCs/>
          <w:sz w:val="28"/>
          <w:szCs w:val="28"/>
        </w:rPr>
        <w:t>，视为其毁约，产交所有权追究其违约责任；受让方逾期支付股权转让成交款项的，视为受让方根本违约；出让方有权解除《股权转让合同》，产权交易所有权解除《成交确认书》，以上买受人应承担转让价款</w:t>
      </w:r>
      <w:r>
        <w:rPr>
          <w:rFonts w:ascii="宋体" w:hAnsi="宋体"/>
          <w:bCs/>
          <w:sz w:val="28"/>
          <w:szCs w:val="28"/>
        </w:rPr>
        <w:t>30%</w:t>
      </w:r>
      <w:r>
        <w:rPr>
          <w:rFonts w:hint="eastAsia" w:ascii="宋体" w:hAnsi="宋体"/>
          <w:bCs/>
          <w:sz w:val="28"/>
          <w:szCs w:val="28"/>
        </w:rPr>
        <w:t>的违约金。</w:t>
      </w:r>
    </w:p>
    <w:p>
      <w:pPr>
        <w:spacing w:after="0" w:line="360" w:lineRule="auto"/>
        <w:ind w:firstLine="560"/>
        <w:rPr>
          <w:rFonts w:ascii="宋体" w:hAnsi="宋体"/>
          <w:bCs/>
          <w:sz w:val="28"/>
          <w:szCs w:val="28"/>
        </w:rPr>
      </w:pPr>
      <w:r>
        <w:rPr>
          <w:rFonts w:hint="eastAsia" w:ascii="宋体" w:hAnsi="宋体"/>
          <w:bCs/>
          <w:sz w:val="28"/>
          <w:szCs w:val="28"/>
        </w:rPr>
        <w:t>买受人毁约或根本违约情况下，产交所经委托人同意对该项标的再行挂牌转让，原买受人承担再行挂牌转让所产生的费用，再行挂牌转让成交总价低于原挂牌转让成交总价的，原买受人应当补足差额。</w:t>
      </w:r>
    </w:p>
    <w:p>
      <w:pPr>
        <w:spacing w:after="0" w:line="360" w:lineRule="auto"/>
        <w:ind w:firstLine="560"/>
        <w:rPr>
          <w:rFonts w:ascii="宋体" w:hAnsi="宋体"/>
          <w:sz w:val="28"/>
          <w:szCs w:val="28"/>
        </w:rPr>
      </w:pPr>
      <w:r>
        <w:rPr>
          <w:rFonts w:hint="eastAsia" w:ascii="宋体" w:hAnsi="宋体"/>
          <w:sz w:val="28"/>
          <w:szCs w:val="28"/>
        </w:rPr>
        <w:t>五、买受人凭本《成交确认书》当天与转让方签订《股权转让合同》，并按股权转让合同进行履约。</w:t>
      </w:r>
    </w:p>
    <w:p>
      <w:pPr>
        <w:spacing w:after="0" w:line="360" w:lineRule="auto"/>
        <w:ind w:firstLine="560"/>
        <w:rPr>
          <w:rFonts w:ascii="宋体" w:hAnsi="宋体"/>
          <w:sz w:val="28"/>
          <w:szCs w:val="28"/>
        </w:rPr>
      </w:pPr>
      <w:r>
        <w:rPr>
          <w:rFonts w:hint="eastAsia" w:ascii="宋体" w:hAnsi="宋体"/>
          <w:sz w:val="28"/>
          <w:szCs w:val="28"/>
        </w:rPr>
        <w:t>六、确定本次挂牌转让活动各方当事人权利义务的依据：</w:t>
      </w:r>
    </w:p>
    <w:p>
      <w:pPr>
        <w:spacing w:after="0" w:line="360" w:lineRule="auto"/>
        <w:ind w:firstLine="560"/>
        <w:rPr>
          <w:rFonts w:ascii="宋体" w:hAnsi="宋体"/>
          <w:sz w:val="28"/>
          <w:szCs w:val="28"/>
        </w:rPr>
      </w:pPr>
      <w:r>
        <w:rPr>
          <w:rFonts w:hint="eastAsia" w:ascii="宋体" w:hAnsi="宋体"/>
          <w:sz w:val="28"/>
          <w:szCs w:val="28"/>
        </w:rPr>
        <w:t>1、《产权转让委托协议书》；</w:t>
      </w:r>
    </w:p>
    <w:p>
      <w:pPr>
        <w:spacing w:after="0" w:line="360" w:lineRule="auto"/>
        <w:ind w:firstLine="560"/>
        <w:rPr>
          <w:rFonts w:ascii="宋体" w:hAnsi="宋体"/>
          <w:sz w:val="28"/>
          <w:szCs w:val="28"/>
        </w:rPr>
      </w:pPr>
      <w:r>
        <w:rPr>
          <w:rFonts w:hint="eastAsia" w:ascii="宋体" w:hAnsi="宋体"/>
          <w:sz w:val="28"/>
          <w:szCs w:val="28"/>
        </w:rPr>
        <w:t>2、《股权转让合同》；</w:t>
      </w:r>
    </w:p>
    <w:p>
      <w:pPr>
        <w:spacing w:after="0" w:line="360" w:lineRule="auto"/>
        <w:ind w:firstLine="560"/>
        <w:rPr>
          <w:rFonts w:ascii="宋体" w:hAnsi="宋体"/>
          <w:sz w:val="28"/>
          <w:szCs w:val="28"/>
        </w:rPr>
      </w:pPr>
      <w:r>
        <w:rPr>
          <w:rFonts w:hint="eastAsia" w:ascii="宋体" w:hAnsi="宋体"/>
          <w:sz w:val="28"/>
          <w:szCs w:val="28"/>
        </w:rPr>
        <w:t>3、《转让须知》；</w:t>
      </w:r>
    </w:p>
    <w:p>
      <w:pPr>
        <w:spacing w:after="0" w:line="360" w:lineRule="auto"/>
        <w:ind w:firstLine="560"/>
        <w:rPr>
          <w:rFonts w:ascii="宋体" w:hAnsi="宋体"/>
          <w:sz w:val="28"/>
          <w:szCs w:val="28"/>
        </w:rPr>
      </w:pPr>
      <w:r>
        <w:rPr>
          <w:rFonts w:hint="eastAsia" w:ascii="宋体" w:hAnsi="宋体"/>
          <w:sz w:val="28"/>
          <w:szCs w:val="28"/>
        </w:rPr>
        <w:t>4、买受人办理的竞买申请手续及提供的有关文件和资料；</w:t>
      </w:r>
    </w:p>
    <w:p>
      <w:pPr>
        <w:spacing w:after="0" w:line="360" w:lineRule="auto"/>
        <w:ind w:firstLine="560"/>
        <w:rPr>
          <w:rFonts w:ascii="宋体" w:hAnsi="宋体"/>
          <w:sz w:val="28"/>
          <w:szCs w:val="28"/>
        </w:rPr>
      </w:pPr>
      <w:r>
        <w:rPr>
          <w:rFonts w:hint="eastAsia" w:ascii="宋体" w:hAnsi="宋体"/>
          <w:sz w:val="28"/>
          <w:szCs w:val="28"/>
        </w:rPr>
        <w:t>5、其他本次挂牌转让文件中的有关内容。</w:t>
      </w:r>
    </w:p>
    <w:p>
      <w:pPr>
        <w:spacing w:after="0" w:line="360" w:lineRule="auto"/>
        <w:ind w:firstLine="560"/>
        <w:rPr>
          <w:rFonts w:ascii="宋体" w:hAnsi="宋体"/>
          <w:sz w:val="28"/>
          <w:szCs w:val="28"/>
        </w:rPr>
      </w:pPr>
      <w:r>
        <w:rPr>
          <w:rFonts w:hint="eastAsia" w:ascii="宋体" w:hAnsi="宋体"/>
          <w:sz w:val="28"/>
          <w:szCs w:val="28"/>
        </w:rPr>
        <w:t>七、本确认书在履行中若发生争议，双方应协商解决，协商不成的，可向人民法院以起诉方式解决。</w:t>
      </w:r>
    </w:p>
    <w:p>
      <w:pPr>
        <w:spacing w:after="0" w:line="360" w:lineRule="auto"/>
        <w:ind w:firstLine="560"/>
        <w:rPr>
          <w:rFonts w:ascii="宋体" w:hAnsi="宋体"/>
          <w:sz w:val="28"/>
          <w:szCs w:val="28"/>
        </w:rPr>
      </w:pPr>
      <w:r>
        <w:rPr>
          <w:rFonts w:hint="eastAsia" w:ascii="宋体" w:hAnsi="宋体"/>
          <w:sz w:val="28"/>
          <w:szCs w:val="28"/>
        </w:rPr>
        <w:t>八、本《成交确认书》一式陆份。主持人、买受人各执二份，委托人、监管部门各执一份。</w:t>
      </w:r>
    </w:p>
    <w:p>
      <w:pPr>
        <w:spacing w:after="0" w:line="360" w:lineRule="auto"/>
        <w:ind w:firstLine="560"/>
        <w:rPr>
          <w:rFonts w:ascii="宋体" w:hAnsi="宋体"/>
          <w:sz w:val="28"/>
          <w:szCs w:val="28"/>
        </w:rPr>
      </w:pPr>
      <w:r>
        <w:rPr>
          <w:rFonts w:hint="eastAsia" w:ascii="宋体" w:hAnsi="宋体"/>
          <w:sz w:val="28"/>
          <w:szCs w:val="28"/>
        </w:rPr>
        <w:t>挂牌方（盖章）：     　　　　　　 买受人（盖章）：</w:t>
      </w:r>
    </w:p>
    <w:p>
      <w:pPr>
        <w:tabs>
          <w:tab w:val="left" w:pos="5210"/>
        </w:tabs>
        <w:spacing w:after="0" w:line="360" w:lineRule="auto"/>
        <w:ind w:firstLine="560"/>
        <w:rPr>
          <w:rFonts w:ascii="宋体" w:hAnsi="宋体"/>
          <w:sz w:val="28"/>
          <w:szCs w:val="28"/>
        </w:rPr>
      </w:pPr>
      <w:r>
        <w:rPr>
          <w:rFonts w:hint="eastAsia" w:ascii="宋体" w:hAnsi="宋体"/>
          <w:sz w:val="28"/>
          <w:szCs w:val="28"/>
        </w:rPr>
        <w:t>法定代表人：</w:t>
      </w:r>
      <w:r>
        <w:rPr>
          <w:rFonts w:ascii="宋体" w:hAnsi="宋体"/>
          <w:sz w:val="28"/>
          <w:szCs w:val="28"/>
        </w:rPr>
        <w:tab/>
      </w:r>
      <w:r>
        <w:rPr>
          <w:rFonts w:hint="eastAsia" w:ascii="宋体" w:hAnsi="宋体"/>
          <w:sz w:val="28"/>
          <w:szCs w:val="28"/>
        </w:rPr>
        <w:t>法定代表人：</w:t>
      </w:r>
    </w:p>
    <w:p>
      <w:pPr>
        <w:tabs>
          <w:tab w:val="left" w:pos="5210"/>
        </w:tabs>
        <w:spacing w:after="0" w:line="360" w:lineRule="auto"/>
        <w:ind w:firstLine="560"/>
        <w:rPr>
          <w:rFonts w:ascii="宋体" w:hAnsi="宋体"/>
          <w:sz w:val="28"/>
          <w:szCs w:val="28"/>
        </w:rPr>
      </w:pPr>
      <w:r>
        <w:rPr>
          <w:rFonts w:hint="eastAsia" w:ascii="宋体" w:hAnsi="宋体"/>
          <w:sz w:val="28"/>
          <w:szCs w:val="28"/>
        </w:rPr>
        <w:t>委托代理人：</w:t>
      </w:r>
      <w:r>
        <w:rPr>
          <w:rFonts w:ascii="宋体" w:hAnsi="宋体"/>
          <w:sz w:val="28"/>
          <w:szCs w:val="28"/>
        </w:rPr>
        <w:tab/>
      </w:r>
      <w:r>
        <w:rPr>
          <w:rFonts w:hint="eastAsia" w:ascii="宋体" w:hAnsi="宋体"/>
          <w:sz w:val="28"/>
          <w:szCs w:val="28"/>
        </w:rPr>
        <w:t>委托代理人：</w:t>
      </w:r>
    </w:p>
    <w:p>
      <w:pPr>
        <w:tabs>
          <w:tab w:val="left" w:pos="5210"/>
        </w:tabs>
        <w:spacing w:after="0" w:line="360" w:lineRule="auto"/>
        <w:ind w:firstLine="560"/>
        <w:rPr>
          <w:rFonts w:ascii="宋体" w:hAnsi="宋体"/>
          <w:sz w:val="28"/>
          <w:szCs w:val="28"/>
        </w:rPr>
      </w:pPr>
      <w:r>
        <w:rPr>
          <w:rFonts w:hint="eastAsia" w:ascii="宋体" w:hAnsi="宋体"/>
          <w:sz w:val="28"/>
          <w:szCs w:val="28"/>
        </w:rPr>
        <w:t>签订日期：    年   月  日         签订日期：    年   月  日</w:t>
      </w:r>
    </w:p>
    <w:p>
      <w:pPr>
        <w:tabs>
          <w:tab w:val="left" w:pos="5210"/>
        </w:tabs>
        <w:spacing w:after="0" w:line="360" w:lineRule="auto"/>
        <w:ind w:firstLine="560"/>
        <w:rPr>
          <w:rFonts w:ascii="宋体" w:hAnsi="宋体"/>
          <w:sz w:val="28"/>
          <w:szCs w:val="28"/>
        </w:rPr>
      </w:pPr>
    </w:p>
    <w:p>
      <w:pPr>
        <w:spacing w:after="0" w:line="360" w:lineRule="auto"/>
        <w:ind w:firstLine="562" w:firstLineChars="0"/>
        <w:rPr>
          <w:rFonts w:ascii="宋体" w:hAnsi="宋体"/>
          <w:b/>
          <w:sz w:val="28"/>
          <w:szCs w:val="28"/>
        </w:rPr>
      </w:pPr>
      <w:r>
        <w:rPr>
          <w:rFonts w:hint="eastAsia" w:ascii="宋体" w:hAnsi="宋体"/>
          <w:b/>
          <w:sz w:val="28"/>
          <w:szCs w:val="28"/>
        </w:rPr>
        <w:br w:type="page"/>
      </w:r>
    </w:p>
    <w:p>
      <w:pPr>
        <w:spacing w:after="0" w:line="360" w:lineRule="auto"/>
        <w:ind w:firstLine="0" w:firstLineChars="0"/>
        <w:jc w:val="center"/>
        <w:rPr>
          <w:rFonts w:ascii="宋体" w:hAnsi="宋体"/>
          <w:b/>
          <w:sz w:val="48"/>
          <w:szCs w:val="48"/>
        </w:rPr>
      </w:pPr>
    </w:p>
    <w:p>
      <w:pPr>
        <w:spacing w:after="0" w:line="360" w:lineRule="auto"/>
        <w:ind w:firstLine="0" w:firstLineChars="0"/>
        <w:jc w:val="center"/>
        <w:rPr>
          <w:rFonts w:ascii="宋体" w:hAnsi="宋体"/>
          <w:b/>
          <w:sz w:val="48"/>
          <w:szCs w:val="48"/>
        </w:rPr>
      </w:pPr>
    </w:p>
    <w:p>
      <w:pPr>
        <w:spacing w:after="0" w:line="360" w:lineRule="auto"/>
        <w:ind w:firstLine="0" w:firstLineChars="0"/>
        <w:jc w:val="center"/>
        <w:rPr>
          <w:rFonts w:ascii="宋体" w:hAnsi="宋体"/>
          <w:b/>
          <w:bCs/>
          <w:sz w:val="48"/>
          <w:szCs w:val="48"/>
        </w:rPr>
      </w:pPr>
      <w:r>
        <w:rPr>
          <w:rFonts w:hint="eastAsia" w:ascii="宋体" w:hAnsi="宋体"/>
          <w:b/>
          <w:bCs/>
          <w:sz w:val="48"/>
          <w:szCs w:val="48"/>
        </w:rPr>
        <w:t>浙江导明医药科技有限公司</w:t>
      </w:r>
    </w:p>
    <w:p>
      <w:pPr>
        <w:spacing w:after="0" w:line="360" w:lineRule="auto"/>
        <w:ind w:firstLine="0" w:firstLineChars="0"/>
        <w:jc w:val="center"/>
        <w:rPr>
          <w:rFonts w:ascii="宋体" w:hAnsi="宋体"/>
          <w:b/>
          <w:bCs/>
          <w:sz w:val="48"/>
          <w:szCs w:val="48"/>
        </w:rPr>
      </w:pPr>
      <w:r>
        <w:rPr>
          <w:rFonts w:ascii="宋体" w:hAnsi="宋体"/>
          <w:b/>
          <w:bCs/>
          <w:sz w:val="48"/>
          <w:szCs w:val="48"/>
        </w:rPr>
        <w:t>20.24</w:t>
      </w:r>
      <w:r>
        <w:rPr>
          <w:rFonts w:hint="eastAsia" w:ascii="宋体" w:hAnsi="宋体"/>
          <w:b/>
          <w:bCs/>
          <w:sz w:val="48"/>
          <w:szCs w:val="48"/>
        </w:rPr>
        <w:t>%国有股权</w:t>
      </w:r>
    </w:p>
    <w:p>
      <w:pPr>
        <w:spacing w:after="0" w:line="360" w:lineRule="auto"/>
        <w:ind w:firstLine="0" w:firstLineChars="0"/>
        <w:jc w:val="center"/>
        <w:rPr>
          <w:rFonts w:ascii="宋体" w:hAnsi="宋体"/>
          <w:b/>
          <w:sz w:val="36"/>
          <w:szCs w:val="36"/>
        </w:rPr>
      </w:pPr>
    </w:p>
    <w:p>
      <w:pPr>
        <w:spacing w:after="0" w:line="360" w:lineRule="auto"/>
        <w:ind w:firstLine="0" w:firstLineChars="0"/>
        <w:jc w:val="center"/>
        <w:rPr>
          <w:rFonts w:ascii="宋体" w:hAnsi="宋体"/>
          <w:b/>
          <w:sz w:val="70"/>
          <w:szCs w:val="70"/>
        </w:rPr>
      </w:pPr>
      <w:r>
        <w:rPr>
          <w:rFonts w:hint="eastAsia" w:ascii="宋体" w:hAnsi="宋体"/>
          <w:b/>
          <w:sz w:val="70"/>
          <w:szCs w:val="70"/>
        </w:rPr>
        <w:t>转让合同</w:t>
      </w:r>
    </w:p>
    <w:p>
      <w:pPr>
        <w:spacing w:after="0" w:line="360" w:lineRule="auto"/>
        <w:ind w:firstLine="720"/>
        <w:rPr>
          <w:rFonts w:ascii="宋体" w:hAnsi="宋体"/>
          <w:sz w:val="36"/>
          <w:szCs w:val="36"/>
        </w:rPr>
      </w:pPr>
    </w:p>
    <w:p>
      <w:pPr>
        <w:spacing w:after="0" w:line="360" w:lineRule="auto"/>
        <w:ind w:firstLine="560"/>
        <w:rPr>
          <w:rFonts w:ascii="宋体" w:hAnsi="宋体"/>
          <w:sz w:val="28"/>
          <w:szCs w:val="28"/>
        </w:rPr>
      </w:pPr>
    </w:p>
    <w:p>
      <w:pPr>
        <w:spacing w:after="0" w:line="360" w:lineRule="auto"/>
        <w:ind w:firstLine="560"/>
        <w:rPr>
          <w:rFonts w:ascii="宋体" w:hAnsi="宋体"/>
          <w:sz w:val="28"/>
          <w:szCs w:val="28"/>
        </w:rPr>
      </w:pPr>
    </w:p>
    <w:p>
      <w:pPr>
        <w:spacing w:after="0" w:line="360" w:lineRule="auto"/>
        <w:ind w:firstLine="560"/>
        <w:rPr>
          <w:rFonts w:ascii="宋体" w:hAnsi="宋体"/>
          <w:sz w:val="28"/>
          <w:szCs w:val="28"/>
        </w:rPr>
      </w:pPr>
    </w:p>
    <w:p>
      <w:pPr>
        <w:spacing w:after="0" w:line="360" w:lineRule="auto"/>
        <w:ind w:firstLine="560"/>
        <w:rPr>
          <w:rFonts w:ascii="宋体" w:hAnsi="宋体"/>
          <w:sz w:val="28"/>
          <w:szCs w:val="28"/>
        </w:rPr>
      </w:pPr>
    </w:p>
    <w:p>
      <w:pPr>
        <w:spacing w:after="0" w:line="360" w:lineRule="auto"/>
        <w:ind w:firstLine="560"/>
        <w:rPr>
          <w:rFonts w:ascii="宋体" w:hAnsi="宋体"/>
          <w:sz w:val="28"/>
          <w:szCs w:val="28"/>
        </w:rPr>
      </w:pPr>
    </w:p>
    <w:p>
      <w:pPr>
        <w:spacing w:after="0" w:line="360" w:lineRule="auto"/>
        <w:ind w:firstLine="560"/>
        <w:rPr>
          <w:rFonts w:ascii="宋体" w:hAnsi="宋体"/>
          <w:sz w:val="28"/>
          <w:szCs w:val="28"/>
        </w:rPr>
      </w:pPr>
    </w:p>
    <w:p>
      <w:pPr>
        <w:spacing w:after="0" w:line="360" w:lineRule="auto"/>
        <w:ind w:firstLine="560"/>
        <w:rPr>
          <w:rFonts w:ascii="宋体" w:hAnsi="宋体"/>
          <w:sz w:val="28"/>
          <w:szCs w:val="28"/>
        </w:rPr>
      </w:pPr>
    </w:p>
    <w:p>
      <w:pPr>
        <w:spacing w:after="0" w:line="360" w:lineRule="auto"/>
        <w:ind w:firstLine="0" w:firstLineChars="0"/>
        <w:rPr>
          <w:rFonts w:ascii="宋体" w:hAnsi="宋体"/>
          <w:sz w:val="28"/>
          <w:szCs w:val="28"/>
        </w:rPr>
      </w:pPr>
    </w:p>
    <w:p>
      <w:pPr>
        <w:spacing w:after="0" w:line="360" w:lineRule="auto"/>
        <w:ind w:firstLine="0" w:firstLineChars="0"/>
        <w:jc w:val="center"/>
        <w:rPr>
          <w:rFonts w:ascii="宋体" w:hAnsi="宋体"/>
          <w:sz w:val="28"/>
          <w:szCs w:val="28"/>
        </w:rPr>
      </w:pPr>
      <w:r>
        <w:rPr>
          <w:rFonts w:hint="eastAsia" w:ascii="宋体" w:hAnsi="宋体"/>
          <w:sz w:val="28"/>
          <w:szCs w:val="28"/>
        </w:rPr>
        <w:t>台州市产权交易所有限公司   编制</w:t>
      </w:r>
    </w:p>
    <w:p>
      <w:pPr>
        <w:spacing w:after="0" w:line="360" w:lineRule="auto"/>
        <w:ind w:firstLine="0" w:firstLineChars="0"/>
        <w:jc w:val="center"/>
        <w:outlineLvl w:val="0"/>
        <w:rPr>
          <w:rFonts w:ascii="宋体" w:hAnsi="宋体"/>
          <w:b/>
          <w:sz w:val="28"/>
          <w:szCs w:val="28"/>
        </w:rPr>
      </w:pPr>
    </w:p>
    <w:p>
      <w:pPr>
        <w:spacing w:after="0" w:line="360" w:lineRule="auto"/>
        <w:ind w:firstLine="0" w:firstLineChars="0"/>
        <w:jc w:val="left"/>
        <w:rPr>
          <w:rFonts w:ascii="宋体" w:hAnsi="宋体"/>
          <w:b/>
          <w:sz w:val="28"/>
          <w:szCs w:val="28"/>
        </w:rPr>
      </w:pPr>
      <w:r>
        <w:rPr>
          <w:rFonts w:hint="eastAsia" w:ascii="宋体" w:hAnsi="宋体"/>
          <w:b/>
          <w:sz w:val="28"/>
          <w:szCs w:val="28"/>
        </w:rPr>
        <w:br w:type="page"/>
      </w:r>
    </w:p>
    <w:p>
      <w:pPr>
        <w:spacing w:after="0" w:line="360" w:lineRule="auto"/>
        <w:ind w:firstLine="0" w:firstLineChars="0"/>
        <w:jc w:val="center"/>
        <w:outlineLvl w:val="0"/>
        <w:rPr>
          <w:rFonts w:ascii="宋体" w:hAnsi="宋体"/>
          <w:sz w:val="28"/>
          <w:szCs w:val="28"/>
        </w:rPr>
      </w:pPr>
      <w:r>
        <w:rPr>
          <w:rFonts w:hint="eastAsia" w:ascii="宋体" w:hAnsi="宋体"/>
          <w:b/>
          <w:sz w:val="28"/>
          <w:szCs w:val="28"/>
        </w:rPr>
        <w:t>本合同的当事人</w:t>
      </w:r>
    </w:p>
    <w:p>
      <w:pPr>
        <w:spacing w:after="0" w:line="360" w:lineRule="auto"/>
        <w:ind w:firstLine="560"/>
        <w:rPr>
          <w:rFonts w:ascii="宋体" w:hAnsi="宋体"/>
          <w:bCs/>
          <w:sz w:val="28"/>
          <w:szCs w:val="28"/>
        </w:rPr>
      </w:pPr>
      <w:r>
        <w:rPr>
          <w:rFonts w:hint="eastAsia" w:ascii="宋体" w:hAnsi="宋体"/>
          <w:sz w:val="28"/>
          <w:szCs w:val="28"/>
        </w:rPr>
        <w:t>出让方（以下简称甲方）：</w:t>
      </w:r>
      <w:bookmarkStart w:id="12" w:name="_Hlk9515427"/>
      <w:r>
        <w:rPr>
          <w:rFonts w:hint="eastAsia" w:ascii="宋体" w:hAnsi="宋体"/>
          <w:bCs/>
          <w:sz w:val="28"/>
          <w:szCs w:val="28"/>
        </w:rPr>
        <w:t>浙江海正药业股份有限公司</w:t>
      </w:r>
    </w:p>
    <w:p>
      <w:pPr>
        <w:spacing w:after="0" w:line="360" w:lineRule="auto"/>
        <w:ind w:firstLine="560"/>
        <w:rPr>
          <w:rFonts w:ascii="宋体" w:hAnsi="宋体"/>
          <w:spacing w:val="-30"/>
          <w:sz w:val="28"/>
          <w:szCs w:val="28"/>
        </w:rPr>
      </w:pPr>
      <w:r>
        <w:rPr>
          <w:rFonts w:hint="eastAsia" w:ascii="宋体" w:hAnsi="宋体"/>
          <w:sz w:val="28"/>
          <w:szCs w:val="28"/>
        </w:rPr>
        <w:t>统一社会信用代码：91330000704676287N</w:t>
      </w:r>
    </w:p>
    <w:p>
      <w:pPr>
        <w:spacing w:after="0" w:line="360" w:lineRule="auto"/>
        <w:ind w:firstLine="560"/>
        <w:rPr>
          <w:rFonts w:ascii="宋体" w:hAnsi="宋体"/>
          <w:sz w:val="28"/>
          <w:szCs w:val="28"/>
        </w:rPr>
      </w:pPr>
      <w:r>
        <w:rPr>
          <w:rFonts w:hint="eastAsia" w:ascii="宋体" w:hAnsi="宋体"/>
          <w:sz w:val="28"/>
          <w:szCs w:val="28"/>
        </w:rPr>
        <w:t xml:space="preserve">住 </w:t>
      </w:r>
      <w:r>
        <w:rPr>
          <w:rFonts w:ascii="宋体" w:hAnsi="宋体"/>
          <w:sz w:val="28"/>
          <w:szCs w:val="28"/>
        </w:rPr>
        <w:t xml:space="preserve">   </w:t>
      </w:r>
      <w:r>
        <w:rPr>
          <w:rFonts w:hint="eastAsia" w:ascii="宋体" w:hAnsi="宋体"/>
          <w:sz w:val="28"/>
          <w:szCs w:val="28"/>
        </w:rPr>
        <w:t xml:space="preserve">所：浙江省台州市椒江区外沙路46号 </w:t>
      </w:r>
    </w:p>
    <w:p>
      <w:pPr>
        <w:tabs>
          <w:tab w:val="left" w:pos="4640"/>
        </w:tabs>
        <w:spacing w:after="0" w:line="360" w:lineRule="auto"/>
        <w:ind w:left="6817" w:leftChars="266" w:hanging="6258" w:hangingChars="2235"/>
        <w:rPr>
          <w:rFonts w:ascii="宋体" w:hAnsi="宋体"/>
          <w:sz w:val="28"/>
          <w:szCs w:val="28"/>
        </w:rPr>
      </w:pPr>
      <w:r>
        <w:rPr>
          <w:rFonts w:hint="eastAsia" w:ascii="宋体" w:hAnsi="宋体"/>
          <w:sz w:val="28"/>
          <w:szCs w:val="28"/>
        </w:rPr>
        <w:t xml:space="preserve">性 </w:t>
      </w:r>
      <w:r>
        <w:rPr>
          <w:rFonts w:ascii="宋体" w:hAnsi="宋体"/>
          <w:sz w:val="28"/>
          <w:szCs w:val="28"/>
        </w:rPr>
        <w:t xml:space="preserve">   </w:t>
      </w:r>
      <w:r>
        <w:rPr>
          <w:rFonts w:hint="eastAsia" w:ascii="宋体" w:hAnsi="宋体"/>
          <w:sz w:val="28"/>
          <w:szCs w:val="28"/>
        </w:rPr>
        <w:t>质：其他股份有限公司（上市）</w:t>
      </w:r>
    </w:p>
    <w:p>
      <w:pPr>
        <w:tabs>
          <w:tab w:val="left" w:pos="4640"/>
        </w:tabs>
        <w:spacing w:after="0" w:line="360" w:lineRule="auto"/>
        <w:ind w:left="6817" w:leftChars="266" w:hanging="6258" w:hangingChars="2235"/>
        <w:rPr>
          <w:rFonts w:ascii="宋体" w:hAnsi="宋体"/>
          <w:sz w:val="28"/>
          <w:szCs w:val="28"/>
        </w:rPr>
      </w:pPr>
      <w:r>
        <w:rPr>
          <w:rFonts w:hint="eastAsia" w:ascii="宋体" w:hAnsi="宋体"/>
          <w:sz w:val="28"/>
          <w:szCs w:val="28"/>
        </w:rPr>
        <w:t>注册资本：人民币96553.1842万元</w:t>
      </w:r>
    </w:p>
    <w:p>
      <w:pPr>
        <w:spacing w:after="0" w:line="360" w:lineRule="auto"/>
        <w:ind w:firstLine="560"/>
        <w:rPr>
          <w:rFonts w:ascii="宋体" w:hAnsi="宋体"/>
          <w:sz w:val="28"/>
          <w:szCs w:val="28"/>
        </w:rPr>
      </w:pPr>
      <w:r>
        <w:rPr>
          <w:rFonts w:hint="eastAsia" w:ascii="宋体" w:hAnsi="宋体"/>
          <w:sz w:val="28"/>
          <w:szCs w:val="28"/>
        </w:rPr>
        <w:t>法定代表人：蒋国平　 　       职务：董事长</w:t>
      </w:r>
    </w:p>
    <w:p>
      <w:pPr>
        <w:tabs>
          <w:tab w:val="right" w:pos="9184"/>
        </w:tabs>
        <w:spacing w:after="0" w:line="360" w:lineRule="auto"/>
        <w:ind w:firstLine="560"/>
        <w:rPr>
          <w:rFonts w:ascii="宋体" w:hAnsi="宋体"/>
          <w:sz w:val="28"/>
          <w:szCs w:val="28"/>
        </w:rPr>
      </w:pPr>
      <w:r>
        <w:rPr>
          <w:rFonts w:hint="eastAsia" w:ascii="宋体" w:hAnsi="宋体"/>
          <w:sz w:val="28"/>
          <w:szCs w:val="28"/>
        </w:rPr>
        <w:t>开户银行：中国工商银行台州市椒江区支行</w:t>
      </w:r>
    </w:p>
    <w:p>
      <w:pPr>
        <w:tabs>
          <w:tab w:val="right" w:pos="9184"/>
        </w:tabs>
        <w:spacing w:after="0" w:line="360" w:lineRule="auto"/>
        <w:ind w:firstLine="560"/>
        <w:jc w:val="left"/>
        <w:rPr>
          <w:rFonts w:ascii="宋体" w:hAnsi="宋体"/>
          <w:sz w:val="28"/>
          <w:szCs w:val="28"/>
        </w:rPr>
      </w:pPr>
      <w:r>
        <w:rPr>
          <w:rFonts w:hint="eastAsia" w:ascii="宋体" w:hAnsi="宋体"/>
          <w:sz w:val="28"/>
          <w:szCs w:val="28"/>
        </w:rPr>
        <w:t>账号：1207011109021000728</w:t>
      </w:r>
    </w:p>
    <w:bookmarkEnd w:id="12"/>
    <w:p>
      <w:pPr>
        <w:spacing w:after="0" w:line="360" w:lineRule="auto"/>
        <w:ind w:firstLine="560"/>
        <w:rPr>
          <w:rFonts w:ascii="宋体" w:hAnsi="宋体"/>
          <w:sz w:val="28"/>
          <w:szCs w:val="28"/>
        </w:rPr>
      </w:pPr>
      <w:r>
        <w:rPr>
          <w:rFonts w:hint="eastAsia" w:ascii="宋体" w:hAnsi="宋体"/>
          <w:sz w:val="28"/>
          <w:szCs w:val="28"/>
        </w:rPr>
        <w:t>邮编：318000                  电话：0576-88827811</w:t>
      </w:r>
    </w:p>
    <w:p>
      <w:pPr>
        <w:spacing w:after="0" w:line="360" w:lineRule="auto"/>
        <w:ind w:firstLine="0" w:firstLineChars="0"/>
        <w:rPr>
          <w:rFonts w:ascii="宋体" w:hAnsi="宋体"/>
          <w:sz w:val="28"/>
          <w:szCs w:val="28"/>
        </w:rPr>
      </w:pPr>
    </w:p>
    <w:p>
      <w:pPr>
        <w:spacing w:after="0" w:line="360" w:lineRule="auto"/>
        <w:ind w:firstLine="560"/>
        <w:rPr>
          <w:rFonts w:ascii="宋体" w:hAnsi="宋体"/>
          <w:sz w:val="28"/>
          <w:szCs w:val="28"/>
        </w:rPr>
      </w:pPr>
      <w:r>
        <w:rPr>
          <w:rFonts w:hint="eastAsia" w:ascii="宋体" w:hAnsi="宋体"/>
          <w:sz w:val="28"/>
          <w:szCs w:val="28"/>
        </w:rPr>
        <w:t>受让方（以下简称乙方）：</w:t>
      </w:r>
    </w:p>
    <w:p>
      <w:pPr>
        <w:spacing w:after="0" w:line="360" w:lineRule="auto"/>
        <w:ind w:firstLine="560"/>
        <w:rPr>
          <w:rFonts w:ascii="宋体" w:hAnsi="宋体"/>
          <w:sz w:val="28"/>
          <w:szCs w:val="28"/>
        </w:rPr>
      </w:pPr>
      <w:r>
        <w:rPr>
          <w:rFonts w:hint="eastAsia" w:ascii="宋体" w:hAnsi="宋体"/>
          <w:sz w:val="28"/>
          <w:szCs w:val="28"/>
        </w:rPr>
        <w:t>统一社会信用代码或身份证号：</w:t>
      </w:r>
    </w:p>
    <w:p>
      <w:pPr>
        <w:spacing w:after="0" w:line="360" w:lineRule="auto"/>
        <w:ind w:firstLine="560"/>
        <w:rPr>
          <w:rFonts w:ascii="宋体" w:hAnsi="宋体"/>
          <w:sz w:val="28"/>
          <w:szCs w:val="28"/>
        </w:rPr>
      </w:pPr>
      <w:r>
        <w:rPr>
          <w:rFonts w:hint="eastAsia" w:ascii="宋体" w:hAnsi="宋体"/>
          <w:sz w:val="28"/>
          <w:szCs w:val="28"/>
        </w:rPr>
        <w:t>注册地址/住所：</w:t>
      </w:r>
    </w:p>
    <w:p>
      <w:pPr>
        <w:tabs>
          <w:tab w:val="left" w:pos="4640"/>
        </w:tabs>
        <w:spacing w:after="0" w:line="360" w:lineRule="auto"/>
        <w:ind w:left="6817" w:leftChars="266" w:hanging="6258" w:hangingChars="2235"/>
        <w:rPr>
          <w:rFonts w:ascii="宋体" w:hAnsi="宋体"/>
          <w:sz w:val="28"/>
          <w:szCs w:val="28"/>
        </w:rPr>
      </w:pPr>
      <w:r>
        <w:rPr>
          <w:rFonts w:hint="eastAsia" w:ascii="宋体" w:hAnsi="宋体"/>
          <w:sz w:val="28"/>
          <w:szCs w:val="28"/>
        </w:rPr>
        <w:t>经济性质：             　　　　    注册资本：</w:t>
      </w:r>
    </w:p>
    <w:p>
      <w:pPr>
        <w:tabs>
          <w:tab w:val="left" w:pos="6705"/>
        </w:tabs>
        <w:spacing w:after="0" w:line="360" w:lineRule="auto"/>
        <w:ind w:left="6817" w:leftChars="266" w:hanging="6258" w:hangingChars="2235"/>
        <w:rPr>
          <w:rFonts w:ascii="宋体" w:hAnsi="宋体"/>
          <w:sz w:val="28"/>
          <w:szCs w:val="28"/>
        </w:rPr>
      </w:pPr>
      <w:r>
        <w:rPr>
          <w:rFonts w:hint="eastAsia" w:ascii="宋体" w:hAnsi="宋体"/>
          <w:sz w:val="28"/>
          <w:szCs w:val="28"/>
        </w:rPr>
        <w:t xml:space="preserve">法定代表人：            　　　     职务： </w:t>
      </w:r>
      <w:r>
        <w:rPr>
          <w:rFonts w:ascii="宋体" w:hAnsi="宋体"/>
          <w:sz w:val="28"/>
          <w:szCs w:val="28"/>
        </w:rPr>
        <w:tab/>
      </w:r>
    </w:p>
    <w:p>
      <w:pPr>
        <w:tabs>
          <w:tab w:val="left" w:pos="4320"/>
          <w:tab w:val="left" w:pos="4680"/>
          <w:tab w:val="left" w:pos="5220"/>
          <w:tab w:val="left" w:pos="6900"/>
          <w:tab w:val="left" w:pos="8190"/>
        </w:tabs>
        <w:spacing w:after="0" w:line="360" w:lineRule="auto"/>
        <w:ind w:firstLine="560"/>
        <w:rPr>
          <w:rFonts w:ascii="宋体" w:hAnsi="宋体"/>
          <w:sz w:val="28"/>
          <w:szCs w:val="28"/>
        </w:rPr>
      </w:pPr>
      <w:r>
        <w:rPr>
          <w:rFonts w:hint="eastAsia" w:ascii="宋体" w:hAnsi="宋体"/>
          <w:sz w:val="28"/>
          <w:szCs w:val="28"/>
        </w:rPr>
        <w:t>开户银行：　　　　　　　　　　　　 账号：</w:t>
      </w:r>
      <w:r>
        <w:rPr>
          <w:rFonts w:ascii="宋体" w:hAnsi="宋体"/>
          <w:sz w:val="28"/>
          <w:szCs w:val="28"/>
        </w:rPr>
        <w:tab/>
      </w:r>
    </w:p>
    <w:p>
      <w:pPr>
        <w:tabs>
          <w:tab w:val="left" w:pos="5040"/>
        </w:tabs>
        <w:spacing w:after="0" w:line="360" w:lineRule="auto"/>
        <w:ind w:firstLine="560"/>
        <w:rPr>
          <w:rFonts w:ascii="宋体" w:hAnsi="宋体"/>
          <w:sz w:val="28"/>
          <w:szCs w:val="28"/>
        </w:rPr>
      </w:pPr>
      <w:r>
        <w:rPr>
          <w:rFonts w:hint="eastAsia" w:ascii="宋体" w:hAnsi="宋体"/>
          <w:sz w:val="28"/>
          <w:szCs w:val="28"/>
        </w:rPr>
        <w:t>邮编：                             电话：</w:t>
      </w:r>
    </w:p>
    <w:p>
      <w:pPr>
        <w:tabs>
          <w:tab w:val="left" w:pos="3780"/>
        </w:tabs>
        <w:spacing w:after="0" w:line="360" w:lineRule="auto"/>
        <w:ind w:firstLine="0" w:firstLineChars="0"/>
        <w:jc w:val="left"/>
        <w:rPr>
          <w:rFonts w:ascii="宋体" w:hAnsi="宋体"/>
          <w:sz w:val="28"/>
          <w:szCs w:val="28"/>
        </w:rPr>
      </w:pPr>
      <w:r>
        <w:rPr>
          <w:rFonts w:hint="eastAsia" w:ascii="宋体" w:hAnsi="宋体"/>
          <w:sz w:val="28"/>
          <w:szCs w:val="28"/>
        </w:rPr>
        <w:t xml:space="preserve">    根据《中华人民共和国合同法》和《企业国有资产交易监督管理办法》以及《企业国有产权交易操作规则》等相关法律、法规、规章及有关单位批准，甲方将持有的浙江导明医药科技有限公司</w:t>
      </w:r>
      <w:r>
        <w:rPr>
          <w:rFonts w:ascii="宋体" w:hAnsi="宋体"/>
          <w:sz w:val="28"/>
          <w:szCs w:val="28"/>
        </w:rPr>
        <w:t>20.24</w:t>
      </w:r>
      <w:r>
        <w:rPr>
          <w:rFonts w:hint="eastAsia" w:ascii="宋体" w:hAnsi="宋体"/>
          <w:sz w:val="28"/>
          <w:szCs w:val="28"/>
        </w:rPr>
        <w:t>%国有股权转让给乙方。为此，甲、乙双方遵循自愿、公平、诚实信用的原则及转让相关规定订立本合同，以致共同遵守。</w:t>
      </w:r>
    </w:p>
    <w:p>
      <w:pPr>
        <w:tabs>
          <w:tab w:val="left" w:pos="3780"/>
        </w:tabs>
        <w:spacing w:after="0" w:line="360" w:lineRule="auto"/>
        <w:ind w:firstLine="562"/>
        <w:jc w:val="left"/>
        <w:rPr>
          <w:rFonts w:ascii="宋体" w:hAnsi="宋体"/>
          <w:b/>
          <w:sz w:val="28"/>
          <w:szCs w:val="28"/>
        </w:rPr>
      </w:pPr>
      <w:r>
        <w:rPr>
          <w:rFonts w:hint="eastAsia" w:ascii="宋体" w:hAnsi="宋体"/>
          <w:b/>
          <w:sz w:val="28"/>
          <w:szCs w:val="28"/>
        </w:rPr>
        <w:t>鉴于：</w:t>
      </w:r>
    </w:p>
    <w:p>
      <w:pPr>
        <w:spacing w:after="0" w:line="360" w:lineRule="auto"/>
        <w:ind w:firstLine="560"/>
        <w:rPr>
          <w:rFonts w:ascii="宋体" w:hAnsi="宋体" w:cs="宋体"/>
          <w:sz w:val="28"/>
          <w:szCs w:val="28"/>
        </w:rPr>
      </w:pPr>
      <w:r>
        <w:rPr>
          <w:rFonts w:ascii="宋体" w:hAnsi="宋体"/>
          <w:sz w:val="28"/>
          <w:szCs w:val="28"/>
        </w:rPr>
        <w:t>1</w:t>
      </w:r>
      <w:r>
        <w:rPr>
          <w:rFonts w:hint="eastAsia" w:ascii="宋体" w:hAnsi="宋体"/>
          <w:sz w:val="28"/>
          <w:szCs w:val="28"/>
        </w:rPr>
        <w:t>、</w:t>
      </w:r>
      <w:r>
        <w:rPr>
          <w:rFonts w:hint="eastAsia" w:ascii="宋体" w:hAnsi="宋体" w:cs="宋体"/>
          <w:sz w:val="28"/>
          <w:szCs w:val="28"/>
        </w:rPr>
        <w:t>浙江导明医药科技有限公司（以下简称“导明医药”）成立于2011年11月11日，统一社会信用代码为913301005832326709，法定代表人陈晓华，注册资本18333.3333万元，其中浙江海正药业股份有限公司投资7340万元（占40.04%股权）；其他股东合计投资10993.3333万元（合计占59.96%股权）。经营范围：医药研发及技术成果转让、技术咨询、技术服务。</w:t>
      </w:r>
    </w:p>
    <w:p>
      <w:pPr>
        <w:spacing w:after="0" w:line="360" w:lineRule="auto"/>
        <w:ind w:firstLine="560"/>
        <w:rPr>
          <w:rFonts w:ascii="宋体" w:hAnsi="宋体"/>
          <w:sz w:val="28"/>
          <w:szCs w:val="28"/>
        </w:rPr>
      </w:pPr>
      <w:r>
        <w:rPr>
          <w:rFonts w:ascii="宋体" w:hAnsi="宋体"/>
          <w:sz w:val="28"/>
          <w:szCs w:val="28"/>
        </w:rPr>
        <w:t>2</w:t>
      </w:r>
      <w:r>
        <w:rPr>
          <w:rFonts w:hint="eastAsia" w:ascii="宋体" w:hAnsi="宋体"/>
          <w:sz w:val="28"/>
          <w:szCs w:val="28"/>
        </w:rPr>
        <w:t>、根据京信评报字（2018）第471号评估报告书，</w:t>
      </w:r>
      <w:r>
        <w:rPr>
          <w:rFonts w:hint="eastAsia" w:ascii="宋体" w:hAnsi="宋体" w:cs="宋体"/>
          <w:sz w:val="28"/>
          <w:szCs w:val="28"/>
        </w:rPr>
        <w:t>浙江导明医药科技有限公司</w:t>
      </w:r>
      <w:r>
        <w:rPr>
          <w:rFonts w:hint="eastAsia" w:ascii="宋体" w:hAnsi="宋体"/>
          <w:sz w:val="28"/>
          <w:szCs w:val="28"/>
        </w:rPr>
        <w:t>截止2018年6月30日：公司评估值为68,364.20万元（具体详见评估报告）。因此</w:t>
      </w:r>
      <w:r>
        <w:rPr>
          <w:rFonts w:ascii="宋体" w:hAnsi="宋体"/>
          <w:sz w:val="28"/>
          <w:szCs w:val="28"/>
        </w:rPr>
        <w:t>20.24</w:t>
      </w:r>
      <w:r>
        <w:rPr>
          <w:rFonts w:hint="eastAsia" w:ascii="宋体" w:hAnsi="宋体"/>
          <w:sz w:val="28"/>
          <w:szCs w:val="28"/>
        </w:rPr>
        <w:t>%股权对应的评估价值为</w:t>
      </w:r>
      <w:r>
        <w:rPr>
          <w:rFonts w:ascii="宋体" w:hAnsi="宋体"/>
          <w:sz w:val="28"/>
          <w:szCs w:val="28"/>
        </w:rPr>
        <w:t>13,836.91</w:t>
      </w:r>
      <w:r>
        <w:rPr>
          <w:rFonts w:hint="eastAsia" w:ascii="宋体" w:hAnsi="宋体"/>
          <w:sz w:val="28"/>
          <w:szCs w:val="28"/>
        </w:rPr>
        <w:t>万元。</w:t>
      </w:r>
    </w:p>
    <w:p>
      <w:pPr>
        <w:spacing w:after="0" w:line="360" w:lineRule="auto"/>
        <w:ind w:firstLine="560"/>
        <w:jc w:val="left"/>
        <w:rPr>
          <w:rFonts w:ascii="宋体" w:hAnsi="宋体"/>
          <w:sz w:val="28"/>
          <w:szCs w:val="28"/>
        </w:rPr>
      </w:pPr>
      <w:r>
        <w:rPr>
          <w:rFonts w:hint="eastAsia" w:ascii="宋体" w:hAnsi="宋体"/>
          <w:sz w:val="28"/>
          <w:szCs w:val="28"/>
        </w:rPr>
        <w:t>3、本次股权转让已经必要的内部决策和批准程序，资产评估报告已经台州市椒江区国有资产管理局备案。</w:t>
      </w:r>
    </w:p>
    <w:p>
      <w:pPr>
        <w:spacing w:after="0" w:line="360" w:lineRule="auto"/>
        <w:ind w:firstLine="560"/>
        <w:jc w:val="left"/>
        <w:rPr>
          <w:rFonts w:ascii="宋体" w:hAnsi="宋体"/>
          <w:sz w:val="28"/>
          <w:szCs w:val="28"/>
        </w:rPr>
      </w:pPr>
      <w:r>
        <w:rPr>
          <w:rFonts w:hint="eastAsia" w:ascii="宋体" w:hAnsi="宋体"/>
          <w:sz w:val="28"/>
          <w:szCs w:val="28"/>
        </w:rPr>
        <w:t>4、甲、乙双方当事人对上述情况及本次股权转让的相关资料均已进行全面详细的了解。</w:t>
      </w:r>
    </w:p>
    <w:p>
      <w:pPr>
        <w:tabs>
          <w:tab w:val="left" w:pos="3780"/>
        </w:tabs>
        <w:spacing w:after="0" w:line="360" w:lineRule="auto"/>
        <w:ind w:firstLine="560"/>
        <w:jc w:val="left"/>
        <w:rPr>
          <w:rFonts w:ascii="宋体" w:hAnsi="宋体"/>
          <w:sz w:val="28"/>
          <w:szCs w:val="28"/>
        </w:rPr>
      </w:pPr>
      <w:r>
        <w:rPr>
          <w:rFonts w:hint="eastAsia" w:ascii="宋体" w:hAnsi="宋体"/>
          <w:sz w:val="28"/>
          <w:szCs w:val="28"/>
        </w:rPr>
        <w:t>5、本次股权转让，双方当事人均已被授权。</w:t>
      </w:r>
    </w:p>
    <w:p>
      <w:pPr>
        <w:tabs>
          <w:tab w:val="left" w:pos="3780"/>
        </w:tabs>
        <w:spacing w:after="0" w:line="360" w:lineRule="auto"/>
        <w:ind w:firstLine="562"/>
        <w:jc w:val="left"/>
        <w:rPr>
          <w:rFonts w:ascii="宋体" w:hAnsi="宋体"/>
          <w:b/>
          <w:sz w:val="28"/>
          <w:szCs w:val="28"/>
        </w:rPr>
      </w:pPr>
      <w:r>
        <w:rPr>
          <w:rFonts w:hint="eastAsia" w:ascii="宋体" w:hAnsi="宋体"/>
          <w:b/>
          <w:sz w:val="28"/>
          <w:szCs w:val="28"/>
        </w:rPr>
        <w:t>第一条  转让的标的</w:t>
      </w:r>
    </w:p>
    <w:p>
      <w:pPr>
        <w:tabs>
          <w:tab w:val="left" w:pos="3780"/>
        </w:tabs>
        <w:spacing w:after="0" w:line="360" w:lineRule="auto"/>
        <w:ind w:firstLine="560"/>
        <w:jc w:val="left"/>
        <w:rPr>
          <w:rFonts w:ascii="宋体" w:hAnsi="宋体"/>
          <w:sz w:val="28"/>
          <w:szCs w:val="28"/>
        </w:rPr>
      </w:pPr>
      <w:r>
        <w:rPr>
          <w:rFonts w:hint="eastAsia" w:ascii="宋体" w:hAnsi="宋体"/>
          <w:sz w:val="28"/>
          <w:szCs w:val="28"/>
        </w:rPr>
        <w:t>甲方将持有的</w:t>
      </w:r>
      <w:r>
        <w:rPr>
          <w:rFonts w:hint="eastAsia" w:ascii="宋体" w:hAnsi="宋体"/>
          <w:sz w:val="28"/>
          <w:szCs w:val="28"/>
          <w:u w:val="single"/>
        </w:rPr>
        <w:t>浙江导明医药科技有限公司</w:t>
      </w:r>
      <w:r>
        <w:rPr>
          <w:rFonts w:ascii="宋体" w:hAnsi="宋体"/>
          <w:sz w:val="28"/>
          <w:szCs w:val="28"/>
          <w:u w:val="single"/>
        </w:rPr>
        <w:t>20.24</w:t>
      </w:r>
      <w:r>
        <w:rPr>
          <w:rFonts w:hint="eastAsia" w:ascii="宋体" w:hAnsi="宋体"/>
          <w:sz w:val="28"/>
          <w:szCs w:val="28"/>
          <w:u w:val="single"/>
        </w:rPr>
        <w:t>%国有股权</w:t>
      </w:r>
      <w:r>
        <w:rPr>
          <w:rFonts w:hint="eastAsia" w:ascii="宋体" w:hAnsi="宋体"/>
          <w:sz w:val="28"/>
          <w:szCs w:val="28"/>
        </w:rPr>
        <w:t>转让给乙方。</w:t>
      </w:r>
    </w:p>
    <w:p>
      <w:pPr>
        <w:tabs>
          <w:tab w:val="left" w:pos="3780"/>
        </w:tabs>
        <w:spacing w:after="0" w:line="360" w:lineRule="auto"/>
        <w:ind w:firstLine="562"/>
        <w:jc w:val="left"/>
        <w:rPr>
          <w:rFonts w:ascii="宋体" w:hAnsi="宋体"/>
          <w:b/>
          <w:sz w:val="28"/>
          <w:szCs w:val="28"/>
        </w:rPr>
      </w:pPr>
      <w:r>
        <w:rPr>
          <w:rFonts w:hint="eastAsia" w:ascii="宋体" w:hAnsi="宋体"/>
          <w:b/>
          <w:sz w:val="28"/>
          <w:szCs w:val="28"/>
        </w:rPr>
        <w:t>第二条  转让标的企业涉及的职工安置</w:t>
      </w:r>
    </w:p>
    <w:p>
      <w:pPr>
        <w:tabs>
          <w:tab w:val="left" w:pos="3780"/>
        </w:tabs>
        <w:spacing w:after="0" w:line="360" w:lineRule="auto"/>
        <w:ind w:firstLine="560"/>
        <w:jc w:val="left"/>
        <w:rPr>
          <w:rFonts w:ascii="宋体" w:hAnsi="宋体"/>
          <w:sz w:val="28"/>
          <w:szCs w:val="28"/>
        </w:rPr>
      </w:pPr>
      <w:r>
        <w:rPr>
          <w:rFonts w:hint="eastAsia" w:ascii="宋体" w:hAnsi="宋体"/>
          <w:sz w:val="28"/>
          <w:szCs w:val="28"/>
        </w:rPr>
        <w:t>本次股权转让不涉及职工安置问题。</w:t>
      </w:r>
    </w:p>
    <w:p>
      <w:pPr>
        <w:tabs>
          <w:tab w:val="left" w:pos="3780"/>
        </w:tabs>
        <w:spacing w:after="0" w:line="360" w:lineRule="auto"/>
        <w:ind w:firstLine="562"/>
        <w:jc w:val="left"/>
        <w:rPr>
          <w:rFonts w:ascii="宋体" w:hAnsi="宋体"/>
          <w:b/>
          <w:sz w:val="28"/>
          <w:szCs w:val="28"/>
        </w:rPr>
      </w:pPr>
      <w:r>
        <w:rPr>
          <w:rFonts w:hint="eastAsia" w:ascii="宋体" w:hAnsi="宋体"/>
          <w:b/>
          <w:sz w:val="28"/>
          <w:szCs w:val="28"/>
        </w:rPr>
        <w:t>第三条  转让标的企业涉及的债权、债务的承继和清偿办法。</w:t>
      </w:r>
    </w:p>
    <w:p>
      <w:pPr>
        <w:tabs>
          <w:tab w:val="left" w:pos="1620"/>
          <w:tab w:val="left" w:pos="3780"/>
        </w:tabs>
        <w:spacing w:after="0" w:line="360" w:lineRule="auto"/>
        <w:ind w:firstLine="560"/>
        <w:jc w:val="left"/>
        <w:rPr>
          <w:rFonts w:ascii="宋体" w:hAnsi="宋体"/>
          <w:sz w:val="28"/>
          <w:szCs w:val="28"/>
        </w:rPr>
      </w:pPr>
      <w:r>
        <w:rPr>
          <w:rFonts w:hint="eastAsia" w:ascii="宋体" w:hAnsi="宋体"/>
          <w:sz w:val="28"/>
          <w:szCs w:val="28"/>
        </w:rPr>
        <w:t>本次股权转让完成后，浙江导明医药科技有限公司的法人主体未发生变化，为依法存续的有限责任公司。故此，其所有债权、债务依然由浙江导明医药科技有限公司承继。</w:t>
      </w:r>
    </w:p>
    <w:p>
      <w:pPr>
        <w:tabs>
          <w:tab w:val="left" w:pos="1620"/>
          <w:tab w:val="left" w:pos="3780"/>
        </w:tabs>
        <w:spacing w:after="0" w:line="360" w:lineRule="auto"/>
        <w:ind w:firstLine="562"/>
        <w:jc w:val="left"/>
        <w:rPr>
          <w:rFonts w:ascii="宋体" w:hAnsi="宋体"/>
          <w:b/>
          <w:sz w:val="28"/>
          <w:szCs w:val="28"/>
        </w:rPr>
      </w:pPr>
      <w:r>
        <w:rPr>
          <w:rFonts w:hint="eastAsia" w:ascii="宋体" w:hAnsi="宋体"/>
          <w:b/>
          <w:sz w:val="28"/>
          <w:szCs w:val="28"/>
        </w:rPr>
        <w:t>第四条  股权转让方式</w:t>
      </w:r>
    </w:p>
    <w:p>
      <w:pPr>
        <w:tabs>
          <w:tab w:val="left" w:pos="3780"/>
        </w:tabs>
        <w:spacing w:after="0" w:line="360" w:lineRule="auto"/>
        <w:ind w:firstLine="560"/>
        <w:jc w:val="left"/>
        <w:rPr>
          <w:rFonts w:ascii="宋体" w:hAnsi="宋体"/>
          <w:sz w:val="28"/>
          <w:szCs w:val="28"/>
        </w:rPr>
      </w:pPr>
      <w:r>
        <w:rPr>
          <w:rFonts w:hint="eastAsia" w:ascii="宋体" w:hAnsi="宋体"/>
          <w:sz w:val="28"/>
          <w:szCs w:val="28"/>
          <w:u w:val="single"/>
        </w:rPr>
        <w:t xml:space="preserve">  网络竞价方式   </w:t>
      </w:r>
      <w:r>
        <w:rPr>
          <w:rFonts w:hint="eastAsia" w:ascii="宋体" w:hAnsi="宋体"/>
          <w:sz w:val="28"/>
          <w:szCs w:val="28"/>
        </w:rPr>
        <w:t>转让。</w:t>
      </w:r>
    </w:p>
    <w:p>
      <w:pPr>
        <w:tabs>
          <w:tab w:val="left" w:pos="3780"/>
        </w:tabs>
        <w:spacing w:after="0" w:line="360" w:lineRule="auto"/>
        <w:ind w:firstLine="562"/>
        <w:jc w:val="left"/>
        <w:rPr>
          <w:rFonts w:ascii="宋体" w:hAnsi="宋体"/>
          <w:b/>
          <w:sz w:val="28"/>
          <w:szCs w:val="28"/>
        </w:rPr>
      </w:pPr>
      <w:r>
        <w:rPr>
          <w:rFonts w:hint="eastAsia" w:ascii="宋体" w:hAnsi="宋体"/>
          <w:b/>
          <w:sz w:val="28"/>
          <w:szCs w:val="28"/>
        </w:rPr>
        <w:t>第五条  股权转让价格</w:t>
      </w:r>
    </w:p>
    <w:p>
      <w:pPr>
        <w:tabs>
          <w:tab w:val="left" w:pos="3780"/>
        </w:tabs>
        <w:spacing w:after="0" w:line="360" w:lineRule="auto"/>
        <w:ind w:left="1" w:firstLine="537" w:firstLineChars="192"/>
        <w:jc w:val="left"/>
        <w:rPr>
          <w:rFonts w:ascii="宋体" w:hAnsi="宋体"/>
          <w:sz w:val="28"/>
          <w:szCs w:val="28"/>
        </w:rPr>
      </w:pPr>
      <w:r>
        <w:rPr>
          <w:rFonts w:hint="eastAsia" w:ascii="宋体" w:hAnsi="宋体"/>
          <w:sz w:val="28"/>
          <w:szCs w:val="28"/>
        </w:rPr>
        <w:t>甲方将本合同第一条规定的转让标的以人民币（大写）</w:t>
      </w:r>
      <w:r>
        <w:rPr>
          <w:rFonts w:hint="eastAsia" w:ascii="宋体" w:hAnsi="宋体"/>
          <w:sz w:val="28"/>
          <w:szCs w:val="28"/>
          <w:u w:val="single"/>
        </w:rPr>
        <w:t xml:space="preserve">        </w:t>
      </w:r>
      <w:r>
        <w:rPr>
          <w:rFonts w:hint="eastAsia" w:ascii="宋体" w:hAnsi="宋体"/>
          <w:sz w:val="28"/>
          <w:szCs w:val="28"/>
        </w:rPr>
        <w:t>，（小写）￥</w:t>
      </w:r>
      <w:r>
        <w:rPr>
          <w:rFonts w:hint="eastAsia" w:ascii="宋体" w:hAnsi="宋体"/>
          <w:sz w:val="28"/>
          <w:szCs w:val="28"/>
          <w:u w:val="single"/>
        </w:rPr>
        <w:t xml:space="preserve">          </w:t>
      </w:r>
      <w:r>
        <w:rPr>
          <w:rFonts w:hint="eastAsia" w:ascii="宋体" w:hAnsi="宋体"/>
          <w:sz w:val="28"/>
          <w:szCs w:val="28"/>
        </w:rPr>
        <w:t>元转让给乙方。</w:t>
      </w:r>
    </w:p>
    <w:p>
      <w:pPr>
        <w:tabs>
          <w:tab w:val="left" w:pos="3780"/>
        </w:tabs>
        <w:spacing w:after="0" w:line="360" w:lineRule="auto"/>
        <w:ind w:firstLine="562"/>
        <w:jc w:val="left"/>
        <w:rPr>
          <w:rFonts w:ascii="宋体" w:hAnsi="宋体"/>
          <w:b/>
          <w:sz w:val="28"/>
          <w:szCs w:val="28"/>
        </w:rPr>
      </w:pPr>
      <w:r>
        <w:rPr>
          <w:rFonts w:hint="eastAsia" w:ascii="宋体" w:hAnsi="宋体"/>
          <w:b/>
          <w:sz w:val="28"/>
          <w:szCs w:val="28"/>
        </w:rPr>
        <w:t>第六条  股权转让价款的支付方式、期限及付款条件</w:t>
      </w:r>
    </w:p>
    <w:p>
      <w:pPr>
        <w:spacing w:after="0" w:line="360" w:lineRule="auto"/>
        <w:ind w:firstLine="560"/>
        <w:rPr>
          <w:rFonts w:ascii="宋体" w:hAnsi="宋体"/>
          <w:bCs/>
          <w:sz w:val="28"/>
          <w:szCs w:val="28"/>
        </w:rPr>
      </w:pPr>
      <w:r>
        <w:rPr>
          <w:rFonts w:hint="eastAsia" w:ascii="宋体" w:hAnsi="宋体"/>
          <w:sz w:val="28"/>
          <w:szCs w:val="28"/>
        </w:rPr>
        <w:t>甲、乙双方的《股权转让合同》签订生效后五个工作日内支付本次股权转让成交价款的首款（即不低于总转让价值的30%）及交易佣金；乙方先期缴纳的竞买保证金转为履约保证金并可抵作部分转让价款。上述款项缴入</w:t>
      </w:r>
      <w:r>
        <w:rPr>
          <w:rFonts w:hint="eastAsia" w:ascii="宋体" w:hAnsi="宋体"/>
          <w:bCs/>
          <w:sz w:val="28"/>
          <w:szCs w:val="28"/>
        </w:rPr>
        <w:t>台州市产权交易所有限公司（</w:t>
      </w:r>
      <w:r>
        <w:rPr>
          <w:rFonts w:hint="eastAsia" w:ascii="宋体" w:hAnsi="宋体"/>
          <w:b/>
          <w:bCs/>
          <w:sz w:val="28"/>
          <w:szCs w:val="28"/>
        </w:rPr>
        <w:t>单位名称：台州市产权交易所有限公司，开户行：</w:t>
      </w:r>
      <w:r>
        <w:rPr>
          <w:rFonts w:ascii="宋体" w:hAnsi="宋体"/>
          <w:b/>
          <w:bCs/>
          <w:sz w:val="28"/>
          <w:szCs w:val="28"/>
        </w:rPr>
        <w:t>浙江民泰商业银行台州椒江支行</w:t>
      </w:r>
      <w:r>
        <w:rPr>
          <w:rFonts w:hint="eastAsia" w:ascii="宋体" w:hAnsi="宋体"/>
          <w:b/>
          <w:bCs/>
          <w:sz w:val="28"/>
          <w:szCs w:val="28"/>
        </w:rPr>
        <w:t>，账号：</w:t>
      </w:r>
      <w:r>
        <w:rPr>
          <w:rFonts w:ascii="宋体" w:hAnsi="宋体"/>
          <w:b/>
          <w:bCs/>
          <w:sz w:val="28"/>
          <w:szCs w:val="28"/>
        </w:rPr>
        <w:t>583016260</w:t>
      </w:r>
      <w:r>
        <w:rPr>
          <w:rFonts w:hint="eastAsia" w:ascii="宋体" w:hAnsi="宋体"/>
          <w:b/>
          <w:bCs/>
          <w:sz w:val="28"/>
          <w:szCs w:val="28"/>
        </w:rPr>
        <w:t>8</w:t>
      </w:r>
      <w:r>
        <w:rPr>
          <w:rFonts w:ascii="宋体" w:hAnsi="宋体"/>
          <w:b/>
          <w:bCs/>
          <w:sz w:val="28"/>
          <w:szCs w:val="28"/>
        </w:rPr>
        <w:t>000</w:t>
      </w:r>
      <w:r>
        <w:rPr>
          <w:rFonts w:hint="eastAsia" w:ascii="宋体" w:hAnsi="宋体"/>
          <w:b/>
          <w:bCs/>
          <w:sz w:val="28"/>
          <w:szCs w:val="28"/>
        </w:rPr>
        <w:t>28</w:t>
      </w:r>
      <w:r>
        <w:rPr>
          <w:rFonts w:hint="eastAsia" w:ascii="宋体" w:hAnsi="宋体"/>
          <w:bCs/>
          <w:sz w:val="28"/>
          <w:szCs w:val="28"/>
        </w:rPr>
        <w:t>）。</w:t>
      </w:r>
    </w:p>
    <w:p>
      <w:pPr>
        <w:spacing w:after="0" w:line="360" w:lineRule="auto"/>
        <w:ind w:firstLine="560"/>
        <w:rPr>
          <w:rFonts w:ascii="宋体" w:hAnsi="宋体"/>
          <w:b/>
          <w:bCs/>
          <w:sz w:val="28"/>
          <w:szCs w:val="28"/>
        </w:rPr>
      </w:pPr>
      <w:r>
        <w:rPr>
          <w:rFonts w:hint="eastAsia" w:ascii="宋体" w:hAnsi="宋体"/>
          <w:bCs/>
          <w:sz w:val="28"/>
          <w:szCs w:val="28"/>
        </w:rPr>
        <w:t>乙方向甲方的</w:t>
      </w:r>
      <w:r>
        <w:rPr>
          <w:rFonts w:hint="eastAsia" w:ascii="宋体" w:hAnsi="宋体"/>
          <w:sz w:val="28"/>
          <w:szCs w:val="28"/>
        </w:rPr>
        <w:t>尾款支付不得晚于</w:t>
      </w:r>
      <w:r>
        <w:rPr>
          <w:rFonts w:ascii="宋体" w:hAnsi="宋体"/>
          <w:sz w:val="28"/>
          <w:szCs w:val="28"/>
        </w:rPr>
        <w:t>2019</w:t>
      </w:r>
      <w:r>
        <w:rPr>
          <w:rFonts w:hint="eastAsia" w:ascii="宋体" w:hAnsi="宋体"/>
          <w:sz w:val="28"/>
          <w:szCs w:val="28"/>
        </w:rPr>
        <w:t>年</w:t>
      </w:r>
      <w:r>
        <w:rPr>
          <w:rFonts w:ascii="宋体" w:hAnsi="宋体"/>
          <w:sz w:val="28"/>
          <w:szCs w:val="28"/>
        </w:rPr>
        <w:t>11</w:t>
      </w:r>
      <w:r>
        <w:rPr>
          <w:rFonts w:hint="eastAsia" w:ascii="宋体" w:hAnsi="宋体"/>
          <w:sz w:val="28"/>
          <w:szCs w:val="28"/>
        </w:rPr>
        <w:t>月</w:t>
      </w:r>
      <w:r>
        <w:rPr>
          <w:rFonts w:ascii="宋体" w:hAnsi="宋体"/>
          <w:sz w:val="28"/>
          <w:szCs w:val="28"/>
        </w:rPr>
        <w:t>29</w:t>
      </w:r>
      <w:r>
        <w:rPr>
          <w:rFonts w:hint="eastAsia" w:ascii="宋体" w:hAnsi="宋体"/>
          <w:sz w:val="28"/>
          <w:szCs w:val="28"/>
        </w:rPr>
        <w:t>日（延期付款部分加计同期银行贷款利率），且提供银行保函或符合转让方要求的合法有效担保，该笔款项直接支付给甲方（</w:t>
      </w:r>
      <w:r>
        <w:rPr>
          <w:rFonts w:hint="eastAsia" w:ascii="宋体" w:hAnsi="宋体"/>
          <w:b/>
          <w:sz w:val="28"/>
          <w:szCs w:val="28"/>
        </w:rPr>
        <w:t>单位名称：</w:t>
      </w:r>
      <w:r>
        <w:rPr>
          <w:rFonts w:hint="eastAsia" w:ascii="宋体" w:hAnsi="宋体"/>
          <w:b/>
          <w:bCs/>
          <w:sz w:val="28"/>
          <w:szCs w:val="28"/>
        </w:rPr>
        <w:t>浙江海正药业股份有限公司，</w:t>
      </w:r>
      <w:r>
        <w:rPr>
          <w:rFonts w:hint="eastAsia" w:ascii="宋体" w:hAnsi="宋体"/>
          <w:b/>
          <w:sz w:val="28"/>
          <w:szCs w:val="28"/>
        </w:rPr>
        <w:t>开户行：中国工商银行台州市椒江区支行，账号：1207011109021000728</w:t>
      </w:r>
      <w:r>
        <w:rPr>
          <w:rFonts w:hint="eastAsia" w:ascii="宋体" w:hAnsi="宋体"/>
          <w:sz w:val="28"/>
          <w:szCs w:val="28"/>
        </w:rPr>
        <w:t>）。</w:t>
      </w:r>
    </w:p>
    <w:p>
      <w:pPr>
        <w:tabs>
          <w:tab w:val="left" w:pos="3780"/>
        </w:tabs>
        <w:spacing w:after="0" w:line="360" w:lineRule="auto"/>
        <w:ind w:firstLine="562"/>
        <w:jc w:val="left"/>
        <w:rPr>
          <w:rFonts w:ascii="宋体" w:hAnsi="宋体"/>
          <w:b/>
          <w:sz w:val="28"/>
          <w:szCs w:val="28"/>
        </w:rPr>
      </w:pPr>
      <w:r>
        <w:rPr>
          <w:rFonts w:hint="eastAsia" w:ascii="宋体" w:hAnsi="宋体"/>
          <w:b/>
          <w:sz w:val="28"/>
          <w:szCs w:val="28"/>
        </w:rPr>
        <w:t>第七条  股权交割事项</w:t>
      </w:r>
    </w:p>
    <w:p>
      <w:pPr>
        <w:tabs>
          <w:tab w:val="left" w:pos="3780"/>
        </w:tabs>
        <w:spacing w:after="0" w:line="360" w:lineRule="auto"/>
        <w:ind w:firstLine="560"/>
        <w:jc w:val="left"/>
        <w:rPr>
          <w:rFonts w:ascii="宋体" w:hAnsi="宋体"/>
          <w:sz w:val="28"/>
          <w:szCs w:val="28"/>
        </w:rPr>
      </w:pPr>
      <w:r>
        <w:rPr>
          <w:rFonts w:hint="eastAsia" w:ascii="宋体" w:hAnsi="宋体"/>
          <w:sz w:val="28"/>
          <w:szCs w:val="28"/>
        </w:rPr>
        <w:t>1、</w:t>
      </w:r>
      <w:r>
        <w:rPr>
          <w:rFonts w:hint="eastAsia" w:ascii="宋体" w:hAnsi="宋体"/>
          <w:bCs/>
          <w:sz w:val="28"/>
          <w:szCs w:val="28"/>
        </w:rPr>
        <w:t>本次股权转让的交接，在甲方与乙方之间进行。乙方负责付清本次股权转让首款及佣金后，经产交所审核通过后向乙方出具本次股权转让的《产权交易凭证》，乙方方能要求与甲方办理股权挂牌转让标的的交接手续</w:t>
      </w:r>
      <w:r>
        <w:rPr>
          <w:rFonts w:hint="eastAsia" w:ascii="宋体" w:hAnsi="宋体"/>
          <w:sz w:val="28"/>
          <w:szCs w:val="28"/>
        </w:rPr>
        <w:t>。</w:t>
      </w:r>
    </w:p>
    <w:p>
      <w:pPr>
        <w:spacing w:after="0" w:line="360" w:lineRule="auto"/>
        <w:ind w:firstLine="560"/>
        <w:rPr>
          <w:rFonts w:ascii="宋体" w:hAnsi="宋体"/>
          <w:bCs/>
          <w:sz w:val="28"/>
          <w:szCs w:val="28"/>
        </w:rPr>
      </w:pPr>
      <w:r>
        <w:rPr>
          <w:rFonts w:hint="eastAsia" w:ascii="宋体" w:hAnsi="宋体"/>
          <w:sz w:val="28"/>
          <w:szCs w:val="28"/>
        </w:rPr>
        <w:t>2、</w:t>
      </w:r>
      <w:r>
        <w:rPr>
          <w:rFonts w:hint="eastAsia" w:ascii="宋体" w:hAnsi="宋体"/>
          <w:bCs/>
          <w:sz w:val="28"/>
          <w:szCs w:val="28"/>
        </w:rPr>
        <w:t>股权转让评估基准日（2018年6月30日）至股权转让交割日期间，标的企业经营损益不再进行审计清算，由新老股东共同享有或承担。</w:t>
      </w:r>
    </w:p>
    <w:p>
      <w:pPr>
        <w:spacing w:after="0" w:line="360" w:lineRule="auto"/>
        <w:ind w:firstLine="562"/>
        <w:rPr>
          <w:rFonts w:ascii="宋体" w:hAnsi="宋体"/>
          <w:b/>
          <w:sz w:val="28"/>
          <w:szCs w:val="28"/>
        </w:rPr>
      </w:pPr>
      <w:r>
        <w:rPr>
          <w:rFonts w:hint="eastAsia" w:ascii="宋体" w:hAnsi="宋体"/>
          <w:b/>
          <w:sz w:val="28"/>
          <w:szCs w:val="28"/>
        </w:rPr>
        <w:t>第八条 权证的变更</w:t>
      </w:r>
    </w:p>
    <w:p>
      <w:pPr>
        <w:tabs>
          <w:tab w:val="left" w:pos="3780"/>
        </w:tabs>
        <w:spacing w:after="0" w:line="360" w:lineRule="auto"/>
        <w:ind w:firstLine="560"/>
        <w:jc w:val="left"/>
        <w:rPr>
          <w:rFonts w:ascii="宋体" w:hAnsi="宋体"/>
          <w:sz w:val="28"/>
          <w:szCs w:val="28"/>
        </w:rPr>
      </w:pPr>
      <w:r>
        <w:rPr>
          <w:rFonts w:hint="eastAsia" w:ascii="宋体" w:hAnsi="宋体"/>
          <w:sz w:val="28"/>
          <w:szCs w:val="28"/>
        </w:rPr>
        <w:t>甲乙双方协商和共同配合，由标的公司完成所转让股权的权证变更手续。</w:t>
      </w:r>
    </w:p>
    <w:p>
      <w:pPr>
        <w:tabs>
          <w:tab w:val="left" w:pos="3780"/>
        </w:tabs>
        <w:spacing w:after="0" w:line="360" w:lineRule="auto"/>
        <w:ind w:firstLine="548" w:firstLineChars="195"/>
        <w:jc w:val="left"/>
        <w:rPr>
          <w:rFonts w:ascii="宋体" w:hAnsi="宋体"/>
          <w:b/>
          <w:sz w:val="28"/>
          <w:szCs w:val="28"/>
        </w:rPr>
      </w:pPr>
      <w:r>
        <w:rPr>
          <w:rFonts w:hint="eastAsia" w:ascii="宋体" w:hAnsi="宋体"/>
          <w:b/>
          <w:sz w:val="28"/>
          <w:szCs w:val="28"/>
        </w:rPr>
        <w:t>第九条  股权转让的税收和费用</w:t>
      </w:r>
    </w:p>
    <w:p>
      <w:pPr>
        <w:tabs>
          <w:tab w:val="left" w:pos="3780"/>
        </w:tabs>
        <w:spacing w:after="0" w:line="360" w:lineRule="auto"/>
        <w:ind w:firstLine="560"/>
        <w:jc w:val="left"/>
        <w:rPr>
          <w:rFonts w:ascii="宋体" w:hAnsi="宋体"/>
          <w:sz w:val="28"/>
          <w:szCs w:val="28"/>
        </w:rPr>
      </w:pPr>
      <w:r>
        <w:rPr>
          <w:rFonts w:hint="eastAsia" w:ascii="宋体" w:hAnsi="宋体"/>
          <w:sz w:val="28"/>
          <w:szCs w:val="28"/>
        </w:rPr>
        <w:t>1、股权转让中涉及的有关税收，按照国家有关法律规定缴纳。</w:t>
      </w:r>
    </w:p>
    <w:p>
      <w:pPr>
        <w:tabs>
          <w:tab w:val="left" w:pos="3780"/>
        </w:tabs>
        <w:spacing w:after="0" w:line="360" w:lineRule="auto"/>
        <w:ind w:firstLine="560"/>
        <w:jc w:val="left"/>
        <w:rPr>
          <w:rFonts w:ascii="宋体" w:hAnsi="宋体"/>
          <w:sz w:val="28"/>
          <w:szCs w:val="28"/>
        </w:rPr>
      </w:pPr>
      <w:r>
        <w:rPr>
          <w:rFonts w:hint="eastAsia" w:ascii="宋体" w:hAnsi="宋体"/>
          <w:sz w:val="28"/>
          <w:szCs w:val="28"/>
        </w:rPr>
        <w:t>2、股权转让中涉及的交易佣金由甲、乙双方各自承担。</w:t>
      </w:r>
    </w:p>
    <w:p>
      <w:pPr>
        <w:tabs>
          <w:tab w:val="left" w:pos="3780"/>
        </w:tabs>
        <w:spacing w:after="0" w:line="360" w:lineRule="auto"/>
        <w:ind w:firstLine="560"/>
        <w:jc w:val="left"/>
        <w:rPr>
          <w:rFonts w:ascii="宋体" w:hAnsi="宋体"/>
          <w:sz w:val="28"/>
          <w:szCs w:val="28"/>
        </w:rPr>
      </w:pPr>
      <w:r>
        <w:rPr>
          <w:rFonts w:hint="eastAsia" w:ascii="宋体" w:hAnsi="宋体"/>
          <w:sz w:val="28"/>
          <w:szCs w:val="28"/>
        </w:rPr>
        <w:t>3、权证变更涉及的有关费用，由标的公司承担。</w:t>
      </w:r>
    </w:p>
    <w:p>
      <w:pPr>
        <w:tabs>
          <w:tab w:val="left" w:pos="3780"/>
        </w:tabs>
        <w:spacing w:after="0" w:line="360" w:lineRule="auto"/>
        <w:ind w:firstLine="551" w:firstLineChars="196"/>
        <w:jc w:val="left"/>
        <w:rPr>
          <w:rFonts w:ascii="宋体" w:hAnsi="宋体"/>
          <w:b/>
          <w:sz w:val="28"/>
          <w:szCs w:val="28"/>
        </w:rPr>
      </w:pPr>
      <w:r>
        <w:rPr>
          <w:rFonts w:hint="eastAsia" w:ascii="宋体" w:hAnsi="宋体"/>
          <w:b/>
          <w:sz w:val="28"/>
          <w:szCs w:val="28"/>
        </w:rPr>
        <w:t>第十条  甲、乙双方的承诺</w:t>
      </w:r>
    </w:p>
    <w:p>
      <w:pPr>
        <w:tabs>
          <w:tab w:val="left" w:pos="3780"/>
        </w:tabs>
        <w:spacing w:after="0" w:line="360" w:lineRule="auto"/>
        <w:ind w:firstLine="560"/>
        <w:jc w:val="left"/>
        <w:rPr>
          <w:rFonts w:ascii="宋体" w:hAnsi="宋体"/>
          <w:sz w:val="28"/>
          <w:szCs w:val="28"/>
        </w:rPr>
      </w:pPr>
      <w:r>
        <w:rPr>
          <w:rFonts w:hint="eastAsia" w:ascii="宋体" w:hAnsi="宋体"/>
          <w:sz w:val="28"/>
          <w:szCs w:val="28"/>
        </w:rPr>
        <w:t>1、甲方的承诺：</w:t>
      </w:r>
    </w:p>
    <w:p>
      <w:pPr>
        <w:tabs>
          <w:tab w:val="left" w:pos="3780"/>
        </w:tabs>
        <w:spacing w:after="0" w:line="360" w:lineRule="auto"/>
        <w:ind w:firstLine="560"/>
        <w:jc w:val="left"/>
        <w:rPr>
          <w:rFonts w:ascii="宋体" w:hAnsi="宋体"/>
          <w:sz w:val="28"/>
          <w:szCs w:val="28"/>
        </w:rPr>
      </w:pPr>
      <w:r>
        <w:rPr>
          <w:rFonts w:hint="eastAsia" w:ascii="宋体" w:hAnsi="宋体"/>
          <w:sz w:val="28"/>
          <w:szCs w:val="28"/>
        </w:rPr>
        <w:t>1）对转让标的拥有合法、有效的处分权，并按国家相关法律、法规取得有效转让批准；</w:t>
      </w:r>
    </w:p>
    <w:p>
      <w:pPr>
        <w:tabs>
          <w:tab w:val="left" w:pos="3780"/>
        </w:tabs>
        <w:spacing w:after="0" w:line="360" w:lineRule="auto"/>
        <w:ind w:firstLine="560"/>
        <w:jc w:val="left"/>
        <w:rPr>
          <w:rFonts w:ascii="宋体" w:hAnsi="宋体"/>
          <w:sz w:val="28"/>
          <w:szCs w:val="28"/>
        </w:rPr>
      </w:pPr>
      <w:r>
        <w:rPr>
          <w:rFonts w:hint="eastAsia" w:ascii="宋体" w:hAnsi="宋体"/>
          <w:sz w:val="28"/>
          <w:szCs w:val="28"/>
        </w:rPr>
        <w:t>2）为签订本合同之前的所提交的各项证明文件及资料均为真实、完整的；</w:t>
      </w:r>
    </w:p>
    <w:p>
      <w:pPr>
        <w:tabs>
          <w:tab w:val="left" w:pos="3780"/>
        </w:tabs>
        <w:spacing w:after="0" w:line="360" w:lineRule="auto"/>
        <w:ind w:firstLine="560"/>
        <w:jc w:val="left"/>
        <w:rPr>
          <w:rFonts w:ascii="宋体" w:hAnsi="宋体"/>
          <w:sz w:val="28"/>
          <w:szCs w:val="28"/>
        </w:rPr>
      </w:pPr>
      <w:r>
        <w:rPr>
          <w:rFonts w:hint="eastAsia" w:ascii="宋体" w:hAnsi="宋体"/>
          <w:sz w:val="28"/>
          <w:szCs w:val="28"/>
        </w:rPr>
        <w:t>3）签订本合同所需的包括但不限于授权、审批、公司内部决策等在内的一切批准手续均已合法取得，本合同成立的前提条件均已满足；</w:t>
      </w:r>
    </w:p>
    <w:p>
      <w:pPr>
        <w:tabs>
          <w:tab w:val="left" w:pos="3780"/>
        </w:tabs>
        <w:spacing w:after="0" w:line="360" w:lineRule="auto"/>
        <w:ind w:firstLine="560"/>
        <w:jc w:val="left"/>
        <w:rPr>
          <w:rFonts w:ascii="宋体" w:hAnsi="宋体"/>
          <w:sz w:val="28"/>
          <w:szCs w:val="28"/>
        </w:rPr>
      </w:pPr>
      <w:r>
        <w:rPr>
          <w:rFonts w:hint="eastAsia" w:ascii="宋体" w:hAnsi="宋体"/>
          <w:sz w:val="28"/>
          <w:szCs w:val="28"/>
        </w:rPr>
        <w:t>2、乙方的承诺：</w:t>
      </w:r>
    </w:p>
    <w:p>
      <w:pPr>
        <w:tabs>
          <w:tab w:val="left" w:pos="3780"/>
        </w:tabs>
        <w:spacing w:after="0" w:line="360" w:lineRule="auto"/>
        <w:ind w:firstLine="560"/>
        <w:jc w:val="left"/>
        <w:rPr>
          <w:rFonts w:ascii="宋体" w:hAnsi="宋体"/>
          <w:sz w:val="28"/>
          <w:szCs w:val="28"/>
        </w:rPr>
      </w:pPr>
      <w:r>
        <w:rPr>
          <w:rFonts w:hint="eastAsia" w:ascii="宋体" w:hAnsi="宋体"/>
          <w:sz w:val="28"/>
          <w:szCs w:val="28"/>
        </w:rPr>
        <w:t>1）拥有完全的权利和行为能力进行股权受让，无欺诈行为；</w:t>
      </w:r>
    </w:p>
    <w:p>
      <w:pPr>
        <w:tabs>
          <w:tab w:val="left" w:pos="3780"/>
        </w:tabs>
        <w:spacing w:after="0" w:line="360" w:lineRule="auto"/>
        <w:ind w:firstLine="560"/>
        <w:jc w:val="left"/>
        <w:rPr>
          <w:rFonts w:ascii="宋体" w:hAnsi="宋体"/>
          <w:sz w:val="28"/>
          <w:szCs w:val="28"/>
        </w:rPr>
      </w:pPr>
      <w:r>
        <w:rPr>
          <w:rFonts w:hint="eastAsia" w:ascii="宋体" w:hAnsi="宋体"/>
          <w:sz w:val="28"/>
          <w:szCs w:val="28"/>
        </w:rPr>
        <w:t>2）签订本合同所需的各项授权、审批以及内部决策等在内的一切批准手续均已合法取得；</w:t>
      </w:r>
    </w:p>
    <w:p>
      <w:pPr>
        <w:tabs>
          <w:tab w:val="left" w:pos="3780"/>
        </w:tabs>
        <w:spacing w:after="0" w:line="360" w:lineRule="auto"/>
        <w:ind w:firstLine="560"/>
        <w:jc w:val="left"/>
        <w:rPr>
          <w:rFonts w:ascii="宋体" w:hAnsi="宋体"/>
          <w:sz w:val="28"/>
          <w:szCs w:val="28"/>
        </w:rPr>
      </w:pPr>
      <w:r>
        <w:rPr>
          <w:rFonts w:hint="eastAsia" w:ascii="宋体" w:hAnsi="宋体"/>
          <w:sz w:val="28"/>
          <w:szCs w:val="28"/>
        </w:rPr>
        <w:t>3）受让转让标的没有违反受让方具有约束力的合同、协议等所有法律文书；</w:t>
      </w:r>
    </w:p>
    <w:p>
      <w:pPr>
        <w:tabs>
          <w:tab w:val="left" w:pos="3780"/>
        </w:tabs>
        <w:spacing w:after="0" w:line="360" w:lineRule="auto"/>
        <w:ind w:firstLine="560"/>
        <w:jc w:val="left"/>
        <w:rPr>
          <w:rFonts w:ascii="宋体" w:hAnsi="宋体"/>
          <w:sz w:val="28"/>
          <w:szCs w:val="28"/>
        </w:rPr>
      </w:pPr>
      <w:r>
        <w:rPr>
          <w:rFonts w:hint="eastAsia" w:ascii="宋体" w:hAnsi="宋体"/>
          <w:sz w:val="28"/>
          <w:szCs w:val="28"/>
        </w:rPr>
        <w:t>4）乙方保证按本合同之约定支付转让款。</w:t>
      </w:r>
    </w:p>
    <w:p>
      <w:pPr>
        <w:tabs>
          <w:tab w:val="left" w:pos="3780"/>
        </w:tabs>
        <w:spacing w:after="0" w:line="360" w:lineRule="auto"/>
        <w:ind w:firstLine="551" w:firstLineChars="196"/>
        <w:jc w:val="left"/>
        <w:rPr>
          <w:rFonts w:ascii="宋体" w:hAnsi="宋体"/>
          <w:b/>
          <w:sz w:val="28"/>
          <w:szCs w:val="28"/>
        </w:rPr>
      </w:pPr>
      <w:r>
        <w:rPr>
          <w:rFonts w:hint="eastAsia" w:ascii="宋体" w:hAnsi="宋体"/>
          <w:b/>
          <w:sz w:val="28"/>
          <w:szCs w:val="28"/>
        </w:rPr>
        <w:t>第十一条  违约责任</w:t>
      </w:r>
    </w:p>
    <w:p>
      <w:pPr>
        <w:spacing w:after="0" w:line="360" w:lineRule="auto"/>
        <w:ind w:firstLine="560"/>
        <w:rPr>
          <w:rFonts w:ascii="宋体" w:hAnsi="宋体"/>
          <w:sz w:val="28"/>
          <w:szCs w:val="28"/>
        </w:rPr>
      </w:pPr>
      <w:r>
        <w:rPr>
          <w:rFonts w:hint="eastAsia" w:ascii="宋体" w:hAnsi="宋体"/>
          <w:sz w:val="28"/>
          <w:szCs w:val="28"/>
        </w:rPr>
        <w:t>本合同各方当事人应当按照法律规定及本合同的约定严格履行各自的义务。当事人一方不履行合同义务或者履行合同义务不符合约定的，应当承担继续履行、采取补救措施或者赔偿损失等违约责任。</w:t>
      </w:r>
    </w:p>
    <w:p>
      <w:pPr>
        <w:tabs>
          <w:tab w:val="left" w:pos="3780"/>
        </w:tabs>
        <w:spacing w:after="0" w:line="360" w:lineRule="auto"/>
        <w:ind w:firstLine="560"/>
        <w:jc w:val="left"/>
        <w:rPr>
          <w:rFonts w:ascii="宋体" w:hAnsi="宋体"/>
          <w:sz w:val="28"/>
          <w:szCs w:val="28"/>
        </w:rPr>
      </w:pPr>
      <w:r>
        <w:rPr>
          <w:rFonts w:hint="eastAsia" w:ascii="宋体" w:hAnsi="宋体"/>
          <w:sz w:val="28"/>
          <w:szCs w:val="28"/>
        </w:rPr>
        <w:t>1、甲方应按合同约定履行交付转让标的义务，涉及权属变更登记的应当及时协助乙方办理。如逾期交付或迟延办理权属变更登记的，则应自逾期之日起至实际交付或办理之日止按转让总价款的日</w:t>
      </w:r>
      <w:r>
        <w:rPr>
          <w:rFonts w:hint="eastAsia" w:ascii="宋体" w:hAnsi="宋体"/>
          <w:sz w:val="28"/>
          <w:szCs w:val="28"/>
          <w:u w:val="single"/>
        </w:rPr>
        <w:t>0.5%</w:t>
      </w:r>
      <w:r>
        <w:rPr>
          <w:rFonts w:hint="eastAsia" w:ascii="宋体" w:hAnsi="宋体"/>
          <w:sz w:val="28"/>
          <w:szCs w:val="28"/>
        </w:rPr>
        <w:t>向乙方支付违约金。</w:t>
      </w:r>
    </w:p>
    <w:p>
      <w:pPr>
        <w:tabs>
          <w:tab w:val="left" w:pos="3780"/>
        </w:tabs>
        <w:spacing w:after="0" w:line="360" w:lineRule="auto"/>
        <w:ind w:firstLine="560"/>
        <w:jc w:val="left"/>
        <w:rPr>
          <w:rFonts w:ascii="宋体" w:hAnsi="宋体"/>
          <w:sz w:val="28"/>
          <w:szCs w:val="28"/>
        </w:rPr>
      </w:pPr>
      <w:r>
        <w:rPr>
          <w:rFonts w:hint="eastAsia" w:ascii="宋体" w:hAnsi="宋体"/>
          <w:sz w:val="28"/>
          <w:szCs w:val="28"/>
        </w:rPr>
        <w:t>2、出现下列情形，视为根本性违约，守约方可解除合同并要求违约方承担转让价款30%的违约金，对所造成的实际损失违约方应当另行承担赔偿责任。</w:t>
      </w:r>
    </w:p>
    <w:p>
      <w:pPr>
        <w:tabs>
          <w:tab w:val="left" w:pos="3780"/>
        </w:tabs>
        <w:spacing w:after="0" w:line="360" w:lineRule="auto"/>
        <w:ind w:firstLine="560"/>
        <w:jc w:val="left"/>
        <w:rPr>
          <w:rFonts w:ascii="宋体" w:hAnsi="宋体"/>
          <w:sz w:val="28"/>
          <w:szCs w:val="28"/>
        </w:rPr>
      </w:pPr>
      <w:r>
        <w:rPr>
          <w:rFonts w:hint="eastAsia" w:ascii="宋体" w:hAnsi="宋体"/>
          <w:sz w:val="28"/>
          <w:szCs w:val="28"/>
        </w:rPr>
        <w:t>乙方不按合同约定履行付款义务；</w:t>
      </w:r>
    </w:p>
    <w:p>
      <w:pPr>
        <w:tabs>
          <w:tab w:val="left" w:pos="3780"/>
        </w:tabs>
        <w:spacing w:after="0" w:line="360" w:lineRule="auto"/>
        <w:ind w:firstLine="560"/>
        <w:jc w:val="left"/>
        <w:rPr>
          <w:rFonts w:ascii="宋体" w:hAnsi="宋体"/>
          <w:sz w:val="28"/>
          <w:szCs w:val="28"/>
        </w:rPr>
      </w:pPr>
      <w:r>
        <w:rPr>
          <w:rFonts w:hint="eastAsia" w:ascii="宋体" w:hAnsi="宋体"/>
          <w:sz w:val="28"/>
          <w:szCs w:val="28"/>
        </w:rPr>
        <w:t>任何一方当事人违反法律或本合同约定导致本合同目的不能实现的。</w:t>
      </w:r>
    </w:p>
    <w:p>
      <w:pPr>
        <w:tabs>
          <w:tab w:val="left" w:pos="3780"/>
        </w:tabs>
        <w:spacing w:after="0" w:line="360" w:lineRule="auto"/>
        <w:ind w:firstLine="560"/>
        <w:jc w:val="left"/>
        <w:rPr>
          <w:rFonts w:ascii="宋体" w:hAnsi="宋体"/>
          <w:sz w:val="28"/>
          <w:szCs w:val="28"/>
        </w:rPr>
      </w:pPr>
      <w:r>
        <w:rPr>
          <w:rFonts w:hint="eastAsia" w:ascii="宋体" w:hAnsi="宋体"/>
          <w:sz w:val="28"/>
          <w:szCs w:val="28"/>
        </w:rPr>
        <w:t>3、由于一方的过错造成本合同被认定为无效时，由过错的一方承担违约责任，双方均有过错，则由双方按责任大小承担各自相应的责任。</w:t>
      </w:r>
    </w:p>
    <w:p>
      <w:pPr>
        <w:tabs>
          <w:tab w:val="left" w:pos="3780"/>
        </w:tabs>
        <w:spacing w:after="0" w:line="360" w:lineRule="auto"/>
        <w:ind w:firstLine="551" w:firstLineChars="196"/>
        <w:jc w:val="left"/>
        <w:rPr>
          <w:rFonts w:ascii="宋体" w:hAnsi="宋体"/>
          <w:b/>
          <w:sz w:val="28"/>
          <w:szCs w:val="28"/>
        </w:rPr>
      </w:pPr>
      <w:r>
        <w:rPr>
          <w:rFonts w:hint="eastAsia" w:ascii="宋体" w:hAnsi="宋体"/>
          <w:b/>
          <w:sz w:val="28"/>
          <w:szCs w:val="28"/>
        </w:rPr>
        <w:t>第十二条  争议的解决方式</w:t>
      </w:r>
    </w:p>
    <w:p>
      <w:pPr>
        <w:tabs>
          <w:tab w:val="left" w:pos="3780"/>
        </w:tabs>
        <w:spacing w:after="0" w:line="360" w:lineRule="auto"/>
        <w:ind w:firstLine="560"/>
        <w:jc w:val="left"/>
        <w:rPr>
          <w:rFonts w:ascii="宋体" w:hAnsi="宋体"/>
          <w:sz w:val="28"/>
          <w:szCs w:val="28"/>
        </w:rPr>
      </w:pPr>
      <w:r>
        <w:rPr>
          <w:rFonts w:hint="eastAsia" w:ascii="宋体" w:hAnsi="宋体"/>
          <w:sz w:val="28"/>
          <w:szCs w:val="28"/>
        </w:rPr>
        <w:t>甲、乙双方在履行本合同过程中若发生争议，应由双方协商解决，如协商解决不下，一方当事人可向甲方所在地人民法院起诉。</w:t>
      </w:r>
    </w:p>
    <w:p>
      <w:pPr>
        <w:tabs>
          <w:tab w:val="left" w:pos="3780"/>
        </w:tabs>
        <w:spacing w:after="0" w:line="360" w:lineRule="auto"/>
        <w:ind w:firstLine="562"/>
        <w:jc w:val="left"/>
        <w:rPr>
          <w:rFonts w:ascii="宋体" w:hAnsi="宋体"/>
          <w:b/>
          <w:sz w:val="28"/>
          <w:szCs w:val="28"/>
        </w:rPr>
      </w:pPr>
      <w:r>
        <w:rPr>
          <w:rFonts w:hint="eastAsia" w:ascii="宋体" w:hAnsi="宋体"/>
          <w:b/>
          <w:sz w:val="28"/>
          <w:szCs w:val="28"/>
        </w:rPr>
        <w:t>第十三条  法律适用</w:t>
      </w:r>
    </w:p>
    <w:p>
      <w:pPr>
        <w:tabs>
          <w:tab w:val="left" w:pos="3780"/>
        </w:tabs>
        <w:spacing w:after="0" w:line="360" w:lineRule="auto"/>
        <w:ind w:firstLine="560"/>
        <w:jc w:val="left"/>
        <w:rPr>
          <w:rFonts w:ascii="宋体" w:hAnsi="宋体"/>
          <w:sz w:val="28"/>
          <w:szCs w:val="28"/>
        </w:rPr>
      </w:pPr>
      <w:r>
        <w:rPr>
          <w:rFonts w:hint="eastAsia" w:ascii="宋体" w:hAnsi="宋体"/>
          <w:sz w:val="28"/>
          <w:szCs w:val="28"/>
        </w:rPr>
        <w:t>本合同的适用和解释均为中华人民共和国的法律。</w:t>
      </w:r>
    </w:p>
    <w:p>
      <w:pPr>
        <w:tabs>
          <w:tab w:val="left" w:pos="3780"/>
        </w:tabs>
        <w:spacing w:after="0" w:line="360" w:lineRule="auto"/>
        <w:ind w:firstLine="562"/>
        <w:jc w:val="left"/>
        <w:rPr>
          <w:rFonts w:ascii="宋体" w:hAnsi="宋体"/>
          <w:sz w:val="28"/>
          <w:szCs w:val="28"/>
        </w:rPr>
      </w:pPr>
      <w:r>
        <w:rPr>
          <w:rFonts w:hint="eastAsia" w:ascii="宋体" w:hAnsi="宋体"/>
          <w:b/>
          <w:sz w:val="28"/>
          <w:szCs w:val="28"/>
        </w:rPr>
        <w:t>第十四条  合同的变更</w:t>
      </w:r>
    </w:p>
    <w:p>
      <w:pPr>
        <w:tabs>
          <w:tab w:val="left" w:pos="3780"/>
        </w:tabs>
        <w:spacing w:after="0" w:line="360" w:lineRule="auto"/>
        <w:ind w:firstLine="560"/>
        <w:jc w:val="left"/>
        <w:rPr>
          <w:rFonts w:ascii="宋体" w:hAnsi="宋体"/>
          <w:sz w:val="28"/>
          <w:szCs w:val="28"/>
        </w:rPr>
      </w:pPr>
      <w:r>
        <w:rPr>
          <w:rFonts w:hint="eastAsia" w:ascii="宋体" w:hAnsi="宋体"/>
          <w:sz w:val="28"/>
          <w:szCs w:val="28"/>
        </w:rPr>
        <w:t>双方当事人协商一致可变更本合同，但不得损害国家和社会公共利益及不违反有关规定。</w:t>
      </w:r>
    </w:p>
    <w:p>
      <w:pPr>
        <w:tabs>
          <w:tab w:val="left" w:pos="3780"/>
        </w:tabs>
        <w:spacing w:after="0" w:line="360" w:lineRule="auto"/>
        <w:ind w:firstLine="562"/>
        <w:jc w:val="left"/>
        <w:rPr>
          <w:rFonts w:ascii="宋体" w:hAnsi="宋体"/>
          <w:sz w:val="28"/>
          <w:szCs w:val="28"/>
        </w:rPr>
      </w:pPr>
      <w:r>
        <w:rPr>
          <w:rFonts w:hint="eastAsia" w:ascii="宋体" w:hAnsi="宋体"/>
          <w:b/>
          <w:sz w:val="28"/>
          <w:szCs w:val="28"/>
        </w:rPr>
        <w:t>第十五条  合同的解除</w:t>
      </w:r>
    </w:p>
    <w:p>
      <w:pPr>
        <w:tabs>
          <w:tab w:val="left" w:pos="3780"/>
        </w:tabs>
        <w:spacing w:after="0" w:line="360" w:lineRule="auto"/>
        <w:ind w:firstLine="568"/>
        <w:jc w:val="left"/>
        <w:rPr>
          <w:rFonts w:ascii="宋体" w:hAnsi="宋体"/>
          <w:spacing w:val="2"/>
          <w:sz w:val="28"/>
          <w:szCs w:val="28"/>
        </w:rPr>
      </w:pPr>
      <w:r>
        <w:rPr>
          <w:rFonts w:ascii="宋体" w:hAnsi="宋体"/>
          <w:spacing w:val="2"/>
          <w:sz w:val="28"/>
          <w:szCs w:val="28"/>
        </w:rPr>
        <w:t>有下列情形之一的，当事人可以解除合同：</w:t>
      </w:r>
    </w:p>
    <w:p>
      <w:pPr>
        <w:tabs>
          <w:tab w:val="left" w:pos="3780"/>
        </w:tabs>
        <w:spacing w:after="0" w:line="360" w:lineRule="auto"/>
        <w:ind w:firstLine="568"/>
        <w:jc w:val="left"/>
        <w:rPr>
          <w:rFonts w:ascii="宋体" w:hAnsi="宋体"/>
          <w:spacing w:val="2"/>
          <w:sz w:val="28"/>
          <w:szCs w:val="28"/>
        </w:rPr>
      </w:pPr>
      <w:r>
        <w:rPr>
          <w:rFonts w:hint="eastAsia" w:ascii="宋体" w:hAnsi="宋体"/>
          <w:spacing w:val="2"/>
          <w:sz w:val="28"/>
          <w:szCs w:val="28"/>
        </w:rPr>
        <w:t>1、</w:t>
      </w:r>
      <w:r>
        <w:rPr>
          <w:rFonts w:ascii="宋体" w:hAnsi="宋体"/>
          <w:spacing w:val="2"/>
          <w:sz w:val="28"/>
          <w:szCs w:val="28"/>
        </w:rPr>
        <w:t>因不可抗力致使不能实现合同目的；</w:t>
      </w:r>
    </w:p>
    <w:p>
      <w:pPr>
        <w:tabs>
          <w:tab w:val="left" w:pos="3780"/>
        </w:tabs>
        <w:spacing w:after="0" w:line="360" w:lineRule="auto"/>
        <w:ind w:firstLine="568"/>
        <w:jc w:val="left"/>
        <w:rPr>
          <w:rFonts w:ascii="宋体" w:hAnsi="宋体"/>
          <w:spacing w:val="2"/>
          <w:sz w:val="28"/>
          <w:szCs w:val="28"/>
        </w:rPr>
      </w:pPr>
      <w:bookmarkStart w:id="13" w:name="斟酌06"/>
      <w:r>
        <w:rPr>
          <w:rFonts w:hint="eastAsia" w:ascii="宋体" w:hAnsi="宋体"/>
          <w:spacing w:val="2"/>
          <w:sz w:val="28"/>
          <w:szCs w:val="28"/>
        </w:rPr>
        <w:t>2、</w:t>
      </w:r>
      <w:r>
        <w:rPr>
          <w:rFonts w:ascii="宋体" w:hAnsi="宋体"/>
          <w:spacing w:val="2"/>
          <w:sz w:val="28"/>
          <w:szCs w:val="28"/>
        </w:rPr>
        <w:t>在履行期限届满之前，当事人一方明确表示或者以自己的行为表明不履行主要债务</w:t>
      </w:r>
      <w:r>
        <w:rPr>
          <w:rFonts w:hint="eastAsia" w:ascii="宋体" w:hAnsi="宋体"/>
          <w:spacing w:val="2"/>
          <w:sz w:val="28"/>
          <w:szCs w:val="28"/>
        </w:rPr>
        <w:t>，另一方有权解除合同</w:t>
      </w:r>
      <w:r>
        <w:rPr>
          <w:rFonts w:ascii="宋体" w:hAnsi="宋体"/>
          <w:spacing w:val="2"/>
          <w:sz w:val="28"/>
          <w:szCs w:val="28"/>
        </w:rPr>
        <w:t>；</w:t>
      </w:r>
    </w:p>
    <w:p>
      <w:pPr>
        <w:tabs>
          <w:tab w:val="left" w:pos="3780"/>
        </w:tabs>
        <w:spacing w:after="0" w:line="360" w:lineRule="auto"/>
        <w:ind w:firstLine="568"/>
        <w:jc w:val="left"/>
        <w:rPr>
          <w:rFonts w:ascii="宋体" w:hAnsi="宋体"/>
          <w:spacing w:val="2"/>
          <w:sz w:val="28"/>
          <w:szCs w:val="28"/>
        </w:rPr>
      </w:pPr>
      <w:r>
        <w:rPr>
          <w:rFonts w:hint="eastAsia" w:ascii="宋体" w:hAnsi="宋体"/>
          <w:spacing w:val="2"/>
          <w:sz w:val="28"/>
          <w:szCs w:val="28"/>
        </w:rPr>
        <w:t>3、</w:t>
      </w:r>
      <w:r>
        <w:rPr>
          <w:rFonts w:ascii="宋体" w:hAnsi="宋体"/>
          <w:spacing w:val="2"/>
          <w:sz w:val="28"/>
          <w:szCs w:val="28"/>
        </w:rPr>
        <w:t>当事人一方迟延履行主要债务，经催告后在合理期限内仍未履行</w:t>
      </w:r>
      <w:r>
        <w:rPr>
          <w:rFonts w:hint="eastAsia" w:ascii="宋体" w:hAnsi="宋体"/>
          <w:spacing w:val="2"/>
          <w:sz w:val="28"/>
          <w:szCs w:val="28"/>
        </w:rPr>
        <w:t>，另一方有权解除合同</w:t>
      </w:r>
      <w:r>
        <w:rPr>
          <w:rFonts w:ascii="宋体" w:hAnsi="宋体"/>
          <w:spacing w:val="2"/>
          <w:sz w:val="28"/>
          <w:szCs w:val="28"/>
        </w:rPr>
        <w:t>；</w:t>
      </w:r>
    </w:p>
    <w:p>
      <w:pPr>
        <w:tabs>
          <w:tab w:val="left" w:pos="3780"/>
        </w:tabs>
        <w:spacing w:after="0" w:line="360" w:lineRule="auto"/>
        <w:ind w:firstLine="568"/>
        <w:jc w:val="left"/>
        <w:rPr>
          <w:rFonts w:ascii="宋体" w:hAnsi="宋体"/>
          <w:spacing w:val="2"/>
          <w:sz w:val="28"/>
          <w:szCs w:val="28"/>
        </w:rPr>
      </w:pPr>
      <w:r>
        <w:rPr>
          <w:rFonts w:hint="eastAsia" w:ascii="宋体" w:hAnsi="宋体"/>
          <w:spacing w:val="2"/>
          <w:sz w:val="28"/>
          <w:szCs w:val="28"/>
        </w:rPr>
        <w:t>4、</w:t>
      </w:r>
      <w:r>
        <w:rPr>
          <w:rFonts w:ascii="宋体" w:hAnsi="宋体"/>
          <w:spacing w:val="2"/>
          <w:sz w:val="28"/>
          <w:szCs w:val="28"/>
        </w:rPr>
        <w:t>当事人一方迟延履行债务或者有其他违约行为致使不能实现合同目的</w:t>
      </w:r>
      <w:r>
        <w:rPr>
          <w:rFonts w:hint="eastAsia" w:ascii="宋体" w:hAnsi="宋体"/>
          <w:spacing w:val="2"/>
          <w:sz w:val="28"/>
          <w:szCs w:val="28"/>
        </w:rPr>
        <w:t>，另一方有权解除合同</w:t>
      </w:r>
      <w:r>
        <w:rPr>
          <w:rFonts w:ascii="宋体" w:hAnsi="宋体"/>
          <w:spacing w:val="2"/>
          <w:sz w:val="28"/>
          <w:szCs w:val="28"/>
        </w:rPr>
        <w:t>；</w:t>
      </w:r>
    </w:p>
    <w:bookmarkEnd w:id="13"/>
    <w:p>
      <w:pPr>
        <w:tabs>
          <w:tab w:val="left" w:pos="3780"/>
        </w:tabs>
        <w:spacing w:after="0" w:line="360" w:lineRule="auto"/>
        <w:ind w:firstLine="568"/>
        <w:jc w:val="left"/>
        <w:rPr>
          <w:rFonts w:ascii="宋体" w:hAnsi="宋体"/>
          <w:spacing w:val="2"/>
          <w:sz w:val="28"/>
          <w:szCs w:val="28"/>
        </w:rPr>
      </w:pPr>
      <w:r>
        <w:rPr>
          <w:rFonts w:hint="eastAsia" w:ascii="宋体" w:hAnsi="宋体"/>
          <w:spacing w:val="2"/>
          <w:sz w:val="28"/>
          <w:szCs w:val="28"/>
        </w:rPr>
        <w:t>5、</w:t>
      </w:r>
      <w:r>
        <w:rPr>
          <w:rFonts w:ascii="宋体" w:hAnsi="宋体"/>
          <w:spacing w:val="2"/>
          <w:sz w:val="28"/>
          <w:szCs w:val="28"/>
        </w:rPr>
        <w:t>法律规定的其他情形。</w:t>
      </w:r>
    </w:p>
    <w:p>
      <w:pPr>
        <w:tabs>
          <w:tab w:val="left" w:pos="3780"/>
        </w:tabs>
        <w:spacing w:after="0" w:line="360" w:lineRule="auto"/>
        <w:ind w:firstLine="560"/>
        <w:jc w:val="left"/>
        <w:rPr>
          <w:rFonts w:ascii="宋体" w:hAnsi="宋体"/>
          <w:sz w:val="28"/>
          <w:szCs w:val="28"/>
        </w:rPr>
      </w:pPr>
      <w:r>
        <w:rPr>
          <w:rFonts w:hint="eastAsia" w:ascii="宋体" w:hAnsi="宋体"/>
          <w:sz w:val="28"/>
          <w:szCs w:val="28"/>
        </w:rPr>
        <w:t>变更或解除本合同均应采用书面形式，并送台州市产权交易所有限公司备案。</w:t>
      </w:r>
    </w:p>
    <w:p>
      <w:pPr>
        <w:tabs>
          <w:tab w:val="left" w:pos="3780"/>
        </w:tabs>
        <w:spacing w:after="0" w:line="360" w:lineRule="auto"/>
        <w:ind w:firstLine="562"/>
        <w:jc w:val="left"/>
        <w:rPr>
          <w:rFonts w:ascii="宋体" w:hAnsi="宋体"/>
          <w:b/>
          <w:sz w:val="28"/>
          <w:szCs w:val="28"/>
        </w:rPr>
      </w:pPr>
      <w:r>
        <w:rPr>
          <w:rFonts w:hint="eastAsia" w:ascii="宋体" w:hAnsi="宋体"/>
          <w:b/>
          <w:sz w:val="28"/>
          <w:szCs w:val="28"/>
        </w:rPr>
        <w:t>第十六条  合同的生效</w:t>
      </w:r>
    </w:p>
    <w:p>
      <w:pPr>
        <w:tabs>
          <w:tab w:val="left" w:pos="3780"/>
        </w:tabs>
        <w:spacing w:after="0" w:line="360" w:lineRule="auto"/>
        <w:ind w:firstLine="560"/>
        <w:jc w:val="left"/>
        <w:rPr>
          <w:rFonts w:ascii="宋体" w:hAnsi="宋体"/>
          <w:sz w:val="28"/>
          <w:szCs w:val="28"/>
        </w:rPr>
      </w:pPr>
      <w:r>
        <w:rPr>
          <w:rFonts w:hint="eastAsia" w:ascii="宋体" w:hAnsi="宋体"/>
          <w:sz w:val="28"/>
          <w:szCs w:val="28"/>
        </w:rPr>
        <w:t>本合同自甲、乙双方的授权代表签字、盖章后生效。本合同生效后，双方对本合同内容的变更或补充应采用书面形式订立，并作为本合同的附件。附件与本合同具有同等的法律效力。</w:t>
      </w:r>
    </w:p>
    <w:p>
      <w:pPr>
        <w:tabs>
          <w:tab w:val="left" w:pos="3780"/>
        </w:tabs>
        <w:spacing w:after="0" w:line="360" w:lineRule="auto"/>
        <w:ind w:firstLine="571" w:firstLineChars="203"/>
        <w:rPr>
          <w:rFonts w:ascii="宋体" w:hAnsi="宋体"/>
          <w:b/>
          <w:sz w:val="28"/>
          <w:szCs w:val="28"/>
        </w:rPr>
      </w:pPr>
      <w:r>
        <w:rPr>
          <w:rFonts w:hint="eastAsia" w:ascii="宋体" w:hAnsi="宋体"/>
          <w:b/>
          <w:sz w:val="28"/>
          <w:szCs w:val="28"/>
        </w:rPr>
        <w:t>第十七条  其他约定事项</w:t>
      </w:r>
    </w:p>
    <w:p>
      <w:pPr>
        <w:tabs>
          <w:tab w:val="left" w:pos="3780"/>
        </w:tabs>
        <w:spacing w:after="0" w:line="360" w:lineRule="auto"/>
        <w:ind w:firstLine="571" w:firstLineChars="203"/>
        <w:rPr>
          <w:rFonts w:ascii="宋体" w:hAnsi="宋体"/>
          <w:b/>
          <w:sz w:val="28"/>
          <w:szCs w:val="28"/>
          <w:u w:val="single"/>
        </w:rPr>
      </w:pPr>
      <w:r>
        <w:rPr>
          <w:rFonts w:hint="eastAsia" w:ascii="宋体" w:hAnsi="宋体"/>
          <w:b/>
          <w:sz w:val="28"/>
          <w:szCs w:val="28"/>
          <w:u w:val="single"/>
        </w:rPr>
        <w:t xml:space="preserve">                                                          </w:t>
      </w:r>
    </w:p>
    <w:p>
      <w:pPr>
        <w:tabs>
          <w:tab w:val="left" w:pos="3780"/>
        </w:tabs>
        <w:spacing w:after="0" w:line="360" w:lineRule="auto"/>
        <w:ind w:firstLine="560"/>
        <w:jc w:val="left"/>
        <w:rPr>
          <w:rFonts w:ascii="宋体" w:hAnsi="宋体"/>
          <w:sz w:val="28"/>
          <w:szCs w:val="28"/>
        </w:rPr>
      </w:pPr>
      <w:r>
        <w:rPr>
          <w:rFonts w:hint="eastAsia" w:ascii="宋体" w:hAnsi="宋体"/>
          <w:sz w:val="28"/>
          <w:szCs w:val="28"/>
        </w:rPr>
        <w:t>本合同一式</w:t>
      </w:r>
      <w:r>
        <w:rPr>
          <w:rFonts w:hint="eastAsia" w:ascii="宋体" w:hAnsi="宋体"/>
          <w:sz w:val="28"/>
          <w:szCs w:val="28"/>
          <w:u w:val="single"/>
        </w:rPr>
        <w:t xml:space="preserve"> 陆 </w:t>
      </w:r>
      <w:r>
        <w:rPr>
          <w:rFonts w:hint="eastAsia" w:ascii="宋体" w:hAnsi="宋体"/>
          <w:sz w:val="28"/>
          <w:szCs w:val="28"/>
        </w:rPr>
        <w:t>份，甲、乙双方各执</w:t>
      </w:r>
      <w:r>
        <w:rPr>
          <w:rFonts w:hint="eastAsia" w:ascii="宋体" w:hAnsi="宋体"/>
          <w:sz w:val="28"/>
          <w:szCs w:val="28"/>
          <w:u w:val="single"/>
        </w:rPr>
        <w:t xml:space="preserve"> 壹 </w:t>
      </w:r>
      <w:r>
        <w:rPr>
          <w:rFonts w:hint="eastAsia" w:ascii="宋体" w:hAnsi="宋体"/>
          <w:sz w:val="28"/>
          <w:szCs w:val="28"/>
        </w:rPr>
        <w:t>份，股权标的方执</w:t>
      </w:r>
      <w:r>
        <w:rPr>
          <w:rFonts w:hint="eastAsia" w:ascii="宋体" w:hAnsi="宋体"/>
          <w:sz w:val="28"/>
          <w:szCs w:val="28"/>
          <w:u w:val="single"/>
        </w:rPr>
        <w:t xml:space="preserve"> 壹 </w:t>
      </w:r>
      <w:r>
        <w:rPr>
          <w:rFonts w:hint="eastAsia" w:ascii="宋体" w:hAnsi="宋体"/>
          <w:sz w:val="28"/>
          <w:szCs w:val="28"/>
        </w:rPr>
        <w:t>份，台州市产权交易所有限公司执</w:t>
      </w:r>
      <w:r>
        <w:rPr>
          <w:rFonts w:hint="eastAsia" w:ascii="宋体" w:hAnsi="宋体"/>
          <w:sz w:val="28"/>
          <w:szCs w:val="28"/>
          <w:u w:val="single"/>
        </w:rPr>
        <w:t xml:space="preserve"> 壹 </w:t>
      </w:r>
      <w:r>
        <w:rPr>
          <w:rFonts w:hint="eastAsia" w:ascii="宋体" w:hAnsi="宋体"/>
          <w:sz w:val="28"/>
          <w:szCs w:val="28"/>
        </w:rPr>
        <w:t>份，其余</w:t>
      </w:r>
      <w:r>
        <w:rPr>
          <w:rFonts w:hint="eastAsia" w:ascii="宋体" w:hAnsi="宋体"/>
          <w:sz w:val="28"/>
          <w:szCs w:val="28"/>
          <w:u w:val="single"/>
        </w:rPr>
        <w:t>贰</w:t>
      </w:r>
      <w:r>
        <w:rPr>
          <w:rFonts w:hint="eastAsia" w:ascii="宋体" w:hAnsi="宋体"/>
          <w:sz w:val="28"/>
          <w:szCs w:val="28"/>
        </w:rPr>
        <w:t>份报相关部门。</w:t>
      </w:r>
    </w:p>
    <w:p>
      <w:pPr>
        <w:tabs>
          <w:tab w:val="left" w:pos="3780"/>
        </w:tabs>
        <w:spacing w:after="0" w:line="360" w:lineRule="auto"/>
        <w:ind w:firstLine="560"/>
        <w:jc w:val="left"/>
        <w:rPr>
          <w:rFonts w:ascii="宋体" w:hAnsi="宋体"/>
          <w:sz w:val="28"/>
          <w:szCs w:val="28"/>
        </w:rPr>
      </w:pPr>
    </w:p>
    <w:p>
      <w:pPr>
        <w:tabs>
          <w:tab w:val="left" w:pos="3780"/>
        </w:tabs>
        <w:spacing w:after="0" w:line="360" w:lineRule="auto"/>
        <w:ind w:firstLine="560"/>
        <w:jc w:val="left"/>
        <w:rPr>
          <w:rFonts w:ascii="宋体" w:hAnsi="宋体"/>
          <w:sz w:val="28"/>
          <w:szCs w:val="28"/>
        </w:rPr>
      </w:pPr>
    </w:p>
    <w:p>
      <w:pPr>
        <w:spacing w:after="0" w:line="360" w:lineRule="auto"/>
        <w:ind w:firstLine="0" w:firstLineChars="0"/>
        <w:jc w:val="left"/>
        <w:rPr>
          <w:rFonts w:ascii="宋体" w:hAnsi="宋体"/>
          <w:sz w:val="28"/>
          <w:szCs w:val="28"/>
        </w:rPr>
      </w:pPr>
      <w:r>
        <w:rPr>
          <w:rFonts w:ascii="宋体" w:hAnsi="宋体"/>
          <w:sz w:val="28"/>
          <w:szCs w:val="28"/>
        </w:rPr>
        <w:br w:type="page"/>
      </w:r>
    </w:p>
    <w:p>
      <w:pPr>
        <w:spacing w:after="0" w:line="360" w:lineRule="auto"/>
        <w:ind w:firstLine="560"/>
        <w:rPr>
          <w:rFonts w:ascii="宋体" w:hAnsi="宋体"/>
          <w:sz w:val="28"/>
          <w:szCs w:val="28"/>
        </w:rPr>
      </w:pPr>
    </w:p>
    <w:p>
      <w:pPr>
        <w:spacing w:after="0" w:line="360" w:lineRule="auto"/>
        <w:ind w:firstLine="0" w:firstLineChars="0"/>
        <w:rPr>
          <w:rFonts w:ascii="宋体" w:hAnsi="宋体"/>
          <w:sz w:val="28"/>
          <w:szCs w:val="28"/>
        </w:rPr>
      </w:pPr>
      <w:r>
        <w:rPr>
          <w:rFonts w:hint="eastAsia" w:ascii="宋体" w:hAnsi="宋体"/>
          <w:sz w:val="28"/>
          <w:szCs w:val="28"/>
        </w:rPr>
        <w:t>(此页无正文)</w:t>
      </w:r>
    </w:p>
    <w:p>
      <w:pPr>
        <w:spacing w:after="0" w:line="360" w:lineRule="auto"/>
        <w:ind w:firstLine="560"/>
        <w:rPr>
          <w:rFonts w:ascii="宋体" w:hAnsi="宋体"/>
          <w:sz w:val="28"/>
          <w:szCs w:val="28"/>
        </w:rPr>
      </w:pPr>
    </w:p>
    <w:p>
      <w:pPr>
        <w:spacing w:after="0" w:line="360" w:lineRule="auto"/>
        <w:ind w:firstLine="560"/>
        <w:rPr>
          <w:rFonts w:ascii="宋体" w:hAnsi="宋体"/>
          <w:sz w:val="28"/>
          <w:szCs w:val="28"/>
        </w:rPr>
      </w:pPr>
    </w:p>
    <w:p>
      <w:pPr>
        <w:spacing w:after="0" w:line="360" w:lineRule="auto"/>
        <w:ind w:firstLine="0" w:firstLineChars="0"/>
        <w:rPr>
          <w:rFonts w:ascii="宋体" w:hAnsi="宋体"/>
          <w:sz w:val="28"/>
          <w:szCs w:val="28"/>
        </w:rPr>
      </w:pPr>
      <w:r>
        <w:rPr>
          <w:rFonts w:hint="eastAsia" w:ascii="宋体" w:hAnsi="宋体"/>
          <w:sz w:val="28"/>
          <w:szCs w:val="28"/>
        </w:rPr>
        <w:t xml:space="preserve">出让方（甲方）：                   受让方（乙方）：       </w:t>
      </w:r>
    </w:p>
    <w:p>
      <w:pPr>
        <w:spacing w:after="0" w:line="360" w:lineRule="auto"/>
        <w:ind w:firstLine="0" w:firstLineChars="0"/>
        <w:rPr>
          <w:rFonts w:ascii="宋体" w:hAnsi="宋体"/>
          <w:sz w:val="28"/>
          <w:szCs w:val="28"/>
        </w:rPr>
      </w:pPr>
      <w:r>
        <w:rPr>
          <w:rFonts w:hint="eastAsia" w:ascii="宋体" w:hAnsi="宋体"/>
          <w:sz w:val="28"/>
          <w:szCs w:val="28"/>
        </w:rPr>
        <w:t xml:space="preserve">      （盖章）                          （盖章） </w:t>
      </w:r>
    </w:p>
    <w:p>
      <w:pPr>
        <w:spacing w:after="0" w:line="360" w:lineRule="auto"/>
        <w:ind w:firstLine="0" w:firstLineChars="0"/>
        <w:rPr>
          <w:rFonts w:ascii="宋体" w:hAnsi="宋体"/>
          <w:sz w:val="28"/>
          <w:szCs w:val="28"/>
        </w:rPr>
      </w:pPr>
      <w:r>
        <w:rPr>
          <w:rFonts w:hint="eastAsia" w:ascii="宋体" w:hAnsi="宋体"/>
          <w:sz w:val="28"/>
          <w:szCs w:val="28"/>
        </w:rPr>
        <w:t xml:space="preserve">法定代表人（签字）：               法定代表人（签字）：     </w:t>
      </w:r>
    </w:p>
    <w:p>
      <w:pPr>
        <w:spacing w:after="0" w:line="360" w:lineRule="auto"/>
        <w:ind w:firstLine="0" w:firstLineChars="0"/>
        <w:rPr>
          <w:rFonts w:ascii="宋体" w:hAnsi="宋体"/>
          <w:sz w:val="28"/>
          <w:szCs w:val="28"/>
        </w:rPr>
      </w:pPr>
      <w:r>
        <w:rPr>
          <w:rFonts w:hint="eastAsia" w:ascii="宋体" w:hAnsi="宋体"/>
          <w:sz w:val="28"/>
          <w:szCs w:val="28"/>
        </w:rPr>
        <w:t>或授权代表：                      或授权代表：</w:t>
      </w:r>
    </w:p>
    <w:p>
      <w:pPr>
        <w:spacing w:after="0" w:line="360" w:lineRule="auto"/>
        <w:ind w:firstLine="0" w:firstLineChars="0"/>
        <w:rPr>
          <w:rFonts w:ascii="宋体" w:hAnsi="宋体"/>
          <w:sz w:val="28"/>
          <w:szCs w:val="28"/>
        </w:rPr>
      </w:pPr>
      <w:r>
        <w:rPr>
          <w:rFonts w:hint="eastAsia" w:ascii="宋体" w:hAnsi="宋体"/>
          <w:sz w:val="28"/>
          <w:szCs w:val="28"/>
        </w:rPr>
        <w:t>签订时间：    年   月   日        签订时间：    年   月   日</w:t>
      </w:r>
    </w:p>
    <w:p>
      <w:pPr>
        <w:spacing w:after="0" w:line="360" w:lineRule="auto"/>
        <w:ind w:firstLine="0" w:firstLineChars="0"/>
        <w:rPr>
          <w:rFonts w:ascii="宋体" w:hAnsi="宋体"/>
          <w:sz w:val="28"/>
          <w:szCs w:val="28"/>
        </w:rPr>
      </w:pPr>
      <w:r>
        <w:rPr>
          <w:rFonts w:hint="eastAsia" w:ascii="宋体" w:hAnsi="宋体"/>
          <w:sz w:val="28"/>
          <w:szCs w:val="28"/>
        </w:rPr>
        <w:t>签订地点：                        签订地点：</w:t>
      </w:r>
    </w:p>
    <w:p>
      <w:pPr>
        <w:tabs>
          <w:tab w:val="left" w:pos="3780"/>
        </w:tabs>
        <w:spacing w:after="0" w:line="360" w:lineRule="auto"/>
        <w:ind w:firstLine="560"/>
        <w:jc w:val="left"/>
        <w:rPr>
          <w:rFonts w:ascii="宋体" w:hAnsi="宋体"/>
          <w:sz w:val="28"/>
          <w:szCs w:val="28"/>
        </w:rPr>
      </w:pPr>
    </w:p>
    <w:p>
      <w:pPr>
        <w:tabs>
          <w:tab w:val="left" w:pos="3780"/>
        </w:tabs>
        <w:spacing w:after="0" w:line="360" w:lineRule="auto"/>
        <w:ind w:firstLine="560"/>
        <w:jc w:val="left"/>
        <w:rPr>
          <w:rFonts w:ascii="宋体" w:hAnsi="宋体"/>
          <w:sz w:val="28"/>
          <w:szCs w:val="28"/>
        </w:rPr>
      </w:pPr>
    </w:p>
    <w:p>
      <w:pPr>
        <w:tabs>
          <w:tab w:val="left" w:pos="3780"/>
        </w:tabs>
        <w:spacing w:after="0" w:line="360" w:lineRule="auto"/>
        <w:ind w:firstLine="560"/>
        <w:jc w:val="left"/>
        <w:rPr>
          <w:rFonts w:ascii="宋体" w:hAnsi="宋体"/>
          <w:sz w:val="28"/>
          <w:szCs w:val="28"/>
        </w:rPr>
      </w:pPr>
    </w:p>
    <w:p>
      <w:pPr>
        <w:tabs>
          <w:tab w:val="left" w:pos="3780"/>
        </w:tabs>
        <w:spacing w:after="0" w:line="360" w:lineRule="auto"/>
        <w:ind w:firstLine="560"/>
        <w:jc w:val="left"/>
        <w:rPr>
          <w:rFonts w:ascii="宋体" w:hAnsi="宋体"/>
          <w:sz w:val="28"/>
          <w:szCs w:val="28"/>
        </w:rPr>
      </w:pPr>
    </w:p>
    <w:p>
      <w:pPr>
        <w:spacing w:after="0" w:line="360" w:lineRule="auto"/>
        <w:ind w:firstLine="0" w:firstLineChars="0"/>
        <w:rPr>
          <w:rFonts w:ascii="宋体" w:hAnsi="宋体"/>
          <w:sz w:val="28"/>
          <w:szCs w:val="28"/>
        </w:rPr>
      </w:pPr>
      <w:r>
        <w:rPr>
          <w:rFonts w:hint="eastAsia" w:ascii="宋体" w:hAnsi="宋体"/>
          <w:sz w:val="28"/>
          <w:szCs w:val="28"/>
        </w:rPr>
        <w:t>鉴证方：</w:t>
      </w:r>
    </w:p>
    <w:p>
      <w:pPr>
        <w:spacing w:after="0" w:line="360" w:lineRule="auto"/>
        <w:ind w:firstLine="0" w:firstLineChars="0"/>
        <w:rPr>
          <w:rFonts w:ascii="宋体" w:hAnsi="宋体"/>
          <w:sz w:val="28"/>
          <w:szCs w:val="28"/>
        </w:rPr>
      </w:pPr>
      <w:r>
        <w:rPr>
          <w:rFonts w:hint="eastAsia" w:ascii="宋体" w:hAnsi="宋体"/>
          <w:sz w:val="28"/>
          <w:szCs w:val="28"/>
        </w:rPr>
        <w:t>（盖章）</w:t>
      </w:r>
    </w:p>
    <w:p>
      <w:pPr>
        <w:spacing w:after="0" w:line="360" w:lineRule="auto"/>
        <w:ind w:firstLine="0" w:firstLineChars="0"/>
        <w:rPr>
          <w:rFonts w:ascii="宋体" w:hAnsi="宋体"/>
          <w:sz w:val="28"/>
          <w:szCs w:val="28"/>
        </w:rPr>
      </w:pPr>
      <w:r>
        <w:rPr>
          <w:rFonts w:hint="eastAsia" w:ascii="宋体" w:hAnsi="宋体"/>
          <w:sz w:val="28"/>
          <w:szCs w:val="28"/>
        </w:rPr>
        <w:t>代表人：</w:t>
      </w:r>
    </w:p>
    <w:p>
      <w:pPr>
        <w:spacing w:after="0" w:line="360" w:lineRule="auto"/>
        <w:ind w:firstLine="0" w:firstLineChars="0"/>
        <w:rPr>
          <w:rFonts w:ascii="宋体" w:hAnsi="宋体"/>
          <w:sz w:val="28"/>
          <w:szCs w:val="28"/>
        </w:rPr>
      </w:pPr>
      <w:r>
        <w:rPr>
          <w:rFonts w:hint="eastAsia" w:ascii="宋体" w:hAnsi="宋体"/>
          <w:sz w:val="28"/>
          <w:szCs w:val="28"/>
        </w:rPr>
        <w:t>（签字）</w:t>
      </w:r>
    </w:p>
    <w:p>
      <w:pPr>
        <w:spacing w:after="0" w:line="360" w:lineRule="auto"/>
        <w:ind w:firstLine="0" w:firstLineChars="0"/>
        <w:rPr>
          <w:rFonts w:ascii="宋体" w:hAnsi="宋体"/>
          <w:sz w:val="28"/>
          <w:szCs w:val="28"/>
        </w:rPr>
      </w:pPr>
      <w:r>
        <w:rPr>
          <w:rFonts w:hint="eastAsia" w:ascii="宋体" w:hAnsi="宋体"/>
          <w:sz w:val="28"/>
          <w:szCs w:val="28"/>
        </w:rPr>
        <w:t>鉴证日期：    年    月    日</w:t>
      </w:r>
    </w:p>
    <w:p>
      <w:pPr>
        <w:spacing w:after="0" w:line="360" w:lineRule="auto"/>
        <w:ind w:firstLine="0" w:firstLineChars="0"/>
        <w:rPr>
          <w:rFonts w:ascii="宋体" w:hAnsi="宋体"/>
          <w:b/>
          <w:sz w:val="32"/>
          <w:szCs w:val="32"/>
        </w:rPr>
      </w:pPr>
      <w:r>
        <w:rPr>
          <w:rFonts w:hint="eastAsia" w:ascii="宋体" w:hAnsi="宋体"/>
          <w:b/>
          <w:color w:val="0000FF"/>
          <w:sz w:val="32"/>
          <w:szCs w:val="32"/>
        </w:rPr>
        <w:br w:type="page"/>
      </w:r>
    </w:p>
    <w:p>
      <w:pPr>
        <w:spacing w:after="0" w:line="360" w:lineRule="auto"/>
        <w:ind w:firstLine="0" w:firstLineChars="0"/>
        <w:jc w:val="center"/>
        <w:rPr>
          <w:rFonts w:ascii="宋体" w:hAnsi="宋体"/>
          <w:b/>
          <w:sz w:val="32"/>
          <w:szCs w:val="32"/>
        </w:rPr>
      </w:pPr>
      <w:r>
        <w:rPr>
          <w:rFonts w:hint="eastAsia" w:ascii="宋体" w:hAnsi="宋体"/>
          <w:b/>
          <w:sz w:val="32"/>
          <w:szCs w:val="32"/>
        </w:rPr>
        <w:t>转 让 股 权 相 关 信 息</w:t>
      </w:r>
    </w:p>
    <w:p>
      <w:pPr>
        <w:spacing w:after="0" w:line="360" w:lineRule="auto"/>
        <w:ind w:firstLine="0" w:firstLineChars="0"/>
        <w:jc w:val="center"/>
        <w:rPr>
          <w:rFonts w:ascii="宋体" w:hAnsi="宋体"/>
          <w:b/>
          <w:sz w:val="32"/>
          <w:szCs w:val="32"/>
        </w:rPr>
      </w:pPr>
    </w:p>
    <w:tbl>
      <w:tblPr>
        <w:tblStyle w:val="1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Pr>
          <w:p>
            <w:pPr>
              <w:spacing w:after="0" w:line="360" w:lineRule="auto"/>
              <w:ind w:firstLine="0" w:firstLineChars="0"/>
              <w:rPr>
                <w:rFonts w:ascii="宋体" w:hAnsi="宋体"/>
                <w:szCs w:val="21"/>
              </w:rPr>
            </w:pPr>
            <w:r>
              <w:rPr>
                <w:rFonts w:hint="eastAsia" w:ascii="宋体" w:hAnsi="宋体"/>
                <w:szCs w:val="21"/>
              </w:rPr>
              <w:t>项目名称</w:t>
            </w:r>
          </w:p>
        </w:tc>
        <w:tc>
          <w:tcPr>
            <w:tcW w:w="7851" w:type="dxa"/>
          </w:tcPr>
          <w:p>
            <w:pPr>
              <w:spacing w:after="0" w:line="360" w:lineRule="auto"/>
              <w:ind w:firstLine="420"/>
              <w:rPr>
                <w:rFonts w:ascii="宋体" w:hAnsi="宋体"/>
                <w:szCs w:val="21"/>
              </w:rPr>
            </w:pPr>
            <w:r>
              <w:rPr>
                <w:rFonts w:hint="eastAsia" w:ascii="宋体" w:hAnsi="宋体"/>
                <w:szCs w:val="21"/>
              </w:rPr>
              <w:t>浙江导明医药科技有限公司20.24%国有股权转让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Pr>
          <w:p>
            <w:pPr>
              <w:spacing w:after="0" w:line="360" w:lineRule="auto"/>
              <w:ind w:firstLine="0" w:firstLineChars="0"/>
              <w:rPr>
                <w:rFonts w:ascii="宋体" w:hAnsi="宋体"/>
                <w:szCs w:val="21"/>
              </w:rPr>
            </w:pPr>
            <w:r>
              <w:rPr>
                <w:rFonts w:hint="eastAsia" w:ascii="宋体" w:hAnsi="宋体"/>
                <w:szCs w:val="21"/>
              </w:rPr>
              <w:t>项目编号</w:t>
            </w:r>
          </w:p>
        </w:tc>
        <w:tc>
          <w:tcPr>
            <w:tcW w:w="7851" w:type="dxa"/>
          </w:tcPr>
          <w:p>
            <w:pPr>
              <w:spacing w:after="0" w:line="360" w:lineRule="auto"/>
              <w:ind w:firstLine="420"/>
              <w:rPr>
                <w:rFonts w:ascii="宋体" w:hAnsi="宋体"/>
                <w:szCs w:val="21"/>
              </w:rPr>
            </w:pPr>
            <w:r>
              <w:rPr>
                <w:rFonts w:hint="eastAsia" w:ascii="宋体" w:hAnsi="宋体"/>
                <w:szCs w:val="21"/>
              </w:rPr>
              <w:t>台交所挂[2019] 12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Pr>
          <w:p>
            <w:pPr>
              <w:spacing w:after="0" w:line="360" w:lineRule="auto"/>
              <w:ind w:firstLine="0" w:firstLineChars="0"/>
              <w:rPr>
                <w:rFonts w:ascii="宋体" w:hAnsi="宋体"/>
                <w:szCs w:val="21"/>
              </w:rPr>
            </w:pPr>
            <w:r>
              <w:rPr>
                <w:rFonts w:hint="eastAsia" w:ascii="宋体" w:hAnsi="宋体"/>
                <w:szCs w:val="21"/>
              </w:rPr>
              <w:t>挂牌价格</w:t>
            </w:r>
          </w:p>
        </w:tc>
        <w:tc>
          <w:tcPr>
            <w:tcW w:w="7851" w:type="dxa"/>
          </w:tcPr>
          <w:p>
            <w:pPr>
              <w:spacing w:after="0" w:line="360" w:lineRule="auto"/>
              <w:ind w:firstLine="420"/>
              <w:rPr>
                <w:rFonts w:ascii="宋体" w:hAnsi="宋体"/>
                <w:szCs w:val="21"/>
              </w:rPr>
            </w:pPr>
            <w:r>
              <w:rPr>
                <w:rFonts w:hint="eastAsia" w:ascii="宋体" w:hAnsi="宋体"/>
                <w:szCs w:val="21"/>
              </w:rPr>
              <w:t>13,836.91元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Pr>
          <w:p>
            <w:pPr>
              <w:spacing w:after="0" w:line="360" w:lineRule="auto"/>
              <w:ind w:firstLine="0" w:firstLineChars="0"/>
              <w:rPr>
                <w:rFonts w:ascii="宋体" w:hAnsi="宋体"/>
                <w:szCs w:val="21"/>
              </w:rPr>
            </w:pPr>
            <w:r>
              <w:rPr>
                <w:rFonts w:hint="eastAsia" w:ascii="宋体" w:hAnsi="宋体"/>
                <w:szCs w:val="21"/>
              </w:rPr>
              <w:t>地域</w:t>
            </w:r>
          </w:p>
        </w:tc>
        <w:tc>
          <w:tcPr>
            <w:tcW w:w="7851" w:type="dxa"/>
          </w:tcPr>
          <w:p>
            <w:pPr>
              <w:spacing w:after="0" w:line="360" w:lineRule="auto"/>
              <w:ind w:firstLine="420"/>
              <w:rPr>
                <w:rFonts w:ascii="宋体" w:hAnsi="宋体"/>
                <w:szCs w:val="21"/>
              </w:rPr>
            </w:pPr>
            <w:r>
              <w:rPr>
                <w:rFonts w:hint="eastAsia" w:ascii="宋体" w:hAnsi="宋体"/>
                <w:szCs w:val="21"/>
              </w:rPr>
              <w:t>台州市</w:t>
            </w:r>
          </w:p>
        </w:tc>
      </w:tr>
    </w:tbl>
    <w:p>
      <w:pPr>
        <w:spacing w:after="0" w:line="360" w:lineRule="auto"/>
        <w:ind w:firstLine="0" w:firstLineChars="0"/>
        <w:rPr>
          <w:rFonts w:ascii="宋体" w:hAnsi="宋体"/>
          <w:szCs w:val="21"/>
        </w:rPr>
      </w:pPr>
    </w:p>
    <w:tbl>
      <w:tblPr>
        <w:tblStyle w:val="13"/>
        <w:tblW w:w="9045"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901"/>
        <w:gridCol w:w="715"/>
        <w:gridCol w:w="1628"/>
        <w:gridCol w:w="1238"/>
        <w:gridCol w:w="3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1190" w:type="dxa"/>
            <w:vMerge w:val="restart"/>
            <w:vAlign w:val="center"/>
          </w:tcPr>
          <w:p>
            <w:pPr>
              <w:spacing w:after="0" w:line="360" w:lineRule="auto"/>
              <w:ind w:firstLine="0" w:firstLineChars="0"/>
              <w:rPr>
                <w:rFonts w:ascii="宋体" w:hAnsi="宋体"/>
                <w:szCs w:val="21"/>
              </w:rPr>
            </w:pPr>
            <w:r>
              <w:rPr>
                <w:rFonts w:hint="eastAsia" w:ascii="宋体" w:hAnsi="宋体"/>
                <w:szCs w:val="21"/>
              </w:rPr>
              <w:t>基本情况</w:t>
            </w:r>
          </w:p>
        </w:tc>
        <w:tc>
          <w:tcPr>
            <w:tcW w:w="1616" w:type="dxa"/>
            <w:gridSpan w:val="2"/>
            <w:vAlign w:val="center"/>
          </w:tcPr>
          <w:p>
            <w:pPr>
              <w:spacing w:after="0" w:line="360" w:lineRule="auto"/>
              <w:ind w:firstLine="0" w:firstLineChars="0"/>
              <w:rPr>
                <w:rFonts w:ascii="宋体" w:hAnsi="宋体"/>
                <w:szCs w:val="21"/>
              </w:rPr>
            </w:pPr>
            <w:r>
              <w:rPr>
                <w:rFonts w:hint="eastAsia" w:ascii="宋体" w:hAnsi="宋体"/>
                <w:szCs w:val="21"/>
              </w:rPr>
              <w:t>申请人名称</w:t>
            </w:r>
          </w:p>
        </w:tc>
        <w:tc>
          <w:tcPr>
            <w:tcW w:w="6239" w:type="dxa"/>
            <w:gridSpan w:val="3"/>
          </w:tcPr>
          <w:p>
            <w:pPr>
              <w:spacing w:after="0" w:line="360" w:lineRule="auto"/>
              <w:ind w:firstLine="0" w:firstLineChars="0"/>
              <w:rPr>
                <w:rFonts w:ascii="宋体" w:hAnsi="宋体"/>
                <w:szCs w:val="21"/>
              </w:rPr>
            </w:pPr>
            <w:r>
              <w:rPr>
                <w:rFonts w:hint="eastAsia" w:ascii="宋体" w:hAnsi="宋体"/>
                <w:szCs w:val="21"/>
              </w:rPr>
              <w:t>浙江海正药业股份有限公司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trPr>
        <w:tc>
          <w:tcPr>
            <w:tcW w:w="1190" w:type="dxa"/>
            <w:vMerge w:val="continue"/>
          </w:tcPr>
          <w:p>
            <w:pPr>
              <w:spacing w:after="0" w:line="360" w:lineRule="auto"/>
              <w:ind w:firstLine="420"/>
              <w:rPr>
                <w:rFonts w:ascii="宋体" w:hAnsi="宋体"/>
                <w:szCs w:val="21"/>
              </w:rPr>
            </w:pPr>
          </w:p>
        </w:tc>
        <w:tc>
          <w:tcPr>
            <w:tcW w:w="1616" w:type="dxa"/>
            <w:gridSpan w:val="2"/>
            <w:vAlign w:val="center"/>
          </w:tcPr>
          <w:p>
            <w:pPr>
              <w:spacing w:after="0" w:line="360" w:lineRule="auto"/>
              <w:ind w:firstLine="0" w:firstLineChars="0"/>
              <w:jc w:val="left"/>
              <w:rPr>
                <w:rFonts w:ascii="宋体" w:hAnsi="宋体"/>
                <w:szCs w:val="21"/>
              </w:rPr>
            </w:pPr>
            <w:r>
              <w:rPr>
                <w:rFonts w:hint="eastAsia" w:ascii="宋体" w:hAnsi="宋体"/>
                <w:szCs w:val="21"/>
              </w:rPr>
              <w:t>标的企业名称</w:t>
            </w:r>
          </w:p>
        </w:tc>
        <w:tc>
          <w:tcPr>
            <w:tcW w:w="6239" w:type="dxa"/>
            <w:gridSpan w:val="3"/>
          </w:tcPr>
          <w:p>
            <w:pPr>
              <w:spacing w:after="0" w:line="360" w:lineRule="auto"/>
              <w:ind w:firstLine="0" w:firstLineChars="0"/>
              <w:rPr>
                <w:rFonts w:ascii="宋体" w:hAnsi="宋体"/>
                <w:szCs w:val="21"/>
              </w:rPr>
            </w:pPr>
            <w:r>
              <w:rPr>
                <w:rFonts w:hint="eastAsia" w:ascii="宋体" w:hAnsi="宋体"/>
                <w:szCs w:val="21"/>
              </w:rPr>
              <w:t>浙江导明医药科技有限公司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trPr>
        <w:tc>
          <w:tcPr>
            <w:tcW w:w="1190" w:type="dxa"/>
            <w:vMerge w:val="continue"/>
          </w:tcPr>
          <w:p>
            <w:pPr>
              <w:spacing w:after="0" w:line="360" w:lineRule="auto"/>
              <w:ind w:firstLine="420"/>
              <w:rPr>
                <w:rFonts w:ascii="宋体" w:hAnsi="宋体"/>
                <w:szCs w:val="21"/>
              </w:rPr>
            </w:pPr>
          </w:p>
        </w:tc>
        <w:tc>
          <w:tcPr>
            <w:tcW w:w="1616" w:type="dxa"/>
            <w:gridSpan w:val="2"/>
            <w:vAlign w:val="center"/>
          </w:tcPr>
          <w:p>
            <w:pPr>
              <w:spacing w:after="0" w:line="360" w:lineRule="auto"/>
              <w:ind w:firstLine="0" w:firstLineChars="0"/>
              <w:jc w:val="left"/>
              <w:rPr>
                <w:rFonts w:ascii="宋体" w:hAnsi="宋体"/>
                <w:szCs w:val="21"/>
              </w:rPr>
            </w:pPr>
            <w:r>
              <w:rPr>
                <w:rFonts w:hint="eastAsia" w:ascii="宋体" w:hAnsi="宋体"/>
                <w:szCs w:val="21"/>
              </w:rPr>
              <w:t>企业类型</w:t>
            </w:r>
          </w:p>
        </w:tc>
        <w:tc>
          <w:tcPr>
            <w:tcW w:w="6239" w:type="dxa"/>
            <w:gridSpan w:val="3"/>
          </w:tcPr>
          <w:p>
            <w:pPr>
              <w:spacing w:after="0" w:line="360" w:lineRule="auto"/>
              <w:ind w:firstLine="0" w:firstLineChars="0"/>
              <w:rPr>
                <w:rFonts w:ascii="宋体" w:hAnsi="宋体"/>
                <w:szCs w:val="21"/>
              </w:rPr>
            </w:pPr>
            <w:r>
              <w:rPr>
                <w:rFonts w:hint="eastAsia" w:ascii="宋体" w:hAnsi="宋体"/>
                <w:szCs w:val="21"/>
              </w:rPr>
              <w:t>有限责任公司（中外合资）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trPr>
        <w:tc>
          <w:tcPr>
            <w:tcW w:w="1190" w:type="dxa"/>
            <w:vMerge w:val="continue"/>
          </w:tcPr>
          <w:p>
            <w:pPr>
              <w:spacing w:after="0" w:line="360" w:lineRule="auto"/>
              <w:ind w:firstLine="420"/>
              <w:rPr>
                <w:rFonts w:ascii="宋体" w:hAnsi="宋体"/>
                <w:szCs w:val="21"/>
              </w:rPr>
            </w:pPr>
          </w:p>
        </w:tc>
        <w:tc>
          <w:tcPr>
            <w:tcW w:w="1616" w:type="dxa"/>
            <w:gridSpan w:val="2"/>
            <w:vAlign w:val="center"/>
          </w:tcPr>
          <w:p>
            <w:pPr>
              <w:spacing w:after="0" w:line="360" w:lineRule="auto"/>
              <w:ind w:firstLine="0" w:firstLineChars="0"/>
              <w:jc w:val="left"/>
              <w:rPr>
                <w:rFonts w:ascii="宋体" w:hAnsi="宋体"/>
                <w:szCs w:val="21"/>
              </w:rPr>
            </w:pPr>
            <w:r>
              <w:rPr>
                <w:rFonts w:hint="eastAsia" w:ascii="宋体" w:hAnsi="宋体"/>
                <w:szCs w:val="21"/>
              </w:rPr>
              <w:t>所属行业</w:t>
            </w:r>
          </w:p>
        </w:tc>
        <w:tc>
          <w:tcPr>
            <w:tcW w:w="6239" w:type="dxa"/>
            <w:gridSpan w:val="3"/>
          </w:tcPr>
          <w:p>
            <w:pPr>
              <w:spacing w:after="0" w:line="360" w:lineRule="auto"/>
              <w:ind w:firstLine="0" w:firstLineChars="0"/>
              <w:rPr>
                <w:rFonts w:ascii="宋体" w:hAnsi="宋体"/>
                <w:szCs w:val="21"/>
              </w:rPr>
            </w:pPr>
            <w:r>
              <w:rPr>
                <w:rFonts w:hint="eastAsia" w:ascii="宋体" w:hAnsi="宋体"/>
                <w:szCs w:val="21"/>
              </w:rPr>
              <w:t>医药行业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trPr>
        <w:tc>
          <w:tcPr>
            <w:tcW w:w="1190" w:type="dxa"/>
            <w:vMerge w:val="continue"/>
          </w:tcPr>
          <w:p>
            <w:pPr>
              <w:spacing w:after="0" w:line="360" w:lineRule="auto"/>
              <w:ind w:firstLine="420"/>
              <w:rPr>
                <w:rFonts w:ascii="宋体" w:hAnsi="宋体"/>
                <w:szCs w:val="21"/>
              </w:rPr>
            </w:pPr>
          </w:p>
        </w:tc>
        <w:tc>
          <w:tcPr>
            <w:tcW w:w="1616" w:type="dxa"/>
            <w:gridSpan w:val="2"/>
            <w:vAlign w:val="center"/>
          </w:tcPr>
          <w:p>
            <w:pPr>
              <w:spacing w:after="0" w:line="360" w:lineRule="auto"/>
              <w:ind w:firstLine="0" w:firstLineChars="0"/>
              <w:jc w:val="left"/>
              <w:rPr>
                <w:rFonts w:ascii="宋体" w:hAnsi="宋体"/>
                <w:szCs w:val="21"/>
              </w:rPr>
            </w:pPr>
            <w:r>
              <w:rPr>
                <w:rFonts w:hint="eastAsia" w:ascii="宋体" w:hAnsi="宋体"/>
                <w:szCs w:val="21"/>
              </w:rPr>
              <w:t>经营范围</w:t>
            </w:r>
          </w:p>
        </w:tc>
        <w:tc>
          <w:tcPr>
            <w:tcW w:w="6239" w:type="dxa"/>
            <w:gridSpan w:val="3"/>
          </w:tcPr>
          <w:p>
            <w:pPr>
              <w:spacing w:after="0" w:line="360" w:lineRule="auto"/>
              <w:ind w:firstLine="0" w:firstLineChars="0"/>
              <w:rPr>
                <w:rFonts w:ascii="宋体" w:hAnsi="宋体"/>
                <w:szCs w:val="21"/>
              </w:rPr>
            </w:pPr>
            <w:r>
              <w:rPr>
                <w:rFonts w:hint="eastAsia" w:ascii="宋体" w:hAnsi="宋体"/>
                <w:szCs w:val="21"/>
              </w:rPr>
              <w:t>医药研发及技术成果转让、技术咨询、技术服务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 w:hRule="atLeast"/>
        </w:trPr>
        <w:tc>
          <w:tcPr>
            <w:tcW w:w="1190" w:type="dxa"/>
            <w:vMerge w:val="continue"/>
          </w:tcPr>
          <w:p>
            <w:pPr>
              <w:spacing w:after="0" w:line="360" w:lineRule="auto"/>
              <w:ind w:firstLine="420"/>
              <w:rPr>
                <w:rFonts w:ascii="宋体" w:hAnsi="宋体"/>
                <w:szCs w:val="21"/>
              </w:rPr>
            </w:pPr>
          </w:p>
        </w:tc>
        <w:tc>
          <w:tcPr>
            <w:tcW w:w="1616" w:type="dxa"/>
            <w:gridSpan w:val="2"/>
            <w:vAlign w:val="center"/>
          </w:tcPr>
          <w:p>
            <w:pPr>
              <w:spacing w:after="0" w:line="360" w:lineRule="auto"/>
              <w:ind w:firstLine="0" w:firstLineChars="0"/>
              <w:jc w:val="left"/>
              <w:rPr>
                <w:rFonts w:ascii="宋体" w:hAnsi="宋体"/>
                <w:szCs w:val="21"/>
              </w:rPr>
            </w:pPr>
            <w:r>
              <w:rPr>
                <w:rFonts w:hint="eastAsia" w:ascii="宋体" w:hAnsi="宋体"/>
                <w:szCs w:val="21"/>
              </w:rPr>
              <w:t>法定代表人</w:t>
            </w:r>
          </w:p>
        </w:tc>
        <w:tc>
          <w:tcPr>
            <w:tcW w:w="1628" w:type="dxa"/>
            <w:vAlign w:val="center"/>
          </w:tcPr>
          <w:p>
            <w:pPr>
              <w:spacing w:after="0" w:line="360" w:lineRule="auto"/>
              <w:ind w:firstLine="407" w:firstLineChars="194"/>
              <w:rPr>
                <w:rFonts w:ascii="宋体" w:hAnsi="宋体"/>
                <w:szCs w:val="21"/>
              </w:rPr>
            </w:pPr>
            <w:r>
              <w:rPr>
                <w:rFonts w:hint="eastAsia" w:ascii="宋体" w:hAnsi="宋体"/>
                <w:szCs w:val="21"/>
              </w:rPr>
              <w:t>陈晓华</w:t>
            </w:r>
          </w:p>
        </w:tc>
        <w:tc>
          <w:tcPr>
            <w:tcW w:w="1238" w:type="dxa"/>
            <w:vAlign w:val="center"/>
          </w:tcPr>
          <w:p>
            <w:pPr>
              <w:spacing w:after="0" w:line="360" w:lineRule="auto"/>
              <w:ind w:firstLine="0" w:firstLineChars="0"/>
              <w:jc w:val="center"/>
              <w:rPr>
                <w:rFonts w:ascii="宋体" w:hAnsi="宋体"/>
                <w:szCs w:val="21"/>
              </w:rPr>
            </w:pPr>
            <w:r>
              <w:rPr>
                <w:rFonts w:hint="eastAsia" w:ascii="宋体" w:hAnsi="宋体"/>
                <w:szCs w:val="21"/>
              </w:rPr>
              <w:t>成立日期</w:t>
            </w:r>
          </w:p>
        </w:tc>
        <w:tc>
          <w:tcPr>
            <w:tcW w:w="3373" w:type="dxa"/>
            <w:vAlign w:val="center"/>
          </w:tcPr>
          <w:p>
            <w:pPr>
              <w:spacing w:after="0" w:line="360" w:lineRule="auto"/>
              <w:ind w:firstLine="0" w:firstLineChars="0"/>
              <w:rPr>
                <w:rFonts w:ascii="宋体" w:hAnsi="宋体"/>
                <w:szCs w:val="21"/>
              </w:rPr>
            </w:pPr>
            <w:r>
              <w:rPr>
                <w:rFonts w:hint="eastAsia" w:ascii="宋体" w:hAnsi="宋体"/>
                <w:szCs w:val="21"/>
              </w:rPr>
              <w:t>2011年11月11日成立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trPr>
        <w:tc>
          <w:tcPr>
            <w:tcW w:w="1190" w:type="dxa"/>
            <w:vMerge w:val="continue"/>
          </w:tcPr>
          <w:p>
            <w:pPr>
              <w:spacing w:after="0" w:line="360" w:lineRule="auto"/>
              <w:ind w:firstLine="420"/>
              <w:rPr>
                <w:rFonts w:ascii="宋体" w:hAnsi="宋体"/>
                <w:szCs w:val="21"/>
              </w:rPr>
            </w:pPr>
          </w:p>
        </w:tc>
        <w:tc>
          <w:tcPr>
            <w:tcW w:w="1616" w:type="dxa"/>
            <w:gridSpan w:val="2"/>
            <w:vAlign w:val="center"/>
          </w:tcPr>
          <w:p>
            <w:pPr>
              <w:spacing w:after="0" w:line="360" w:lineRule="auto"/>
              <w:ind w:firstLine="0" w:firstLineChars="0"/>
              <w:jc w:val="left"/>
              <w:rPr>
                <w:rFonts w:ascii="宋体" w:hAnsi="宋体"/>
                <w:szCs w:val="21"/>
              </w:rPr>
            </w:pPr>
            <w:r>
              <w:rPr>
                <w:rFonts w:hint="eastAsia" w:ascii="宋体" w:hAnsi="宋体"/>
                <w:szCs w:val="21"/>
              </w:rPr>
              <w:t>注册资本</w:t>
            </w:r>
          </w:p>
        </w:tc>
        <w:tc>
          <w:tcPr>
            <w:tcW w:w="1628" w:type="dxa"/>
            <w:vAlign w:val="center"/>
          </w:tcPr>
          <w:p>
            <w:pPr>
              <w:spacing w:after="0" w:line="360" w:lineRule="auto"/>
              <w:ind w:firstLine="0" w:firstLineChars="0"/>
              <w:rPr>
                <w:rFonts w:ascii="宋体" w:hAnsi="宋体"/>
                <w:szCs w:val="21"/>
              </w:rPr>
            </w:pPr>
            <w:r>
              <w:rPr>
                <w:rFonts w:hint="eastAsia" w:ascii="宋体" w:hAnsi="宋体"/>
                <w:szCs w:val="21"/>
              </w:rPr>
              <w:t>18333.333万元</w:t>
            </w:r>
          </w:p>
        </w:tc>
        <w:tc>
          <w:tcPr>
            <w:tcW w:w="1238" w:type="dxa"/>
            <w:vAlign w:val="center"/>
          </w:tcPr>
          <w:p>
            <w:pPr>
              <w:spacing w:after="0" w:line="360" w:lineRule="auto"/>
              <w:ind w:firstLine="0" w:firstLineChars="0"/>
              <w:jc w:val="center"/>
              <w:rPr>
                <w:rFonts w:ascii="宋体" w:hAnsi="宋体"/>
                <w:szCs w:val="21"/>
              </w:rPr>
            </w:pPr>
            <w:r>
              <w:rPr>
                <w:rFonts w:hint="eastAsia" w:ascii="宋体" w:hAnsi="宋体"/>
                <w:szCs w:val="21"/>
              </w:rPr>
              <w:t>注册地</w:t>
            </w:r>
          </w:p>
        </w:tc>
        <w:tc>
          <w:tcPr>
            <w:tcW w:w="3373" w:type="dxa"/>
            <w:vAlign w:val="center"/>
          </w:tcPr>
          <w:p>
            <w:pPr>
              <w:spacing w:after="0" w:line="360" w:lineRule="auto"/>
              <w:ind w:firstLine="0" w:firstLineChars="0"/>
              <w:rPr>
                <w:rFonts w:ascii="宋体" w:hAnsi="宋体"/>
                <w:szCs w:val="21"/>
              </w:rPr>
            </w:pPr>
            <w:r>
              <w:rPr>
                <w:rFonts w:hint="eastAsia" w:ascii="宋体" w:hAnsi="宋体"/>
                <w:szCs w:val="21"/>
              </w:rPr>
              <w:t>浙江省杭州市富阳区富闲路9号银湖创新中心6号十二层1255室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1190" w:type="dxa"/>
            <w:vMerge w:val="continue"/>
          </w:tcPr>
          <w:p>
            <w:pPr>
              <w:spacing w:after="0" w:line="360" w:lineRule="auto"/>
              <w:ind w:firstLine="420"/>
              <w:rPr>
                <w:rFonts w:ascii="宋体" w:hAnsi="宋体"/>
                <w:szCs w:val="21"/>
              </w:rPr>
            </w:pPr>
          </w:p>
        </w:tc>
        <w:tc>
          <w:tcPr>
            <w:tcW w:w="1616" w:type="dxa"/>
            <w:gridSpan w:val="2"/>
            <w:vMerge w:val="restart"/>
            <w:vAlign w:val="center"/>
          </w:tcPr>
          <w:p>
            <w:pPr>
              <w:spacing w:after="0" w:line="360" w:lineRule="auto"/>
              <w:ind w:firstLine="0" w:firstLineChars="0"/>
              <w:jc w:val="left"/>
              <w:rPr>
                <w:rFonts w:ascii="宋体" w:hAnsi="宋体"/>
                <w:szCs w:val="21"/>
              </w:rPr>
            </w:pPr>
            <w:r>
              <w:rPr>
                <w:rFonts w:hint="eastAsia" w:ascii="宋体" w:hAnsi="宋体"/>
                <w:szCs w:val="21"/>
              </w:rPr>
              <w:t>土地、建筑</w:t>
            </w:r>
          </w:p>
        </w:tc>
        <w:tc>
          <w:tcPr>
            <w:tcW w:w="1628" w:type="dxa"/>
          </w:tcPr>
          <w:p>
            <w:pPr>
              <w:spacing w:after="0" w:line="360" w:lineRule="auto"/>
              <w:ind w:firstLine="420"/>
              <w:rPr>
                <w:rFonts w:ascii="宋体" w:hAnsi="宋体"/>
                <w:szCs w:val="21"/>
              </w:rPr>
            </w:pPr>
            <w:r>
              <w:rPr>
                <w:rFonts w:hint="eastAsia" w:ascii="宋体" w:hAnsi="宋体"/>
                <w:szCs w:val="21"/>
              </w:rPr>
              <w:t>占地面积</w:t>
            </w:r>
          </w:p>
        </w:tc>
        <w:tc>
          <w:tcPr>
            <w:tcW w:w="4611" w:type="dxa"/>
            <w:gridSpan w:val="2"/>
          </w:tcPr>
          <w:p>
            <w:pPr>
              <w:spacing w:after="0" w:line="360" w:lineRule="auto"/>
              <w:ind w:firstLine="42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1190" w:type="dxa"/>
            <w:vMerge w:val="continue"/>
          </w:tcPr>
          <w:p>
            <w:pPr>
              <w:spacing w:after="0" w:line="360" w:lineRule="auto"/>
              <w:ind w:firstLine="420"/>
              <w:rPr>
                <w:rFonts w:ascii="宋体" w:hAnsi="宋体"/>
                <w:szCs w:val="21"/>
              </w:rPr>
            </w:pPr>
          </w:p>
        </w:tc>
        <w:tc>
          <w:tcPr>
            <w:tcW w:w="1616" w:type="dxa"/>
            <w:gridSpan w:val="2"/>
            <w:vMerge w:val="continue"/>
            <w:vAlign w:val="center"/>
          </w:tcPr>
          <w:p>
            <w:pPr>
              <w:spacing w:after="0" w:line="360" w:lineRule="auto"/>
              <w:ind w:firstLine="420"/>
              <w:jc w:val="left"/>
              <w:rPr>
                <w:rFonts w:ascii="宋体" w:hAnsi="宋体"/>
                <w:szCs w:val="21"/>
              </w:rPr>
            </w:pPr>
          </w:p>
        </w:tc>
        <w:tc>
          <w:tcPr>
            <w:tcW w:w="1628" w:type="dxa"/>
          </w:tcPr>
          <w:p>
            <w:pPr>
              <w:spacing w:after="0" w:line="360" w:lineRule="auto"/>
              <w:ind w:firstLine="420"/>
              <w:rPr>
                <w:rFonts w:ascii="宋体" w:hAnsi="宋体"/>
                <w:szCs w:val="21"/>
              </w:rPr>
            </w:pPr>
            <w:r>
              <w:rPr>
                <w:rFonts w:hint="eastAsia" w:ascii="宋体" w:hAnsi="宋体"/>
                <w:szCs w:val="21"/>
              </w:rPr>
              <w:t>建筑面积</w:t>
            </w:r>
          </w:p>
        </w:tc>
        <w:tc>
          <w:tcPr>
            <w:tcW w:w="4611" w:type="dxa"/>
            <w:gridSpan w:val="2"/>
          </w:tcPr>
          <w:p>
            <w:pPr>
              <w:spacing w:after="0" w:line="360" w:lineRule="auto"/>
              <w:ind w:firstLine="42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1190" w:type="dxa"/>
            <w:vMerge w:val="continue"/>
          </w:tcPr>
          <w:p>
            <w:pPr>
              <w:spacing w:after="0" w:line="360" w:lineRule="auto"/>
              <w:ind w:firstLine="420"/>
              <w:rPr>
                <w:rFonts w:ascii="宋体" w:hAnsi="宋体"/>
                <w:szCs w:val="21"/>
              </w:rPr>
            </w:pPr>
          </w:p>
        </w:tc>
        <w:tc>
          <w:tcPr>
            <w:tcW w:w="1616" w:type="dxa"/>
            <w:gridSpan w:val="2"/>
            <w:vMerge w:val="continue"/>
            <w:vAlign w:val="center"/>
          </w:tcPr>
          <w:p>
            <w:pPr>
              <w:spacing w:after="0" w:line="360" w:lineRule="auto"/>
              <w:ind w:firstLine="420"/>
              <w:jc w:val="left"/>
              <w:rPr>
                <w:rFonts w:ascii="宋体" w:hAnsi="宋体"/>
                <w:szCs w:val="21"/>
              </w:rPr>
            </w:pPr>
          </w:p>
        </w:tc>
        <w:tc>
          <w:tcPr>
            <w:tcW w:w="1628" w:type="dxa"/>
          </w:tcPr>
          <w:p>
            <w:pPr>
              <w:spacing w:after="0" w:line="360" w:lineRule="auto"/>
              <w:ind w:firstLine="420"/>
              <w:rPr>
                <w:rFonts w:ascii="宋体" w:hAnsi="宋体"/>
                <w:szCs w:val="21"/>
              </w:rPr>
            </w:pPr>
            <w:r>
              <w:rPr>
                <w:rFonts w:hint="eastAsia" w:ascii="宋体" w:hAnsi="宋体"/>
                <w:szCs w:val="21"/>
              </w:rPr>
              <w:t>土地面积</w:t>
            </w:r>
          </w:p>
        </w:tc>
        <w:tc>
          <w:tcPr>
            <w:tcW w:w="4611" w:type="dxa"/>
            <w:gridSpan w:val="2"/>
          </w:tcPr>
          <w:p>
            <w:pPr>
              <w:spacing w:after="0" w:line="360" w:lineRule="auto"/>
              <w:ind w:firstLine="42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trPr>
        <w:tc>
          <w:tcPr>
            <w:tcW w:w="1190" w:type="dxa"/>
            <w:vMerge w:val="continue"/>
          </w:tcPr>
          <w:p>
            <w:pPr>
              <w:spacing w:after="0" w:line="360" w:lineRule="auto"/>
              <w:ind w:firstLine="420"/>
              <w:rPr>
                <w:rFonts w:ascii="宋体" w:hAnsi="宋体"/>
                <w:szCs w:val="21"/>
              </w:rPr>
            </w:pPr>
          </w:p>
        </w:tc>
        <w:tc>
          <w:tcPr>
            <w:tcW w:w="1616" w:type="dxa"/>
            <w:gridSpan w:val="2"/>
            <w:vAlign w:val="center"/>
          </w:tcPr>
          <w:p>
            <w:pPr>
              <w:spacing w:after="0" w:line="360" w:lineRule="auto"/>
              <w:ind w:firstLine="0" w:firstLineChars="0"/>
              <w:jc w:val="left"/>
              <w:rPr>
                <w:rFonts w:ascii="宋体" w:hAnsi="宋体"/>
                <w:szCs w:val="21"/>
              </w:rPr>
            </w:pPr>
            <w:r>
              <w:rPr>
                <w:rFonts w:hint="eastAsia" w:ascii="宋体" w:hAnsi="宋体"/>
                <w:szCs w:val="21"/>
              </w:rPr>
              <w:t>人员情况</w:t>
            </w:r>
          </w:p>
        </w:tc>
        <w:tc>
          <w:tcPr>
            <w:tcW w:w="6239" w:type="dxa"/>
            <w:gridSpan w:val="3"/>
          </w:tcPr>
          <w:p>
            <w:pPr>
              <w:spacing w:after="0" w:line="360" w:lineRule="auto"/>
              <w:ind w:firstLine="420"/>
              <w:rPr>
                <w:rFonts w:ascii="宋体" w:hAnsi="宋体"/>
                <w:szCs w:val="21"/>
              </w:rPr>
            </w:pPr>
            <w:r>
              <w:rPr>
                <w:rFonts w:hint="eastAsia" w:ascii="宋体" w:hAnsi="宋体"/>
                <w:szCs w:val="21"/>
              </w:rPr>
              <w:t>职工人数</w:t>
            </w:r>
            <w:r>
              <w:rPr>
                <w:rFonts w:hint="eastAsia" w:ascii="宋体" w:hAnsi="宋体"/>
                <w:sz w:val="18"/>
                <w:szCs w:val="18"/>
              </w:rPr>
              <w:t>：</w:t>
            </w:r>
            <w:r>
              <w:rPr>
                <w:rFonts w:hint="eastAsia" w:ascii="宋体" w:hAnsi="宋体"/>
                <w:sz w:val="18"/>
                <w:szCs w:val="18"/>
                <w:u w:val="single"/>
              </w:rPr>
              <w:t xml:space="preserve">  /   </w:t>
            </w:r>
            <w:r>
              <w:rPr>
                <w:rFonts w:hint="eastAsia" w:ascii="宋体" w:hAnsi="宋体"/>
                <w:sz w:val="18"/>
                <w:szCs w:val="18"/>
              </w:rPr>
              <w:t>人；其中，在职</w:t>
            </w:r>
            <w:r>
              <w:rPr>
                <w:rFonts w:hint="eastAsia" w:ascii="宋体" w:hAnsi="宋体"/>
                <w:sz w:val="18"/>
                <w:szCs w:val="18"/>
                <w:u w:val="single"/>
              </w:rPr>
              <w:t xml:space="preserve"> / </w:t>
            </w:r>
            <w:r>
              <w:rPr>
                <w:rFonts w:hint="eastAsia" w:ascii="宋体" w:hAnsi="宋体"/>
                <w:sz w:val="18"/>
                <w:szCs w:val="18"/>
              </w:rPr>
              <w:t>人，离退休留用</w:t>
            </w:r>
            <w:r>
              <w:rPr>
                <w:rFonts w:hint="eastAsia" w:ascii="宋体" w:hAnsi="宋体"/>
                <w:sz w:val="18"/>
                <w:szCs w:val="18"/>
                <w:u w:val="single"/>
              </w:rPr>
              <w:t xml:space="preserve">  / </w:t>
            </w:r>
            <w:r>
              <w:rPr>
                <w:rFonts w:hint="eastAsia" w:ascii="宋体" w:hAnsi="宋体"/>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9" w:hRule="atLeast"/>
        </w:trPr>
        <w:tc>
          <w:tcPr>
            <w:tcW w:w="1190" w:type="dxa"/>
            <w:vMerge w:val="continue"/>
          </w:tcPr>
          <w:p>
            <w:pPr>
              <w:spacing w:after="0" w:line="360" w:lineRule="auto"/>
              <w:ind w:firstLine="420"/>
              <w:rPr>
                <w:rFonts w:ascii="宋体" w:hAnsi="宋体"/>
                <w:szCs w:val="21"/>
              </w:rPr>
            </w:pPr>
          </w:p>
        </w:tc>
        <w:tc>
          <w:tcPr>
            <w:tcW w:w="1616" w:type="dxa"/>
            <w:gridSpan w:val="2"/>
            <w:vAlign w:val="center"/>
          </w:tcPr>
          <w:p>
            <w:pPr>
              <w:spacing w:after="0" w:line="360" w:lineRule="auto"/>
              <w:ind w:firstLine="0" w:firstLineChars="0"/>
              <w:jc w:val="left"/>
              <w:rPr>
                <w:rFonts w:ascii="宋体" w:hAnsi="宋体"/>
                <w:szCs w:val="21"/>
              </w:rPr>
            </w:pPr>
            <w:r>
              <w:rPr>
                <w:rFonts w:hint="eastAsia" w:ascii="宋体" w:hAnsi="宋体"/>
                <w:szCs w:val="21"/>
              </w:rPr>
              <w:t>标的企业概述</w:t>
            </w:r>
          </w:p>
        </w:tc>
        <w:tc>
          <w:tcPr>
            <w:tcW w:w="6239" w:type="dxa"/>
            <w:gridSpan w:val="3"/>
          </w:tcPr>
          <w:p>
            <w:pPr>
              <w:spacing w:after="0" w:line="360" w:lineRule="auto"/>
              <w:ind w:firstLine="420"/>
              <w:rPr>
                <w:rFonts w:ascii="宋体" w:hAnsi="宋体"/>
                <w:szCs w:val="21"/>
              </w:rPr>
            </w:pPr>
            <w:r>
              <w:rPr>
                <w:rFonts w:hint="eastAsia" w:ascii="宋体" w:hAnsi="宋体"/>
                <w:szCs w:val="21"/>
              </w:rPr>
              <w:t>1、标的企业股东持股情况如下：浙江海正药业股份有限公司，实缴现金资本：7340万元，占出资额的40.04%；DTRM Innovation LLC以无形资产评估作价出资2660万元，占出资额的14.51%；Growth River Investment Limited实缴现金资本4587.50万元，占出资额的25.02%；Empire Gateway Investment Limited实缴现金资本1662.50万元，占出资额的9.07%；深圳市松禾成长一号股权投资合伙企业(有限合伙)实缴现金资本2083.3333万元，占出资额的11.36%。</w:t>
            </w:r>
          </w:p>
          <w:p>
            <w:pPr>
              <w:spacing w:after="0" w:line="360" w:lineRule="auto"/>
              <w:ind w:firstLine="420"/>
              <w:rPr>
                <w:rFonts w:ascii="宋体" w:hAnsi="宋体"/>
                <w:szCs w:val="21"/>
              </w:rPr>
            </w:pPr>
            <w:r>
              <w:rPr>
                <w:rFonts w:hint="eastAsia" w:ascii="宋体" w:hAnsi="宋体"/>
                <w:szCs w:val="21"/>
              </w:rPr>
              <w:t>2、该转让标的截止2018年6月30日评估值为13</w:t>
            </w:r>
            <w:r>
              <w:rPr>
                <w:rFonts w:ascii="宋体" w:hAnsi="宋体"/>
                <w:szCs w:val="21"/>
              </w:rPr>
              <w:t>,836.91</w:t>
            </w:r>
            <w:r>
              <w:rPr>
                <w:rFonts w:hint="eastAsia" w:ascii="宋体" w:hAnsi="宋体"/>
                <w:szCs w:val="21"/>
              </w:rPr>
              <w:t>万元。</w:t>
            </w:r>
          </w:p>
          <w:p>
            <w:pPr>
              <w:spacing w:after="0" w:line="360" w:lineRule="auto"/>
              <w:ind w:firstLine="420"/>
              <w:rPr>
                <w:rFonts w:ascii="宋体" w:hAnsi="宋体"/>
                <w:b/>
                <w:szCs w:val="21"/>
              </w:rPr>
            </w:pPr>
            <w:r>
              <w:rPr>
                <w:rFonts w:hint="eastAsia" w:ascii="宋体" w:hAnsi="宋体"/>
                <w:szCs w:val="21"/>
              </w:rPr>
              <w:t>３、标的企业股东是否有优先购买权：有。</w:t>
            </w:r>
          </w:p>
          <w:p>
            <w:pPr>
              <w:spacing w:after="0" w:line="360" w:lineRule="auto"/>
              <w:ind w:firstLine="420"/>
              <w:jc w:val="left"/>
              <w:rPr>
                <w:rFonts w:ascii="宋体" w:hAnsi="宋体"/>
                <w:szCs w:val="21"/>
              </w:rPr>
            </w:pPr>
            <w:r>
              <w:rPr>
                <w:rFonts w:hint="eastAsia" w:ascii="宋体" w:hAnsi="宋体"/>
                <w:szCs w:val="21"/>
              </w:rPr>
              <w:t>４、标的企业职工安置：本次股权不涉及。</w:t>
            </w:r>
          </w:p>
          <w:p>
            <w:pPr>
              <w:spacing w:after="0" w:line="360" w:lineRule="auto"/>
              <w:ind w:firstLine="0" w:firstLineChars="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trPr>
        <w:tc>
          <w:tcPr>
            <w:tcW w:w="2091" w:type="dxa"/>
            <w:gridSpan w:val="2"/>
            <w:vAlign w:val="center"/>
          </w:tcPr>
          <w:p>
            <w:pPr>
              <w:spacing w:after="0" w:line="360" w:lineRule="auto"/>
              <w:ind w:firstLine="0" w:firstLineChars="0"/>
              <w:jc w:val="center"/>
              <w:rPr>
                <w:rFonts w:ascii="宋体" w:hAnsi="宋体"/>
                <w:szCs w:val="21"/>
              </w:rPr>
            </w:pPr>
            <w:r>
              <w:rPr>
                <w:rFonts w:hint="eastAsia" w:ascii="宋体" w:hAnsi="宋体"/>
                <w:szCs w:val="21"/>
              </w:rPr>
              <w:t>公告挂牌</w:t>
            </w:r>
          </w:p>
        </w:tc>
        <w:tc>
          <w:tcPr>
            <w:tcW w:w="6954" w:type="dxa"/>
            <w:gridSpan w:val="4"/>
          </w:tcPr>
          <w:p>
            <w:pPr>
              <w:spacing w:after="0" w:line="360" w:lineRule="auto"/>
              <w:ind w:firstLine="0" w:firstLineChars="0"/>
              <w:rPr>
                <w:rFonts w:ascii="宋体" w:hAnsi="宋体"/>
                <w:szCs w:val="21"/>
              </w:rPr>
            </w:pPr>
            <w:r>
              <w:rPr>
                <w:rFonts w:hint="eastAsia" w:ascii="宋体" w:hAnsi="宋体"/>
                <w:szCs w:val="21"/>
              </w:rPr>
              <w:t>1、公告挂牌期：自2019年5 月 31 日公告日（即挂牌起始日）至2019年 6 月28日下午4时整止。</w:t>
            </w:r>
          </w:p>
          <w:p>
            <w:pPr>
              <w:spacing w:after="0" w:line="360" w:lineRule="auto"/>
              <w:ind w:firstLine="0" w:firstLineChars="0"/>
              <w:rPr>
                <w:rFonts w:ascii="宋体" w:hAnsi="宋体"/>
                <w:szCs w:val="21"/>
              </w:rPr>
            </w:pPr>
            <w:r>
              <w:rPr>
                <w:rFonts w:hint="eastAsia" w:ascii="宋体" w:hAnsi="宋体"/>
                <w:szCs w:val="21"/>
              </w:rPr>
              <w:t>2、在挂牌报名截止时，只有一个竞买人报名的，竞买人的受让资格经审核合格被确定为受让人后，则在不变更公告挂牌的竞买条件和合同条款的前提下，本次挂牌价为转让的成交价。</w:t>
            </w:r>
          </w:p>
          <w:p>
            <w:pPr>
              <w:wordWrap w:val="0"/>
              <w:spacing w:after="0" w:line="360" w:lineRule="auto"/>
              <w:ind w:firstLine="0" w:firstLineChars="0"/>
              <w:rPr>
                <w:rFonts w:ascii="宋体" w:hAnsi="宋体"/>
                <w:szCs w:val="21"/>
                <w:u w:val="single"/>
              </w:rPr>
            </w:pPr>
            <w:r>
              <w:rPr>
                <w:rFonts w:hint="eastAsia" w:ascii="宋体" w:hAnsi="宋体"/>
                <w:szCs w:val="21"/>
              </w:rPr>
              <w:t>3、在挂牌报名截止时，无人报名或竞买人经竞买资格审核不符合条件的，则本次股权挂牌转让不成交。</w:t>
            </w:r>
            <w:r>
              <w:rPr>
                <w:rFonts w:hint="eastAsia" w:ascii="宋体" w:hAnsi="宋体"/>
                <w:szCs w:val="21"/>
                <w:u w:val="single"/>
              </w:rPr>
              <w:t>若公告挂牌期之内，未征集到竞买人，则</w:t>
            </w:r>
            <w:r>
              <w:rPr>
                <w:rFonts w:ascii="宋体" w:hAnsi="宋体"/>
                <w:szCs w:val="21"/>
                <w:u w:val="single"/>
              </w:rPr>
              <w:t>不变更挂牌条件，按照</w:t>
            </w:r>
            <w:r>
              <w:rPr>
                <w:rFonts w:hint="eastAsia" w:ascii="宋体" w:hAnsi="宋体"/>
                <w:szCs w:val="21"/>
                <w:u w:val="single"/>
              </w:rPr>
              <w:t>5</w:t>
            </w:r>
            <w:r>
              <w:rPr>
                <w:rFonts w:ascii="宋体" w:hAnsi="宋体"/>
                <w:szCs w:val="21"/>
                <w:u w:val="single"/>
              </w:rPr>
              <w:t>个工作日为一个周期延长，</w:t>
            </w:r>
            <w:r>
              <w:rPr>
                <w:rFonts w:hint="eastAsia" w:ascii="宋体" w:hAnsi="宋体"/>
                <w:szCs w:val="21"/>
                <w:u w:val="single"/>
              </w:rPr>
              <w:t>最迟延期到2019年10月</w:t>
            </w:r>
            <w:r>
              <w:rPr>
                <w:rFonts w:ascii="宋体" w:hAnsi="宋体"/>
                <w:szCs w:val="21"/>
                <w:u w:val="single"/>
              </w:rPr>
              <w:t>28</w:t>
            </w:r>
            <w:r>
              <w:rPr>
                <w:rFonts w:hint="eastAsia" w:ascii="宋体" w:hAnsi="宋体"/>
                <w:szCs w:val="21"/>
                <w:u w:val="single"/>
              </w:rPr>
              <w:t>日。</w:t>
            </w:r>
          </w:p>
          <w:p>
            <w:pPr>
              <w:spacing w:after="0" w:line="360" w:lineRule="auto"/>
              <w:ind w:firstLine="0" w:firstLineChars="0"/>
              <w:rPr>
                <w:rFonts w:ascii="宋体" w:hAnsi="宋体"/>
                <w:szCs w:val="21"/>
              </w:rPr>
            </w:pPr>
            <w:r>
              <w:rPr>
                <w:rFonts w:hint="eastAsia" w:ascii="宋体" w:hAnsi="宋体"/>
                <w:szCs w:val="21"/>
              </w:rPr>
              <w:t>4、在挂牌报名截止时，有两个或两个以上竞买人报名，竞买人的竞买资格经审核均合格的，则按照本次股权网络竞价规则实施竞价程序，出价最高者为受让方，其出价为本次项目挂牌转让的成交价。</w:t>
            </w:r>
          </w:p>
          <w:p>
            <w:pPr>
              <w:spacing w:after="0" w:line="360" w:lineRule="auto"/>
              <w:ind w:firstLine="0" w:firstLineChars="0"/>
              <w:rPr>
                <w:rFonts w:ascii="宋体" w:hAnsi="宋体"/>
                <w:szCs w:val="21"/>
              </w:rPr>
            </w:pPr>
            <w:r>
              <w:rPr>
                <w:rFonts w:hint="eastAsia" w:ascii="宋体" w:hAnsi="宋体"/>
                <w:szCs w:val="21"/>
              </w:rPr>
              <w:t>5、受让报名：</w:t>
            </w:r>
          </w:p>
          <w:p>
            <w:pPr>
              <w:spacing w:after="0" w:line="360" w:lineRule="auto"/>
              <w:ind w:firstLine="420"/>
              <w:rPr>
                <w:rFonts w:ascii="宋体" w:hAnsi="宋体"/>
                <w:szCs w:val="21"/>
              </w:rPr>
            </w:pPr>
            <w:r>
              <w:rPr>
                <w:rFonts w:hint="eastAsia" w:ascii="宋体" w:hAnsi="宋体"/>
                <w:szCs w:val="21"/>
              </w:rPr>
              <w:t>1）产权交易有关资料。</w:t>
            </w:r>
          </w:p>
          <w:p>
            <w:pPr>
              <w:spacing w:after="0" w:line="360" w:lineRule="auto"/>
              <w:ind w:firstLine="420"/>
              <w:rPr>
                <w:rFonts w:ascii="宋体" w:hAnsi="宋体"/>
                <w:szCs w:val="21"/>
              </w:rPr>
            </w:pPr>
            <w:r>
              <w:rPr>
                <w:rFonts w:hint="eastAsia" w:ascii="宋体" w:hAnsi="宋体"/>
                <w:szCs w:val="21"/>
              </w:rPr>
              <w:t>2）填写产权受让意向书等。</w:t>
            </w:r>
          </w:p>
          <w:p>
            <w:pPr>
              <w:spacing w:after="0" w:line="360" w:lineRule="auto"/>
              <w:ind w:firstLine="420"/>
              <w:rPr>
                <w:rFonts w:ascii="宋体" w:hAnsi="宋体"/>
                <w:szCs w:val="21"/>
              </w:rPr>
            </w:pPr>
            <w:r>
              <w:rPr>
                <w:rFonts w:hint="eastAsia" w:ascii="宋体" w:hAnsi="宋体"/>
                <w:szCs w:val="21"/>
              </w:rPr>
              <w:t>3）签订保证金协议，并缴纳保证金。</w:t>
            </w:r>
          </w:p>
          <w:p>
            <w:pPr>
              <w:spacing w:after="0" w:line="360" w:lineRule="auto"/>
              <w:ind w:firstLine="0" w:firstLineChars="0"/>
              <w:rPr>
                <w:rFonts w:ascii="宋体" w:hAnsi="宋体"/>
                <w:szCs w:val="21"/>
              </w:rPr>
            </w:pPr>
            <w:r>
              <w:rPr>
                <w:rFonts w:hint="eastAsia" w:ascii="宋体" w:hAnsi="宋体"/>
                <w:szCs w:val="21"/>
              </w:rPr>
              <w:t>6、意向受让人应在报名期间</w:t>
            </w:r>
            <w:r>
              <w:rPr>
                <w:rFonts w:hint="eastAsia" w:ascii="宋体" w:hAnsi="宋体"/>
                <w:szCs w:val="21"/>
                <w:u w:val="single"/>
              </w:rPr>
              <w:t>5月31日至6月28日</w:t>
            </w:r>
            <w:r>
              <w:rPr>
                <w:rFonts w:hint="eastAsia" w:ascii="宋体" w:hAnsi="宋体"/>
                <w:szCs w:val="21"/>
              </w:rPr>
              <w:t>（节假日除外）到台州市产权交易所办理意向受让登记手续，附带企业章程、相关决议、企业法人营业执照复印件、身份证明及授权委托书。</w:t>
            </w:r>
          </w:p>
          <w:p>
            <w:pPr>
              <w:spacing w:after="0" w:line="360" w:lineRule="auto"/>
              <w:ind w:firstLine="0" w:firstLineChars="0"/>
              <w:rPr>
                <w:rFonts w:ascii="宋体" w:hAnsi="宋体"/>
                <w:szCs w:val="21"/>
              </w:rPr>
            </w:pPr>
            <w:r>
              <w:rPr>
                <w:rFonts w:hint="eastAsia" w:ascii="宋体" w:hAnsi="宋体"/>
                <w:szCs w:val="21"/>
              </w:rPr>
              <w:t>7、浙江导明医药科技有限公司持股东证明和身份证报名，其享受优先购买权。</w:t>
            </w:r>
          </w:p>
        </w:tc>
      </w:tr>
    </w:tbl>
    <w:p>
      <w:pPr>
        <w:spacing w:after="0" w:line="360" w:lineRule="auto"/>
        <w:ind w:firstLine="422"/>
        <w:rPr>
          <w:rFonts w:ascii="仿宋_GB2312" w:eastAsia="仿宋_GB2312"/>
          <w:b/>
          <w:szCs w:val="21"/>
        </w:rPr>
      </w:pPr>
    </w:p>
    <w:tbl>
      <w:tblPr>
        <w:tblStyle w:val="13"/>
        <w:tblW w:w="8969" w:type="dxa"/>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6"/>
        <w:gridCol w:w="484"/>
        <w:gridCol w:w="1188"/>
        <w:gridCol w:w="308"/>
        <w:gridCol w:w="1924"/>
        <w:gridCol w:w="36"/>
        <w:gridCol w:w="324"/>
        <w:gridCol w:w="952"/>
        <w:gridCol w:w="488"/>
        <w:gridCol w:w="930"/>
        <w:gridCol w:w="425"/>
        <w:gridCol w:w="11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1" w:hRule="atLeast"/>
        </w:trPr>
        <w:tc>
          <w:tcPr>
            <w:tcW w:w="776" w:type="dxa"/>
            <w:vMerge w:val="restart"/>
            <w:tcBorders>
              <w:top w:val="double" w:color="auto" w:sz="12" w:space="0"/>
              <w:left w:val="double" w:color="auto" w:sz="12" w:space="0"/>
              <w:right w:val="single" w:color="auto" w:sz="4" w:space="0"/>
            </w:tcBorders>
            <w:vAlign w:val="center"/>
          </w:tcPr>
          <w:p>
            <w:pPr>
              <w:spacing w:after="0" w:line="360" w:lineRule="auto"/>
              <w:ind w:firstLine="0" w:firstLineChars="0"/>
              <w:rPr>
                <w:rFonts w:ascii="仿宋_GB2312" w:eastAsia="仿宋_GB2312"/>
                <w:sz w:val="44"/>
                <w:szCs w:val="44"/>
              </w:rPr>
            </w:pPr>
            <w:r>
              <w:rPr>
                <w:rFonts w:hint="eastAsia" w:ascii="仿宋_GB2312" w:eastAsia="仿宋_GB2312"/>
                <w:b/>
                <w:sz w:val="28"/>
                <w:szCs w:val="28"/>
              </w:rPr>
              <w:t>转让标的所在企业基本情况</w:t>
            </w:r>
          </w:p>
        </w:tc>
        <w:tc>
          <w:tcPr>
            <w:tcW w:w="8193" w:type="dxa"/>
            <w:gridSpan w:val="11"/>
            <w:tcBorders>
              <w:top w:val="double" w:color="auto" w:sz="12" w:space="0"/>
              <w:left w:val="single" w:color="auto" w:sz="4" w:space="0"/>
              <w:right w:val="double" w:color="auto" w:sz="12" w:space="0"/>
            </w:tcBorders>
            <w:vAlign w:val="center"/>
          </w:tcPr>
          <w:p>
            <w:pPr>
              <w:spacing w:after="0" w:line="360" w:lineRule="auto"/>
              <w:ind w:firstLine="723"/>
              <w:jc w:val="center"/>
              <w:rPr>
                <w:rFonts w:ascii="仿宋_GB2312" w:eastAsia="仿宋_GB2312"/>
                <w:sz w:val="44"/>
                <w:szCs w:val="44"/>
              </w:rPr>
            </w:pPr>
            <w:bookmarkStart w:id="14" w:name="here"/>
            <w:r>
              <w:rPr>
                <w:rFonts w:hint="eastAsia" w:ascii="仿宋_GB2312" w:eastAsia="仿宋_GB2312"/>
                <w:b/>
                <w:sz w:val="36"/>
                <w:szCs w:val="36"/>
              </w:rPr>
              <w:t>主要财务会计资料</w:t>
            </w:r>
            <w:r>
              <w:rPr>
                <w:rFonts w:hint="eastAsia" w:ascii="仿宋_GB2312" w:eastAsia="仿宋_GB2312"/>
                <w:szCs w:val="21"/>
              </w:rPr>
              <w:t>（单位：元）</w:t>
            </w:r>
            <w:bookmarkEnd w:id="1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776" w:type="dxa"/>
            <w:vMerge w:val="continue"/>
            <w:tcBorders>
              <w:left w:val="double" w:color="auto" w:sz="12" w:space="0"/>
              <w:right w:val="single" w:color="auto" w:sz="4" w:space="0"/>
            </w:tcBorders>
            <w:vAlign w:val="center"/>
          </w:tcPr>
          <w:p>
            <w:pPr>
              <w:spacing w:after="0" w:line="360" w:lineRule="auto"/>
              <w:ind w:firstLine="422"/>
              <w:jc w:val="center"/>
              <w:rPr>
                <w:rFonts w:ascii="仿宋_GB2312" w:eastAsia="仿宋_GB2312"/>
                <w:b/>
                <w:szCs w:val="21"/>
              </w:rPr>
            </w:pPr>
          </w:p>
        </w:tc>
        <w:tc>
          <w:tcPr>
            <w:tcW w:w="3940" w:type="dxa"/>
            <w:gridSpan w:val="5"/>
            <w:vMerge w:val="restart"/>
            <w:tcBorders>
              <w:left w:val="single" w:color="auto" w:sz="4" w:space="0"/>
            </w:tcBorders>
            <w:vAlign w:val="center"/>
          </w:tcPr>
          <w:p>
            <w:pPr>
              <w:spacing w:after="0" w:line="360" w:lineRule="auto"/>
              <w:ind w:firstLine="422"/>
              <w:jc w:val="center"/>
              <w:rPr>
                <w:rFonts w:ascii="仿宋_GB2312" w:eastAsia="仿宋_GB2312"/>
                <w:b/>
                <w:szCs w:val="21"/>
              </w:rPr>
            </w:pPr>
            <w:r>
              <w:rPr>
                <w:rFonts w:hint="eastAsia" w:ascii="仿宋_GB2312" w:eastAsia="仿宋_GB2312"/>
                <w:b/>
                <w:szCs w:val="21"/>
              </w:rPr>
              <w:t>科目\年度、数据来源</w:t>
            </w:r>
          </w:p>
        </w:tc>
        <w:tc>
          <w:tcPr>
            <w:tcW w:w="4253" w:type="dxa"/>
            <w:gridSpan w:val="6"/>
            <w:tcBorders>
              <w:left w:val="single" w:color="auto" w:sz="4" w:space="0"/>
              <w:bottom w:val="single" w:color="auto" w:sz="4" w:space="0"/>
              <w:right w:val="double" w:color="auto" w:sz="12" w:space="0"/>
            </w:tcBorders>
            <w:vAlign w:val="center"/>
          </w:tcPr>
          <w:p>
            <w:pPr>
              <w:spacing w:after="0" w:line="360" w:lineRule="auto"/>
              <w:ind w:firstLine="0" w:firstLineChars="0"/>
              <w:jc w:val="center"/>
              <w:rPr>
                <w:rFonts w:ascii="仿宋_GB2312" w:eastAsia="仿宋_GB2312"/>
                <w:b/>
                <w:szCs w:val="21"/>
              </w:rPr>
            </w:pPr>
            <w:r>
              <w:rPr>
                <w:rFonts w:hint="eastAsia" w:ascii="仿宋_GB2312" w:eastAsia="仿宋_GB2312"/>
                <w:b/>
                <w:szCs w:val="21"/>
              </w:rPr>
              <w:t>2018年6月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trPr>
        <w:tc>
          <w:tcPr>
            <w:tcW w:w="776" w:type="dxa"/>
            <w:vMerge w:val="continue"/>
            <w:tcBorders>
              <w:left w:val="double" w:color="auto" w:sz="12" w:space="0"/>
              <w:right w:val="single" w:color="auto" w:sz="4" w:space="0"/>
            </w:tcBorders>
            <w:vAlign w:val="center"/>
          </w:tcPr>
          <w:p>
            <w:pPr>
              <w:spacing w:after="0" w:line="360" w:lineRule="auto"/>
              <w:ind w:firstLine="422"/>
              <w:jc w:val="center"/>
              <w:rPr>
                <w:rFonts w:ascii="仿宋_GB2312" w:eastAsia="仿宋_GB2312"/>
                <w:b/>
                <w:szCs w:val="21"/>
              </w:rPr>
            </w:pPr>
          </w:p>
        </w:tc>
        <w:tc>
          <w:tcPr>
            <w:tcW w:w="3940" w:type="dxa"/>
            <w:gridSpan w:val="5"/>
            <w:vMerge w:val="continue"/>
            <w:tcBorders>
              <w:left w:val="single" w:color="auto" w:sz="4" w:space="0"/>
            </w:tcBorders>
            <w:vAlign w:val="center"/>
          </w:tcPr>
          <w:p>
            <w:pPr>
              <w:spacing w:after="0" w:line="360" w:lineRule="auto"/>
              <w:ind w:firstLine="422"/>
              <w:jc w:val="center"/>
              <w:rPr>
                <w:rFonts w:ascii="仿宋_GB2312" w:eastAsia="仿宋_GB2312"/>
                <w:b/>
                <w:szCs w:val="21"/>
              </w:rPr>
            </w:pPr>
          </w:p>
        </w:tc>
        <w:tc>
          <w:tcPr>
            <w:tcW w:w="4253" w:type="dxa"/>
            <w:gridSpan w:val="6"/>
            <w:tcBorders>
              <w:top w:val="single" w:color="auto" w:sz="4" w:space="0"/>
              <w:left w:val="single" w:color="auto" w:sz="4" w:space="0"/>
              <w:bottom w:val="single" w:color="auto" w:sz="4" w:space="0"/>
              <w:right w:val="double" w:color="auto" w:sz="12" w:space="0"/>
            </w:tcBorders>
            <w:vAlign w:val="center"/>
          </w:tcPr>
          <w:p>
            <w:pPr>
              <w:spacing w:after="0" w:line="360" w:lineRule="auto"/>
              <w:ind w:right="45" w:firstLine="0" w:firstLineChars="0"/>
              <w:jc w:val="center"/>
              <w:rPr>
                <w:rFonts w:ascii="宋体" w:hAnsi="宋体" w:cs="宋体"/>
                <w:b/>
                <w:szCs w:val="21"/>
              </w:rPr>
            </w:pPr>
            <w:r>
              <w:rPr>
                <w:rFonts w:hint="eastAsia" w:ascii="仿宋" w:hAnsi="仿宋" w:eastAsia="仿宋" w:cs="仿宋"/>
                <w:b/>
                <w:sz w:val="18"/>
                <w:szCs w:val="18"/>
              </w:rPr>
              <w:t>企业报表数据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vAlign w:val="center"/>
          </w:tcPr>
          <w:p>
            <w:pPr>
              <w:spacing w:after="0" w:line="360" w:lineRule="auto"/>
              <w:ind w:firstLine="420"/>
              <w:jc w:val="center"/>
              <w:rPr>
                <w:rFonts w:ascii="方正姚体" w:eastAsia="方正姚体"/>
                <w:szCs w:val="21"/>
              </w:rPr>
            </w:pPr>
          </w:p>
        </w:tc>
        <w:tc>
          <w:tcPr>
            <w:tcW w:w="1672" w:type="dxa"/>
            <w:gridSpan w:val="2"/>
            <w:vMerge w:val="restart"/>
            <w:tcBorders>
              <w:left w:val="single" w:color="auto" w:sz="4" w:space="0"/>
            </w:tcBorders>
            <w:vAlign w:val="center"/>
          </w:tcPr>
          <w:p>
            <w:pPr>
              <w:spacing w:after="0" w:line="360" w:lineRule="auto"/>
              <w:ind w:firstLine="0" w:firstLineChars="0"/>
              <w:rPr>
                <w:rFonts w:ascii="方正姚体" w:eastAsia="方正姚体"/>
                <w:szCs w:val="21"/>
              </w:rPr>
            </w:pPr>
            <w:r>
              <w:rPr>
                <w:rFonts w:hint="eastAsia" w:ascii="仿宋_GB2312" w:eastAsia="仿宋_GB2312"/>
                <w:b/>
                <w:szCs w:val="21"/>
              </w:rPr>
              <w:t>资产负债表</w:t>
            </w:r>
          </w:p>
          <w:p>
            <w:pPr>
              <w:spacing w:after="0" w:line="360" w:lineRule="auto"/>
              <w:ind w:firstLine="422"/>
              <w:rPr>
                <w:rFonts w:ascii="仿宋_GB2312" w:eastAsia="仿宋_GB2312"/>
                <w:b/>
                <w:szCs w:val="21"/>
              </w:rPr>
            </w:pPr>
          </w:p>
        </w:tc>
        <w:tc>
          <w:tcPr>
            <w:tcW w:w="2268" w:type="dxa"/>
            <w:gridSpan w:val="3"/>
          </w:tcPr>
          <w:p>
            <w:pPr>
              <w:spacing w:after="0" w:line="360" w:lineRule="auto"/>
              <w:ind w:firstLine="361"/>
              <w:rPr>
                <w:rFonts w:ascii="宋体" w:hAnsi="宋体" w:cs="宋体"/>
                <w:sz w:val="18"/>
                <w:szCs w:val="18"/>
              </w:rPr>
            </w:pPr>
            <w:r>
              <w:rPr>
                <w:rFonts w:hint="eastAsia" w:ascii="宋体" w:hAnsi="宋体" w:cs="宋体"/>
                <w:b/>
                <w:sz w:val="18"/>
                <w:szCs w:val="18"/>
              </w:rPr>
              <w:t>流动资产</w:t>
            </w:r>
          </w:p>
        </w:tc>
        <w:tc>
          <w:tcPr>
            <w:tcW w:w="4253" w:type="dxa"/>
            <w:gridSpan w:val="6"/>
            <w:tcBorders>
              <w:top w:val="single" w:color="auto" w:sz="4" w:space="0"/>
              <w:left w:val="single" w:color="auto" w:sz="4" w:space="0"/>
              <w:right w:val="double" w:color="auto" w:sz="12" w:space="0"/>
            </w:tcBorders>
          </w:tcPr>
          <w:p>
            <w:pPr>
              <w:spacing w:after="0" w:line="360" w:lineRule="auto"/>
              <w:ind w:firstLine="360"/>
              <w:jc w:val="center"/>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vAlign w:val="center"/>
          </w:tcPr>
          <w:p>
            <w:pPr>
              <w:spacing w:after="0" w:line="360" w:lineRule="auto"/>
              <w:ind w:firstLine="420"/>
              <w:jc w:val="center"/>
              <w:rPr>
                <w:rFonts w:ascii="方正姚体" w:eastAsia="方正姚体"/>
                <w:szCs w:val="21"/>
              </w:rPr>
            </w:pPr>
          </w:p>
        </w:tc>
        <w:tc>
          <w:tcPr>
            <w:tcW w:w="1672" w:type="dxa"/>
            <w:gridSpan w:val="2"/>
            <w:vMerge w:val="continue"/>
            <w:tcBorders>
              <w:left w:val="single" w:color="auto" w:sz="4" w:space="0"/>
            </w:tcBorders>
            <w:vAlign w:val="center"/>
          </w:tcPr>
          <w:p>
            <w:pPr>
              <w:spacing w:after="0" w:line="360" w:lineRule="auto"/>
              <w:ind w:firstLine="0" w:firstLineChars="0"/>
              <w:rPr>
                <w:rFonts w:ascii="方正姚体" w:eastAsia="方正姚体"/>
                <w:szCs w:val="21"/>
              </w:rPr>
            </w:pPr>
          </w:p>
        </w:tc>
        <w:tc>
          <w:tcPr>
            <w:tcW w:w="2268" w:type="dxa"/>
            <w:gridSpan w:val="3"/>
          </w:tcPr>
          <w:p>
            <w:pPr>
              <w:spacing w:after="0" w:line="360" w:lineRule="auto"/>
              <w:ind w:firstLine="360"/>
              <w:jc w:val="left"/>
              <w:rPr>
                <w:rFonts w:ascii="宋体" w:hAnsi="宋体" w:cs="宋体"/>
                <w:sz w:val="18"/>
                <w:szCs w:val="18"/>
              </w:rPr>
            </w:pPr>
            <w:r>
              <w:rPr>
                <w:rFonts w:hint="eastAsia" w:ascii="宋体" w:hAnsi="宋体" w:cs="宋体"/>
                <w:sz w:val="18"/>
                <w:szCs w:val="18"/>
              </w:rPr>
              <w:t>其中：货币资金</w:t>
            </w:r>
          </w:p>
        </w:tc>
        <w:tc>
          <w:tcPr>
            <w:tcW w:w="4253" w:type="dxa"/>
            <w:gridSpan w:val="6"/>
            <w:tcBorders>
              <w:top w:val="single" w:color="auto" w:sz="4" w:space="0"/>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144,724,849.35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672" w:type="dxa"/>
            <w:gridSpan w:val="2"/>
            <w:vMerge w:val="continue"/>
            <w:tcBorders>
              <w:left w:val="single" w:color="auto" w:sz="4" w:space="0"/>
            </w:tcBorders>
          </w:tcPr>
          <w:p>
            <w:pPr>
              <w:spacing w:after="0" w:line="360" w:lineRule="auto"/>
              <w:ind w:firstLine="420"/>
              <w:rPr>
                <w:rFonts w:ascii="方正姚体" w:eastAsia="方正姚体"/>
                <w:szCs w:val="21"/>
              </w:rPr>
            </w:pPr>
          </w:p>
        </w:tc>
        <w:tc>
          <w:tcPr>
            <w:tcW w:w="2268" w:type="dxa"/>
            <w:gridSpan w:val="3"/>
          </w:tcPr>
          <w:p>
            <w:pPr>
              <w:spacing w:after="0" w:line="360" w:lineRule="auto"/>
              <w:ind w:firstLine="540" w:firstLineChars="300"/>
              <w:rPr>
                <w:rFonts w:ascii="宋体" w:hAnsi="宋体" w:cs="宋体"/>
                <w:sz w:val="18"/>
                <w:szCs w:val="18"/>
              </w:rPr>
            </w:pPr>
            <w:r>
              <w:rPr>
                <w:rFonts w:hint="eastAsia" w:ascii="宋体" w:hAnsi="宋体" w:cs="宋体"/>
                <w:sz w:val="18"/>
                <w:szCs w:val="18"/>
              </w:rPr>
              <w:t>其他应收款净额</w:t>
            </w:r>
          </w:p>
        </w:tc>
        <w:tc>
          <w:tcPr>
            <w:tcW w:w="4253" w:type="dxa"/>
            <w:gridSpan w:val="6"/>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90,223.90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672" w:type="dxa"/>
            <w:gridSpan w:val="2"/>
            <w:vMerge w:val="continue"/>
            <w:tcBorders>
              <w:left w:val="single" w:color="auto" w:sz="4" w:space="0"/>
            </w:tcBorders>
          </w:tcPr>
          <w:p>
            <w:pPr>
              <w:spacing w:after="0" w:line="360" w:lineRule="auto"/>
              <w:ind w:firstLine="420"/>
              <w:rPr>
                <w:rFonts w:ascii="方正姚体" w:eastAsia="方正姚体"/>
                <w:szCs w:val="21"/>
              </w:rPr>
            </w:pPr>
          </w:p>
        </w:tc>
        <w:tc>
          <w:tcPr>
            <w:tcW w:w="2268" w:type="dxa"/>
            <w:gridSpan w:val="3"/>
          </w:tcPr>
          <w:p>
            <w:pPr>
              <w:spacing w:after="0" w:line="360" w:lineRule="auto"/>
              <w:ind w:firstLine="361"/>
              <w:rPr>
                <w:rFonts w:ascii="宋体" w:hAnsi="宋体" w:cs="宋体"/>
                <w:sz w:val="18"/>
                <w:szCs w:val="18"/>
              </w:rPr>
            </w:pPr>
            <w:r>
              <w:rPr>
                <w:rFonts w:hint="eastAsia" w:ascii="宋体" w:hAnsi="宋体" w:cs="宋体"/>
                <w:b/>
                <w:sz w:val="18"/>
                <w:szCs w:val="18"/>
              </w:rPr>
              <w:t>非流动资产</w:t>
            </w:r>
          </w:p>
        </w:tc>
        <w:tc>
          <w:tcPr>
            <w:tcW w:w="4253" w:type="dxa"/>
            <w:gridSpan w:val="6"/>
            <w:tcBorders>
              <w:left w:val="single" w:color="auto" w:sz="4" w:space="0"/>
              <w:right w:val="double" w:color="auto" w:sz="12" w:space="0"/>
            </w:tcBorders>
            <w:vAlign w:val="center"/>
          </w:tcPr>
          <w:p>
            <w:pPr>
              <w:spacing w:after="0" w:line="360" w:lineRule="auto"/>
              <w:ind w:firstLine="360"/>
              <w:jc w:val="center"/>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672" w:type="dxa"/>
            <w:gridSpan w:val="2"/>
            <w:vMerge w:val="continue"/>
            <w:tcBorders>
              <w:left w:val="single" w:color="auto" w:sz="4" w:space="0"/>
            </w:tcBorders>
          </w:tcPr>
          <w:p>
            <w:pPr>
              <w:spacing w:after="0" w:line="360" w:lineRule="auto"/>
              <w:ind w:firstLine="420"/>
              <w:rPr>
                <w:rFonts w:ascii="方正姚体" w:eastAsia="方正姚体"/>
                <w:szCs w:val="21"/>
              </w:rPr>
            </w:pPr>
          </w:p>
        </w:tc>
        <w:tc>
          <w:tcPr>
            <w:tcW w:w="2268" w:type="dxa"/>
            <w:gridSpan w:val="3"/>
          </w:tcPr>
          <w:p>
            <w:pPr>
              <w:spacing w:after="0" w:line="360" w:lineRule="auto"/>
              <w:ind w:firstLine="540" w:firstLineChars="300"/>
              <w:rPr>
                <w:rFonts w:ascii="宋体" w:hAnsi="宋体" w:cs="宋体"/>
                <w:sz w:val="18"/>
                <w:szCs w:val="18"/>
              </w:rPr>
            </w:pPr>
            <w:r>
              <w:rPr>
                <w:rFonts w:hint="eastAsia" w:ascii="宋体" w:hAnsi="宋体" w:cs="宋体"/>
                <w:sz w:val="18"/>
                <w:szCs w:val="18"/>
              </w:rPr>
              <w:t>长期股权投资</w:t>
            </w:r>
          </w:p>
        </w:tc>
        <w:tc>
          <w:tcPr>
            <w:tcW w:w="4253" w:type="dxa"/>
            <w:gridSpan w:val="6"/>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189,884,850.00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672" w:type="dxa"/>
            <w:gridSpan w:val="2"/>
            <w:vMerge w:val="continue"/>
            <w:tcBorders>
              <w:left w:val="single" w:color="auto" w:sz="4" w:space="0"/>
            </w:tcBorders>
          </w:tcPr>
          <w:p>
            <w:pPr>
              <w:spacing w:after="0" w:line="360" w:lineRule="auto"/>
              <w:ind w:firstLine="420"/>
              <w:rPr>
                <w:rFonts w:ascii="方正姚体" w:eastAsia="方正姚体"/>
                <w:szCs w:val="21"/>
              </w:rPr>
            </w:pPr>
          </w:p>
        </w:tc>
        <w:tc>
          <w:tcPr>
            <w:tcW w:w="2268" w:type="dxa"/>
            <w:gridSpan w:val="3"/>
          </w:tcPr>
          <w:p>
            <w:pPr>
              <w:spacing w:after="0" w:line="360" w:lineRule="auto"/>
              <w:ind w:firstLine="540" w:firstLineChars="300"/>
              <w:rPr>
                <w:rFonts w:ascii="宋体" w:hAnsi="宋体" w:cs="宋体"/>
                <w:sz w:val="18"/>
                <w:szCs w:val="18"/>
              </w:rPr>
            </w:pPr>
            <w:r>
              <w:rPr>
                <w:rFonts w:hint="eastAsia" w:ascii="宋体" w:hAnsi="宋体" w:cs="宋体"/>
                <w:sz w:val="18"/>
                <w:szCs w:val="18"/>
              </w:rPr>
              <w:t>固定资产</w:t>
            </w:r>
          </w:p>
        </w:tc>
        <w:tc>
          <w:tcPr>
            <w:tcW w:w="4253" w:type="dxa"/>
            <w:gridSpan w:val="6"/>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60,042.69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672" w:type="dxa"/>
            <w:gridSpan w:val="2"/>
            <w:vMerge w:val="continue"/>
            <w:tcBorders>
              <w:left w:val="single" w:color="auto" w:sz="4" w:space="0"/>
            </w:tcBorders>
          </w:tcPr>
          <w:p>
            <w:pPr>
              <w:spacing w:after="0" w:line="360" w:lineRule="auto"/>
              <w:ind w:firstLine="420"/>
              <w:rPr>
                <w:rFonts w:ascii="方正姚体" w:eastAsia="方正姚体"/>
                <w:szCs w:val="21"/>
              </w:rPr>
            </w:pPr>
          </w:p>
        </w:tc>
        <w:tc>
          <w:tcPr>
            <w:tcW w:w="2268" w:type="dxa"/>
            <w:gridSpan w:val="3"/>
          </w:tcPr>
          <w:p>
            <w:pPr>
              <w:spacing w:after="0" w:line="360" w:lineRule="auto"/>
              <w:ind w:firstLine="540" w:firstLineChars="300"/>
              <w:rPr>
                <w:rFonts w:ascii="宋体" w:hAnsi="宋体" w:cs="宋体"/>
                <w:sz w:val="18"/>
                <w:szCs w:val="18"/>
              </w:rPr>
            </w:pPr>
            <w:r>
              <w:rPr>
                <w:rFonts w:hint="eastAsia" w:ascii="宋体" w:hAnsi="宋体" w:cs="宋体"/>
                <w:sz w:val="18"/>
                <w:szCs w:val="18"/>
              </w:rPr>
              <w:t>无形资产净值</w:t>
            </w:r>
          </w:p>
        </w:tc>
        <w:tc>
          <w:tcPr>
            <w:tcW w:w="4253" w:type="dxa"/>
            <w:gridSpan w:val="6"/>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9,088,333.15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672" w:type="dxa"/>
            <w:gridSpan w:val="2"/>
            <w:vMerge w:val="continue"/>
            <w:tcBorders>
              <w:left w:val="single" w:color="auto" w:sz="4" w:space="0"/>
            </w:tcBorders>
          </w:tcPr>
          <w:p>
            <w:pPr>
              <w:spacing w:after="0" w:line="360" w:lineRule="auto"/>
              <w:ind w:firstLine="420"/>
              <w:rPr>
                <w:rFonts w:ascii="方正姚体" w:eastAsia="方正姚体"/>
                <w:szCs w:val="21"/>
              </w:rPr>
            </w:pPr>
          </w:p>
        </w:tc>
        <w:tc>
          <w:tcPr>
            <w:tcW w:w="2268" w:type="dxa"/>
            <w:gridSpan w:val="3"/>
          </w:tcPr>
          <w:p>
            <w:pPr>
              <w:spacing w:after="0" w:line="360" w:lineRule="auto"/>
              <w:ind w:firstLine="540" w:firstLineChars="300"/>
              <w:rPr>
                <w:rFonts w:ascii="宋体" w:hAnsi="宋体" w:cs="宋体"/>
                <w:sz w:val="18"/>
                <w:szCs w:val="18"/>
              </w:rPr>
            </w:pPr>
            <w:r>
              <w:rPr>
                <w:rFonts w:hint="eastAsia" w:ascii="宋体" w:hAnsi="宋体" w:cs="宋体"/>
                <w:sz w:val="18"/>
                <w:szCs w:val="18"/>
              </w:rPr>
              <w:t>开发支出</w:t>
            </w:r>
          </w:p>
        </w:tc>
        <w:tc>
          <w:tcPr>
            <w:tcW w:w="4253" w:type="dxa"/>
            <w:gridSpan w:val="6"/>
            <w:tcBorders>
              <w:left w:val="single" w:color="auto" w:sz="4" w:space="0"/>
              <w:right w:val="double" w:color="auto" w:sz="12" w:space="0"/>
            </w:tcBorders>
            <w:vAlign w:val="center"/>
          </w:tcPr>
          <w:p>
            <w:pPr>
              <w:spacing w:after="0" w:line="360" w:lineRule="auto"/>
              <w:ind w:firstLine="360"/>
              <w:jc w:val="center"/>
              <w:rPr>
                <w:rFonts w:ascii="宋体" w:hAnsi="宋体" w:cs="宋体"/>
                <w:sz w:val="18"/>
                <w:szCs w:val="18"/>
              </w:rPr>
            </w:pPr>
            <w:r>
              <w:rPr>
                <w:rFonts w:hint="eastAsia" w:ascii="宋体" w:hAnsi="宋体" w:cs="宋体"/>
                <w:sz w:val="18"/>
                <w:szCs w:val="18"/>
              </w:rPr>
              <w:t>2,593,274.19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672" w:type="dxa"/>
            <w:gridSpan w:val="2"/>
            <w:vMerge w:val="continue"/>
            <w:tcBorders>
              <w:left w:val="single" w:color="auto" w:sz="4" w:space="0"/>
            </w:tcBorders>
          </w:tcPr>
          <w:p>
            <w:pPr>
              <w:spacing w:after="0" w:line="360" w:lineRule="auto"/>
              <w:ind w:firstLine="420"/>
              <w:rPr>
                <w:rFonts w:ascii="方正姚体" w:eastAsia="方正姚体"/>
                <w:szCs w:val="21"/>
              </w:rPr>
            </w:pPr>
          </w:p>
        </w:tc>
        <w:tc>
          <w:tcPr>
            <w:tcW w:w="2268" w:type="dxa"/>
            <w:gridSpan w:val="3"/>
          </w:tcPr>
          <w:p>
            <w:pPr>
              <w:spacing w:after="0" w:line="360" w:lineRule="auto"/>
              <w:ind w:firstLine="540" w:firstLineChars="300"/>
              <w:rPr>
                <w:rFonts w:ascii="宋体" w:hAnsi="宋体" w:cs="宋体"/>
                <w:b/>
                <w:sz w:val="18"/>
                <w:szCs w:val="18"/>
              </w:rPr>
            </w:pPr>
            <w:r>
              <w:rPr>
                <w:rFonts w:hint="eastAsia" w:ascii="宋体" w:hAnsi="宋体" w:cs="宋体"/>
                <w:sz w:val="18"/>
                <w:szCs w:val="18"/>
              </w:rPr>
              <w:t>长期待摊费用</w:t>
            </w:r>
          </w:p>
        </w:tc>
        <w:tc>
          <w:tcPr>
            <w:tcW w:w="4253" w:type="dxa"/>
            <w:gridSpan w:val="6"/>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225,000.00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672" w:type="dxa"/>
            <w:gridSpan w:val="2"/>
            <w:vMerge w:val="continue"/>
            <w:tcBorders>
              <w:left w:val="single" w:color="auto" w:sz="4" w:space="0"/>
            </w:tcBorders>
          </w:tcPr>
          <w:p>
            <w:pPr>
              <w:spacing w:after="0" w:line="360" w:lineRule="auto"/>
              <w:ind w:firstLine="420"/>
              <w:rPr>
                <w:rFonts w:ascii="方正姚体" w:eastAsia="方正姚体"/>
                <w:szCs w:val="21"/>
              </w:rPr>
            </w:pPr>
          </w:p>
        </w:tc>
        <w:tc>
          <w:tcPr>
            <w:tcW w:w="2268" w:type="dxa"/>
            <w:gridSpan w:val="3"/>
          </w:tcPr>
          <w:p>
            <w:pPr>
              <w:spacing w:after="0" w:line="360" w:lineRule="auto"/>
              <w:ind w:firstLine="361"/>
              <w:rPr>
                <w:rFonts w:ascii="宋体" w:hAnsi="宋体" w:cs="宋体"/>
                <w:sz w:val="18"/>
                <w:szCs w:val="18"/>
              </w:rPr>
            </w:pPr>
            <w:r>
              <w:rPr>
                <w:rFonts w:hint="eastAsia" w:ascii="宋体" w:hAnsi="宋体" w:cs="宋体"/>
                <w:b/>
                <w:sz w:val="18"/>
                <w:szCs w:val="18"/>
              </w:rPr>
              <w:t>资产合计</w:t>
            </w:r>
          </w:p>
        </w:tc>
        <w:tc>
          <w:tcPr>
            <w:tcW w:w="4253" w:type="dxa"/>
            <w:gridSpan w:val="6"/>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436,814,569.78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672" w:type="dxa"/>
            <w:gridSpan w:val="2"/>
            <w:vMerge w:val="continue"/>
            <w:tcBorders>
              <w:left w:val="single" w:color="auto" w:sz="4" w:space="0"/>
            </w:tcBorders>
          </w:tcPr>
          <w:p>
            <w:pPr>
              <w:spacing w:after="0" w:line="360" w:lineRule="auto"/>
              <w:ind w:firstLine="420"/>
              <w:rPr>
                <w:rFonts w:ascii="方正姚体" w:eastAsia="方正姚体"/>
                <w:szCs w:val="21"/>
              </w:rPr>
            </w:pPr>
          </w:p>
        </w:tc>
        <w:tc>
          <w:tcPr>
            <w:tcW w:w="2268" w:type="dxa"/>
            <w:gridSpan w:val="3"/>
          </w:tcPr>
          <w:p>
            <w:pPr>
              <w:spacing w:after="0" w:line="360" w:lineRule="auto"/>
              <w:ind w:firstLine="361"/>
              <w:rPr>
                <w:rFonts w:ascii="宋体" w:hAnsi="宋体" w:cs="宋体"/>
                <w:b/>
                <w:sz w:val="18"/>
                <w:szCs w:val="18"/>
              </w:rPr>
            </w:pPr>
            <w:r>
              <w:rPr>
                <w:rFonts w:hint="eastAsia" w:ascii="宋体" w:hAnsi="宋体" w:cs="宋体"/>
                <w:b/>
                <w:sz w:val="18"/>
                <w:szCs w:val="18"/>
              </w:rPr>
              <w:t>流动负债</w:t>
            </w:r>
          </w:p>
        </w:tc>
        <w:tc>
          <w:tcPr>
            <w:tcW w:w="4253" w:type="dxa"/>
            <w:gridSpan w:val="6"/>
            <w:tcBorders>
              <w:left w:val="single" w:color="auto" w:sz="4" w:space="0"/>
              <w:right w:val="double" w:color="auto" w:sz="12" w:space="0"/>
            </w:tcBorders>
          </w:tcPr>
          <w:p>
            <w:pPr>
              <w:spacing w:after="0" w:line="360" w:lineRule="auto"/>
              <w:ind w:firstLine="360"/>
              <w:jc w:val="center"/>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672" w:type="dxa"/>
            <w:gridSpan w:val="2"/>
            <w:vMerge w:val="continue"/>
            <w:tcBorders>
              <w:left w:val="single" w:color="auto" w:sz="4" w:space="0"/>
            </w:tcBorders>
          </w:tcPr>
          <w:p>
            <w:pPr>
              <w:spacing w:after="0" w:line="360" w:lineRule="auto"/>
              <w:ind w:firstLine="420"/>
              <w:rPr>
                <w:rFonts w:ascii="方正姚体" w:eastAsia="方正姚体"/>
                <w:szCs w:val="21"/>
              </w:rPr>
            </w:pPr>
          </w:p>
        </w:tc>
        <w:tc>
          <w:tcPr>
            <w:tcW w:w="2268" w:type="dxa"/>
            <w:gridSpan w:val="3"/>
          </w:tcPr>
          <w:p>
            <w:pPr>
              <w:spacing w:after="0" w:line="360" w:lineRule="auto"/>
              <w:ind w:firstLine="360"/>
              <w:rPr>
                <w:rFonts w:ascii="宋体" w:hAnsi="宋体" w:cs="宋体"/>
                <w:b/>
                <w:sz w:val="18"/>
                <w:szCs w:val="18"/>
              </w:rPr>
            </w:pPr>
            <w:r>
              <w:rPr>
                <w:rFonts w:hint="eastAsia" w:ascii="宋体" w:hAnsi="宋体" w:cs="宋体"/>
                <w:sz w:val="18"/>
                <w:szCs w:val="18"/>
              </w:rPr>
              <w:t>其中：应付账款</w:t>
            </w:r>
          </w:p>
        </w:tc>
        <w:tc>
          <w:tcPr>
            <w:tcW w:w="4253" w:type="dxa"/>
            <w:gridSpan w:val="6"/>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10,685.00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672" w:type="dxa"/>
            <w:gridSpan w:val="2"/>
            <w:vMerge w:val="continue"/>
            <w:tcBorders>
              <w:left w:val="single" w:color="auto" w:sz="4" w:space="0"/>
            </w:tcBorders>
          </w:tcPr>
          <w:p>
            <w:pPr>
              <w:spacing w:after="0" w:line="360" w:lineRule="auto"/>
              <w:ind w:firstLine="420"/>
              <w:rPr>
                <w:rFonts w:ascii="方正姚体" w:eastAsia="方正姚体"/>
                <w:szCs w:val="21"/>
              </w:rPr>
            </w:pPr>
          </w:p>
        </w:tc>
        <w:tc>
          <w:tcPr>
            <w:tcW w:w="2268" w:type="dxa"/>
            <w:gridSpan w:val="3"/>
          </w:tcPr>
          <w:p>
            <w:pPr>
              <w:spacing w:after="0" w:line="360" w:lineRule="auto"/>
              <w:ind w:firstLine="540" w:firstLineChars="300"/>
              <w:rPr>
                <w:rFonts w:ascii="宋体" w:hAnsi="宋体" w:cs="宋体"/>
                <w:sz w:val="18"/>
                <w:szCs w:val="18"/>
              </w:rPr>
            </w:pPr>
            <w:r>
              <w:rPr>
                <w:rFonts w:hint="eastAsia" w:ascii="宋体" w:hAnsi="宋体" w:cs="宋体"/>
                <w:sz w:val="18"/>
                <w:szCs w:val="18"/>
              </w:rPr>
              <w:t>应交税费</w:t>
            </w:r>
          </w:p>
        </w:tc>
        <w:tc>
          <w:tcPr>
            <w:tcW w:w="4253" w:type="dxa"/>
            <w:gridSpan w:val="6"/>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1,785.42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672" w:type="dxa"/>
            <w:gridSpan w:val="2"/>
            <w:vMerge w:val="continue"/>
            <w:tcBorders>
              <w:left w:val="single" w:color="auto" w:sz="4" w:space="0"/>
            </w:tcBorders>
          </w:tcPr>
          <w:p>
            <w:pPr>
              <w:spacing w:after="0" w:line="360" w:lineRule="auto"/>
              <w:ind w:firstLine="420"/>
              <w:rPr>
                <w:rFonts w:ascii="方正姚体" w:eastAsia="方正姚体"/>
                <w:szCs w:val="21"/>
              </w:rPr>
            </w:pPr>
          </w:p>
        </w:tc>
        <w:tc>
          <w:tcPr>
            <w:tcW w:w="2268" w:type="dxa"/>
            <w:gridSpan w:val="3"/>
          </w:tcPr>
          <w:p>
            <w:pPr>
              <w:spacing w:after="0" w:line="360" w:lineRule="auto"/>
              <w:ind w:firstLine="540" w:firstLineChars="300"/>
              <w:rPr>
                <w:rFonts w:ascii="宋体" w:hAnsi="宋体" w:cs="宋体"/>
                <w:sz w:val="18"/>
                <w:szCs w:val="18"/>
              </w:rPr>
            </w:pPr>
            <w:r>
              <w:rPr>
                <w:rFonts w:hint="eastAsia" w:ascii="宋体" w:hAnsi="宋体" w:cs="宋体"/>
                <w:sz w:val="18"/>
                <w:szCs w:val="18"/>
              </w:rPr>
              <w:t>其他应付款</w:t>
            </w:r>
          </w:p>
        </w:tc>
        <w:tc>
          <w:tcPr>
            <w:tcW w:w="4253" w:type="dxa"/>
            <w:gridSpan w:val="6"/>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211.47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672" w:type="dxa"/>
            <w:gridSpan w:val="2"/>
            <w:vMerge w:val="continue"/>
            <w:tcBorders>
              <w:left w:val="single" w:color="auto" w:sz="4" w:space="0"/>
            </w:tcBorders>
          </w:tcPr>
          <w:p>
            <w:pPr>
              <w:spacing w:after="0" w:line="360" w:lineRule="auto"/>
              <w:ind w:firstLine="420"/>
              <w:rPr>
                <w:rFonts w:ascii="方正姚体" w:eastAsia="方正姚体"/>
                <w:szCs w:val="21"/>
              </w:rPr>
            </w:pPr>
          </w:p>
        </w:tc>
        <w:tc>
          <w:tcPr>
            <w:tcW w:w="2268" w:type="dxa"/>
            <w:gridSpan w:val="3"/>
          </w:tcPr>
          <w:p>
            <w:pPr>
              <w:spacing w:after="0" w:line="360" w:lineRule="auto"/>
              <w:ind w:firstLine="361"/>
              <w:rPr>
                <w:rFonts w:ascii="宋体" w:hAnsi="宋体" w:cs="宋体"/>
                <w:sz w:val="18"/>
                <w:szCs w:val="18"/>
              </w:rPr>
            </w:pPr>
            <w:r>
              <w:rPr>
                <w:rFonts w:hint="eastAsia" w:ascii="宋体" w:hAnsi="宋体" w:cs="宋体"/>
                <w:b/>
                <w:sz w:val="18"/>
                <w:szCs w:val="18"/>
              </w:rPr>
              <w:t>负债合计</w:t>
            </w:r>
          </w:p>
        </w:tc>
        <w:tc>
          <w:tcPr>
            <w:tcW w:w="4253" w:type="dxa"/>
            <w:gridSpan w:val="6"/>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12,681.89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672" w:type="dxa"/>
            <w:gridSpan w:val="2"/>
            <w:vMerge w:val="continue"/>
            <w:tcBorders>
              <w:left w:val="single" w:color="auto" w:sz="4" w:space="0"/>
            </w:tcBorders>
          </w:tcPr>
          <w:p>
            <w:pPr>
              <w:spacing w:after="0" w:line="360" w:lineRule="auto"/>
              <w:ind w:firstLine="420"/>
              <w:rPr>
                <w:rFonts w:ascii="方正姚体" w:eastAsia="方正姚体"/>
                <w:szCs w:val="21"/>
              </w:rPr>
            </w:pPr>
          </w:p>
        </w:tc>
        <w:tc>
          <w:tcPr>
            <w:tcW w:w="2268" w:type="dxa"/>
            <w:gridSpan w:val="3"/>
          </w:tcPr>
          <w:p>
            <w:pPr>
              <w:spacing w:after="0" w:line="360" w:lineRule="auto"/>
              <w:ind w:firstLine="361"/>
              <w:rPr>
                <w:rFonts w:ascii="宋体" w:hAnsi="宋体" w:cs="宋体"/>
                <w:sz w:val="18"/>
                <w:szCs w:val="18"/>
              </w:rPr>
            </w:pPr>
            <w:r>
              <w:rPr>
                <w:rFonts w:hint="eastAsia" w:ascii="宋体" w:hAnsi="宋体" w:cs="宋体"/>
                <w:b/>
                <w:sz w:val="18"/>
                <w:szCs w:val="18"/>
              </w:rPr>
              <w:t>所有者权益</w:t>
            </w:r>
          </w:p>
        </w:tc>
        <w:tc>
          <w:tcPr>
            <w:tcW w:w="4253" w:type="dxa"/>
            <w:gridSpan w:val="6"/>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436,801,887.89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0" w:hRule="atLeast"/>
        </w:trPr>
        <w:tc>
          <w:tcPr>
            <w:tcW w:w="776" w:type="dxa"/>
            <w:vMerge w:val="continue"/>
            <w:tcBorders>
              <w:left w:val="double" w:color="auto" w:sz="12" w:space="0"/>
              <w:right w:val="single" w:color="auto" w:sz="4" w:space="0"/>
            </w:tcBorders>
            <w:vAlign w:val="center"/>
          </w:tcPr>
          <w:p>
            <w:pPr>
              <w:spacing w:after="0" w:line="360" w:lineRule="auto"/>
              <w:ind w:firstLine="422"/>
              <w:jc w:val="center"/>
              <w:rPr>
                <w:rFonts w:ascii="仿宋_GB2312" w:eastAsia="仿宋_GB2312"/>
                <w:b/>
                <w:szCs w:val="21"/>
              </w:rPr>
            </w:pPr>
          </w:p>
        </w:tc>
        <w:tc>
          <w:tcPr>
            <w:tcW w:w="3940" w:type="dxa"/>
            <w:gridSpan w:val="5"/>
            <w:vMerge w:val="restart"/>
            <w:tcBorders>
              <w:left w:val="single" w:color="auto" w:sz="4" w:space="0"/>
            </w:tcBorders>
            <w:vAlign w:val="center"/>
          </w:tcPr>
          <w:p>
            <w:pPr>
              <w:spacing w:after="0" w:line="360" w:lineRule="auto"/>
              <w:ind w:firstLine="422"/>
              <w:jc w:val="center"/>
              <w:rPr>
                <w:rFonts w:ascii="仿宋_GB2312" w:eastAsia="仿宋_GB2312"/>
                <w:b/>
                <w:szCs w:val="21"/>
              </w:rPr>
            </w:pPr>
            <w:r>
              <w:rPr>
                <w:rFonts w:hint="eastAsia" w:ascii="仿宋_GB2312" w:eastAsia="仿宋_GB2312"/>
                <w:b/>
                <w:szCs w:val="21"/>
              </w:rPr>
              <w:t>科目\年度、数据来源</w:t>
            </w:r>
          </w:p>
        </w:tc>
        <w:tc>
          <w:tcPr>
            <w:tcW w:w="4253" w:type="dxa"/>
            <w:gridSpan w:val="6"/>
            <w:tcBorders>
              <w:left w:val="single" w:color="auto" w:sz="4" w:space="0"/>
              <w:bottom w:val="single" w:color="auto" w:sz="4" w:space="0"/>
              <w:right w:val="double" w:color="auto" w:sz="12" w:space="0"/>
            </w:tcBorders>
          </w:tcPr>
          <w:p>
            <w:pPr>
              <w:spacing w:after="0" w:line="360" w:lineRule="auto"/>
              <w:ind w:firstLine="422"/>
              <w:jc w:val="center"/>
              <w:rPr>
                <w:rFonts w:ascii="仿宋_GB2312" w:eastAsia="仿宋_GB2312"/>
                <w:b/>
                <w:szCs w:val="21"/>
              </w:rPr>
            </w:pPr>
            <w:r>
              <w:rPr>
                <w:rFonts w:hint="eastAsia" w:ascii="仿宋_GB2312" w:eastAsia="仿宋_GB2312"/>
                <w:b/>
                <w:szCs w:val="21"/>
              </w:rPr>
              <w:t>2018年1-6月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trPr>
        <w:tc>
          <w:tcPr>
            <w:tcW w:w="776" w:type="dxa"/>
            <w:vMerge w:val="continue"/>
            <w:tcBorders>
              <w:left w:val="double" w:color="auto" w:sz="12" w:space="0"/>
              <w:right w:val="single" w:color="auto" w:sz="4" w:space="0"/>
            </w:tcBorders>
            <w:vAlign w:val="center"/>
          </w:tcPr>
          <w:p>
            <w:pPr>
              <w:spacing w:after="0" w:line="360" w:lineRule="auto"/>
              <w:ind w:firstLine="422"/>
              <w:jc w:val="center"/>
              <w:rPr>
                <w:rFonts w:ascii="仿宋_GB2312" w:eastAsia="仿宋_GB2312"/>
                <w:b/>
                <w:szCs w:val="21"/>
              </w:rPr>
            </w:pPr>
          </w:p>
        </w:tc>
        <w:tc>
          <w:tcPr>
            <w:tcW w:w="3940" w:type="dxa"/>
            <w:gridSpan w:val="5"/>
            <w:vMerge w:val="continue"/>
            <w:tcBorders>
              <w:left w:val="single" w:color="auto" w:sz="4" w:space="0"/>
            </w:tcBorders>
            <w:vAlign w:val="center"/>
          </w:tcPr>
          <w:p>
            <w:pPr>
              <w:spacing w:after="0" w:line="360" w:lineRule="auto"/>
              <w:ind w:firstLine="422"/>
              <w:jc w:val="center"/>
              <w:rPr>
                <w:rFonts w:ascii="仿宋_GB2312" w:eastAsia="仿宋_GB2312"/>
                <w:b/>
                <w:szCs w:val="21"/>
              </w:rPr>
            </w:pPr>
          </w:p>
        </w:tc>
        <w:tc>
          <w:tcPr>
            <w:tcW w:w="4253" w:type="dxa"/>
            <w:gridSpan w:val="6"/>
            <w:tcBorders>
              <w:top w:val="single" w:color="auto" w:sz="4" w:space="0"/>
              <w:left w:val="single" w:color="auto" w:sz="4" w:space="0"/>
              <w:right w:val="double" w:color="auto" w:sz="12" w:space="0"/>
            </w:tcBorders>
            <w:vAlign w:val="center"/>
          </w:tcPr>
          <w:p>
            <w:pPr>
              <w:spacing w:after="0" w:line="360" w:lineRule="auto"/>
              <w:ind w:right="45" w:firstLine="0" w:firstLineChars="0"/>
              <w:jc w:val="center"/>
              <w:rPr>
                <w:rFonts w:ascii="仿宋" w:hAnsi="仿宋" w:eastAsia="仿宋" w:cs="仿宋"/>
                <w:b/>
                <w:sz w:val="18"/>
                <w:szCs w:val="18"/>
              </w:rPr>
            </w:pPr>
            <w:r>
              <w:rPr>
                <w:rFonts w:hint="eastAsia" w:ascii="仿宋" w:hAnsi="仿宋" w:eastAsia="仿宋" w:cs="仿宋"/>
                <w:b/>
                <w:sz w:val="18"/>
                <w:szCs w:val="18"/>
              </w:rPr>
              <w:t>企业报表数据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vAlign w:val="center"/>
          </w:tcPr>
          <w:p>
            <w:pPr>
              <w:spacing w:after="0" w:line="360" w:lineRule="auto"/>
              <w:ind w:firstLine="420"/>
              <w:jc w:val="center"/>
              <w:rPr>
                <w:rFonts w:ascii="方正姚体" w:eastAsia="方正姚体"/>
                <w:szCs w:val="21"/>
              </w:rPr>
            </w:pPr>
          </w:p>
        </w:tc>
        <w:tc>
          <w:tcPr>
            <w:tcW w:w="1980" w:type="dxa"/>
            <w:gridSpan w:val="3"/>
            <w:vMerge w:val="restart"/>
            <w:tcBorders>
              <w:left w:val="single" w:color="auto" w:sz="4" w:space="0"/>
            </w:tcBorders>
            <w:vAlign w:val="center"/>
          </w:tcPr>
          <w:p>
            <w:pPr>
              <w:spacing w:after="0" w:line="360" w:lineRule="auto"/>
              <w:ind w:firstLine="219" w:firstLineChars="104"/>
              <w:jc w:val="left"/>
              <w:rPr>
                <w:rFonts w:ascii="方正姚体" w:eastAsia="方正姚体"/>
                <w:b/>
                <w:szCs w:val="21"/>
              </w:rPr>
            </w:pPr>
            <w:r>
              <w:rPr>
                <w:rFonts w:hint="eastAsia" w:ascii="方正姚体" w:eastAsia="方正姚体"/>
                <w:b/>
                <w:szCs w:val="21"/>
              </w:rPr>
              <w:t>利 润 表</w:t>
            </w:r>
          </w:p>
          <w:p>
            <w:pPr>
              <w:spacing w:after="0" w:line="360" w:lineRule="auto"/>
              <w:ind w:firstLine="256" w:firstLineChars="122"/>
              <w:rPr>
                <w:rFonts w:ascii="方正姚体" w:eastAsia="方正姚体"/>
                <w:szCs w:val="21"/>
              </w:rPr>
            </w:pPr>
          </w:p>
        </w:tc>
        <w:tc>
          <w:tcPr>
            <w:tcW w:w="1960" w:type="dxa"/>
            <w:gridSpan w:val="2"/>
          </w:tcPr>
          <w:p>
            <w:pPr>
              <w:spacing w:after="0" w:line="360" w:lineRule="auto"/>
              <w:ind w:firstLine="360"/>
              <w:rPr>
                <w:rFonts w:ascii="宋体" w:hAnsi="宋体" w:cs="宋体"/>
                <w:sz w:val="18"/>
                <w:szCs w:val="18"/>
              </w:rPr>
            </w:pPr>
            <w:r>
              <w:rPr>
                <w:rFonts w:hint="eastAsia" w:ascii="宋体" w:hAnsi="宋体" w:cs="宋体"/>
                <w:sz w:val="18"/>
                <w:szCs w:val="18"/>
              </w:rPr>
              <w:t>主营业务利润</w:t>
            </w:r>
          </w:p>
        </w:tc>
        <w:tc>
          <w:tcPr>
            <w:tcW w:w="4253" w:type="dxa"/>
            <w:gridSpan w:val="6"/>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980" w:type="dxa"/>
            <w:gridSpan w:val="3"/>
            <w:vMerge w:val="continue"/>
            <w:tcBorders>
              <w:left w:val="single" w:color="auto" w:sz="4" w:space="0"/>
            </w:tcBorders>
          </w:tcPr>
          <w:p>
            <w:pPr>
              <w:spacing w:after="0" w:line="360" w:lineRule="auto"/>
              <w:ind w:firstLine="420"/>
              <w:rPr>
                <w:rFonts w:ascii="方正姚体" w:eastAsia="方正姚体"/>
                <w:szCs w:val="21"/>
              </w:rPr>
            </w:pPr>
          </w:p>
        </w:tc>
        <w:tc>
          <w:tcPr>
            <w:tcW w:w="1960" w:type="dxa"/>
            <w:gridSpan w:val="2"/>
          </w:tcPr>
          <w:p>
            <w:pPr>
              <w:spacing w:after="0" w:line="360" w:lineRule="auto"/>
              <w:ind w:firstLine="360"/>
              <w:rPr>
                <w:rFonts w:ascii="宋体" w:hAnsi="宋体" w:cs="宋体"/>
                <w:sz w:val="18"/>
                <w:szCs w:val="18"/>
              </w:rPr>
            </w:pPr>
            <w:r>
              <w:rPr>
                <w:rFonts w:hint="eastAsia" w:ascii="宋体" w:hAnsi="宋体" w:cs="宋体"/>
                <w:sz w:val="18"/>
                <w:szCs w:val="18"/>
              </w:rPr>
              <w:t>营业利润</w:t>
            </w:r>
          </w:p>
        </w:tc>
        <w:tc>
          <w:tcPr>
            <w:tcW w:w="4253" w:type="dxa"/>
            <w:gridSpan w:val="6"/>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-9,196,863.88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980" w:type="dxa"/>
            <w:gridSpan w:val="3"/>
            <w:vMerge w:val="continue"/>
            <w:tcBorders>
              <w:left w:val="single" w:color="auto" w:sz="4" w:space="0"/>
            </w:tcBorders>
          </w:tcPr>
          <w:p>
            <w:pPr>
              <w:spacing w:after="0" w:line="360" w:lineRule="auto"/>
              <w:ind w:firstLine="420"/>
              <w:rPr>
                <w:rFonts w:ascii="方正姚体" w:eastAsia="方正姚体"/>
                <w:szCs w:val="21"/>
              </w:rPr>
            </w:pPr>
          </w:p>
        </w:tc>
        <w:tc>
          <w:tcPr>
            <w:tcW w:w="1960" w:type="dxa"/>
            <w:gridSpan w:val="2"/>
          </w:tcPr>
          <w:p>
            <w:pPr>
              <w:spacing w:after="0" w:line="360" w:lineRule="auto"/>
              <w:ind w:firstLine="360"/>
              <w:rPr>
                <w:rFonts w:ascii="宋体" w:hAnsi="宋体" w:cs="宋体"/>
                <w:sz w:val="18"/>
                <w:szCs w:val="18"/>
              </w:rPr>
            </w:pPr>
            <w:r>
              <w:rPr>
                <w:rFonts w:hint="eastAsia" w:ascii="宋体" w:hAnsi="宋体" w:cs="宋体"/>
                <w:sz w:val="18"/>
                <w:szCs w:val="18"/>
              </w:rPr>
              <w:t>投资收益</w:t>
            </w:r>
          </w:p>
        </w:tc>
        <w:tc>
          <w:tcPr>
            <w:tcW w:w="4253" w:type="dxa"/>
            <w:gridSpan w:val="6"/>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980" w:type="dxa"/>
            <w:gridSpan w:val="3"/>
            <w:vMerge w:val="continue"/>
            <w:tcBorders>
              <w:left w:val="single" w:color="auto" w:sz="4" w:space="0"/>
            </w:tcBorders>
          </w:tcPr>
          <w:p>
            <w:pPr>
              <w:spacing w:after="0" w:line="360" w:lineRule="auto"/>
              <w:ind w:firstLine="420"/>
              <w:rPr>
                <w:rFonts w:ascii="方正姚体" w:eastAsia="方正姚体"/>
                <w:szCs w:val="21"/>
              </w:rPr>
            </w:pPr>
          </w:p>
        </w:tc>
        <w:tc>
          <w:tcPr>
            <w:tcW w:w="1960" w:type="dxa"/>
            <w:gridSpan w:val="2"/>
          </w:tcPr>
          <w:p>
            <w:pPr>
              <w:spacing w:after="0" w:line="360" w:lineRule="auto"/>
              <w:ind w:firstLine="360"/>
              <w:rPr>
                <w:rFonts w:ascii="宋体" w:hAnsi="宋体" w:cs="宋体"/>
                <w:sz w:val="18"/>
                <w:szCs w:val="18"/>
              </w:rPr>
            </w:pPr>
            <w:r>
              <w:rPr>
                <w:rFonts w:hint="eastAsia" w:ascii="宋体" w:hAnsi="宋体" w:cs="宋体"/>
                <w:sz w:val="18"/>
                <w:szCs w:val="18"/>
              </w:rPr>
              <w:t>营业外收支净额</w:t>
            </w:r>
          </w:p>
        </w:tc>
        <w:tc>
          <w:tcPr>
            <w:tcW w:w="4253" w:type="dxa"/>
            <w:gridSpan w:val="6"/>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方正姚体" w:eastAsia="方正姚体"/>
                <w:szCs w:val="21"/>
              </w:rPr>
            </w:pPr>
          </w:p>
        </w:tc>
        <w:tc>
          <w:tcPr>
            <w:tcW w:w="1980" w:type="dxa"/>
            <w:gridSpan w:val="3"/>
            <w:vMerge w:val="continue"/>
            <w:tcBorders>
              <w:left w:val="single" w:color="auto" w:sz="4" w:space="0"/>
            </w:tcBorders>
          </w:tcPr>
          <w:p>
            <w:pPr>
              <w:spacing w:after="0" w:line="360" w:lineRule="auto"/>
              <w:ind w:firstLine="420"/>
              <w:rPr>
                <w:rFonts w:ascii="方正姚体" w:eastAsia="方正姚体"/>
                <w:szCs w:val="21"/>
              </w:rPr>
            </w:pPr>
          </w:p>
        </w:tc>
        <w:tc>
          <w:tcPr>
            <w:tcW w:w="1960" w:type="dxa"/>
            <w:gridSpan w:val="2"/>
          </w:tcPr>
          <w:p>
            <w:pPr>
              <w:spacing w:after="0" w:line="360" w:lineRule="auto"/>
              <w:ind w:firstLine="360"/>
              <w:rPr>
                <w:rFonts w:ascii="宋体" w:hAnsi="宋体" w:cs="宋体"/>
                <w:sz w:val="18"/>
                <w:szCs w:val="18"/>
              </w:rPr>
            </w:pPr>
            <w:r>
              <w:rPr>
                <w:rFonts w:hint="eastAsia" w:ascii="宋体" w:hAnsi="宋体" w:cs="宋体"/>
                <w:sz w:val="18"/>
                <w:szCs w:val="18"/>
              </w:rPr>
              <w:t>利润总额</w:t>
            </w:r>
          </w:p>
        </w:tc>
        <w:tc>
          <w:tcPr>
            <w:tcW w:w="4253" w:type="dxa"/>
            <w:gridSpan w:val="6"/>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-9,196,863.88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76" w:type="dxa"/>
            <w:vMerge w:val="continue"/>
            <w:tcBorders>
              <w:left w:val="double" w:color="auto" w:sz="12" w:space="0"/>
              <w:right w:val="single" w:color="auto" w:sz="4" w:space="0"/>
            </w:tcBorders>
          </w:tcPr>
          <w:p>
            <w:pPr>
              <w:spacing w:after="0" w:line="360" w:lineRule="auto"/>
              <w:ind w:firstLine="420"/>
              <w:rPr>
                <w:rFonts w:ascii="仿宋_GB2312" w:eastAsia="仿宋_GB2312"/>
                <w:szCs w:val="21"/>
              </w:rPr>
            </w:pPr>
          </w:p>
        </w:tc>
        <w:tc>
          <w:tcPr>
            <w:tcW w:w="1980" w:type="dxa"/>
            <w:gridSpan w:val="3"/>
            <w:vMerge w:val="continue"/>
            <w:tcBorders>
              <w:left w:val="single" w:color="auto" w:sz="4" w:space="0"/>
            </w:tcBorders>
          </w:tcPr>
          <w:p>
            <w:pPr>
              <w:spacing w:after="0" w:line="360" w:lineRule="auto"/>
              <w:ind w:firstLine="420"/>
              <w:rPr>
                <w:rFonts w:ascii="仿宋_GB2312" w:eastAsia="仿宋_GB2312"/>
                <w:szCs w:val="21"/>
              </w:rPr>
            </w:pPr>
          </w:p>
        </w:tc>
        <w:tc>
          <w:tcPr>
            <w:tcW w:w="1960" w:type="dxa"/>
            <w:gridSpan w:val="2"/>
          </w:tcPr>
          <w:p>
            <w:pPr>
              <w:spacing w:after="0" w:line="360" w:lineRule="auto"/>
              <w:ind w:firstLine="360"/>
              <w:rPr>
                <w:rFonts w:ascii="宋体" w:hAnsi="宋体" w:cs="宋体"/>
                <w:sz w:val="18"/>
                <w:szCs w:val="18"/>
              </w:rPr>
            </w:pPr>
            <w:r>
              <w:rPr>
                <w:rFonts w:hint="eastAsia" w:ascii="宋体" w:hAnsi="宋体" w:cs="宋体"/>
                <w:sz w:val="18"/>
                <w:szCs w:val="18"/>
              </w:rPr>
              <w:t>净利润</w:t>
            </w:r>
          </w:p>
        </w:tc>
        <w:tc>
          <w:tcPr>
            <w:tcW w:w="4253" w:type="dxa"/>
            <w:gridSpan w:val="6"/>
            <w:tcBorders>
              <w:left w:val="single" w:color="auto" w:sz="4" w:space="0"/>
              <w:right w:val="double" w:color="auto" w:sz="12" w:space="0"/>
            </w:tcBorders>
          </w:tcPr>
          <w:p>
            <w:pPr>
              <w:spacing w:after="0" w:line="360" w:lineRule="auto"/>
              <w:ind w:firstLine="360"/>
              <w:jc w:val="center"/>
              <w:rPr>
                <w:rFonts w:ascii="宋体" w:hAnsi="宋体" w:cs="宋体"/>
                <w:sz w:val="18"/>
                <w:szCs w:val="18"/>
              </w:rPr>
            </w:pPr>
            <w:r>
              <w:rPr>
                <w:rFonts w:hint="eastAsia" w:ascii="宋体" w:hAnsi="宋体" w:cs="宋体"/>
                <w:sz w:val="18"/>
                <w:szCs w:val="18"/>
              </w:rPr>
              <w:t>-9,196,863.88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trPr>
        <w:tc>
          <w:tcPr>
            <w:tcW w:w="1260" w:type="dxa"/>
            <w:gridSpan w:val="2"/>
            <w:vMerge w:val="restart"/>
            <w:tcBorders>
              <w:left w:val="double" w:color="auto" w:sz="12" w:space="0"/>
            </w:tcBorders>
            <w:vAlign w:val="center"/>
          </w:tcPr>
          <w:p>
            <w:pPr>
              <w:spacing w:after="0" w:line="360" w:lineRule="auto"/>
              <w:ind w:firstLine="0" w:firstLineChars="0"/>
              <w:rPr>
                <w:rFonts w:ascii="仿宋_GB2312" w:hAnsi="宋体" w:eastAsia="仿宋_GB2312"/>
                <w:b/>
                <w:sz w:val="24"/>
              </w:rPr>
            </w:pPr>
            <w:r>
              <w:rPr>
                <w:rFonts w:hint="eastAsia" w:ascii="仿宋_GB2312" w:hAnsi="宋体" w:eastAsia="仿宋_GB2312"/>
                <w:b/>
                <w:sz w:val="24"/>
              </w:rPr>
              <w:t>中介机构</w:t>
            </w:r>
          </w:p>
        </w:tc>
        <w:tc>
          <w:tcPr>
            <w:tcW w:w="3420" w:type="dxa"/>
            <w:gridSpan w:val="3"/>
            <w:vAlign w:val="center"/>
          </w:tcPr>
          <w:p>
            <w:pPr>
              <w:spacing w:after="0" w:line="360" w:lineRule="auto"/>
              <w:ind w:firstLine="361"/>
              <w:jc w:val="center"/>
              <w:rPr>
                <w:rFonts w:ascii="仿宋_GB2312" w:eastAsia="仿宋_GB2312"/>
                <w:b/>
                <w:sz w:val="18"/>
                <w:szCs w:val="18"/>
              </w:rPr>
            </w:pPr>
            <w:r>
              <w:rPr>
                <w:rFonts w:hint="eastAsia" w:ascii="仿宋_GB2312" w:eastAsia="仿宋_GB2312"/>
                <w:b/>
                <w:sz w:val="18"/>
                <w:szCs w:val="18"/>
              </w:rPr>
              <w:t>会 计 师 事 务 所</w:t>
            </w:r>
          </w:p>
        </w:tc>
        <w:tc>
          <w:tcPr>
            <w:tcW w:w="4289" w:type="dxa"/>
            <w:gridSpan w:val="7"/>
            <w:tcBorders>
              <w:right w:val="double" w:color="auto" w:sz="12" w:space="0"/>
            </w:tcBorders>
            <w:vAlign w:val="center"/>
          </w:tcPr>
          <w:p>
            <w:pPr>
              <w:spacing w:after="0" w:line="360" w:lineRule="auto"/>
              <w:ind w:firstLine="361"/>
              <w:jc w:val="center"/>
              <w:rPr>
                <w:rFonts w:ascii="仿宋_GB2312" w:eastAsia="仿宋_GB2312"/>
                <w:szCs w:val="21"/>
              </w:rPr>
            </w:pPr>
            <w:r>
              <w:rPr>
                <w:rFonts w:hint="eastAsia" w:ascii="仿宋_GB2312" w:eastAsia="仿宋_GB2312"/>
                <w:b/>
                <w:sz w:val="18"/>
                <w:szCs w:val="18"/>
              </w:rPr>
              <w:t>中兴财光华会计师事务所（特殊普通合伙）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trPr>
        <w:tc>
          <w:tcPr>
            <w:tcW w:w="1260" w:type="dxa"/>
            <w:gridSpan w:val="2"/>
            <w:vMerge w:val="continue"/>
            <w:tcBorders>
              <w:left w:val="double" w:color="auto" w:sz="12" w:space="0"/>
              <w:bottom w:val="double" w:color="auto" w:sz="12" w:space="0"/>
            </w:tcBorders>
            <w:vAlign w:val="center"/>
          </w:tcPr>
          <w:p>
            <w:pPr>
              <w:spacing w:after="0" w:line="360" w:lineRule="auto"/>
              <w:ind w:firstLine="482"/>
              <w:jc w:val="center"/>
              <w:rPr>
                <w:rFonts w:ascii="仿宋_GB2312" w:hAnsi="宋体" w:eastAsia="仿宋_GB2312"/>
                <w:b/>
                <w:sz w:val="24"/>
              </w:rPr>
            </w:pPr>
          </w:p>
        </w:tc>
        <w:tc>
          <w:tcPr>
            <w:tcW w:w="3420" w:type="dxa"/>
            <w:gridSpan w:val="3"/>
            <w:tcBorders>
              <w:bottom w:val="double" w:color="auto" w:sz="12" w:space="0"/>
            </w:tcBorders>
            <w:vAlign w:val="center"/>
          </w:tcPr>
          <w:p>
            <w:pPr>
              <w:spacing w:after="0" w:line="360" w:lineRule="auto"/>
              <w:ind w:firstLine="361"/>
              <w:jc w:val="center"/>
              <w:rPr>
                <w:rFonts w:ascii="仿宋_GB2312" w:eastAsia="仿宋_GB2312"/>
                <w:b/>
                <w:sz w:val="18"/>
                <w:szCs w:val="18"/>
              </w:rPr>
            </w:pPr>
            <w:r>
              <w:rPr>
                <w:rFonts w:hint="eastAsia" w:ascii="仿宋_GB2312" w:eastAsia="仿宋_GB2312"/>
                <w:b/>
                <w:sz w:val="18"/>
                <w:szCs w:val="18"/>
              </w:rPr>
              <w:t>评 估 事 务 所</w:t>
            </w:r>
          </w:p>
        </w:tc>
        <w:tc>
          <w:tcPr>
            <w:tcW w:w="4289" w:type="dxa"/>
            <w:gridSpan w:val="7"/>
            <w:tcBorders>
              <w:bottom w:val="double" w:color="auto" w:sz="12" w:space="0"/>
              <w:right w:val="double" w:color="auto" w:sz="12" w:space="0"/>
            </w:tcBorders>
            <w:vAlign w:val="center"/>
          </w:tcPr>
          <w:p>
            <w:pPr>
              <w:spacing w:after="0" w:line="360" w:lineRule="auto"/>
              <w:ind w:firstLine="361"/>
              <w:jc w:val="center"/>
              <w:rPr>
                <w:rFonts w:ascii="仿宋_GB2312" w:eastAsia="仿宋_GB2312"/>
                <w:szCs w:val="21"/>
              </w:rPr>
            </w:pPr>
            <w:r>
              <w:rPr>
                <w:rFonts w:hint="eastAsia" w:ascii="仿宋_GB2312" w:eastAsia="仿宋_GB2312"/>
                <w:b/>
                <w:sz w:val="18"/>
                <w:szCs w:val="18"/>
              </w:rPr>
              <w:t>中京民信（北京）资产评估有限公司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trPr>
        <w:tc>
          <w:tcPr>
            <w:tcW w:w="1260" w:type="dxa"/>
            <w:gridSpan w:val="2"/>
            <w:vMerge w:val="restart"/>
            <w:tcBorders>
              <w:top w:val="double" w:color="auto" w:sz="12" w:space="0"/>
              <w:left w:val="double" w:color="auto" w:sz="12" w:space="0"/>
            </w:tcBorders>
            <w:vAlign w:val="center"/>
          </w:tcPr>
          <w:p>
            <w:pPr>
              <w:spacing w:after="0" w:line="360" w:lineRule="auto"/>
              <w:ind w:firstLine="482"/>
              <w:jc w:val="center"/>
              <w:rPr>
                <w:rFonts w:ascii="仿宋_GB2312" w:hAnsi="宋体" w:eastAsia="仿宋_GB2312"/>
                <w:b/>
                <w:sz w:val="24"/>
              </w:rPr>
            </w:pPr>
          </w:p>
          <w:p>
            <w:pPr>
              <w:spacing w:after="0" w:line="360" w:lineRule="auto"/>
              <w:ind w:firstLine="0" w:firstLineChars="0"/>
              <w:rPr>
                <w:rFonts w:ascii="仿宋_GB2312" w:hAnsi="宋体" w:eastAsia="仿宋_GB2312"/>
                <w:b/>
                <w:sz w:val="24"/>
              </w:rPr>
            </w:pPr>
            <w:r>
              <w:rPr>
                <w:rFonts w:hint="eastAsia" w:ascii="仿宋_GB2312" w:hAnsi="宋体" w:eastAsia="仿宋_GB2312"/>
                <w:b/>
                <w:sz w:val="24"/>
              </w:rPr>
              <w:t>资产评估核准或备案情况</w:t>
            </w:r>
          </w:p>
        </w:tc>
        <w:tc>
          <w:tcPr>
            <w:tcW w:w="3420" w:type="dxa"/>
            <w:gridSpan w:val="3"/>
            <w:tcBorders>
              <w:top w:val="double" w:color="auto" w:sz="12" w:space="0"/>
            </w:tcBorders>
            <w:vAlign w:val="center"/>
          </w:tcPr>
          <w:p>
            <w:pPr>
              <w:spacing w:after="0" w:line="360" w:lineRule="auto"/>
              <w:ind w:firstLine="361"/>
              <w:jc w:val="center"/>
              <w:rPr>
                <w:rFonts w:ascii="仿宋_GB2312" w:eastAsia="仿宋_GB2312"/>
                <w:b/>
                <w:i/>
                <w:sz w:val="18"/>
                <w:szCs w:val="18"/>
              </w:rPr>
            </w:pPr>
            <w:r>
              <w:rPr>
                <w:rFonts w:hint="eastAsia" w:ascii="仿宋_GB2312" w:eastAsia="仿宋_GB2312"/>
                <w:b/>
                <w:i/>
                <w:sz w:val="18"/>
                <w:szCs w:val="18"/>
              </w:rPr>
              <w:t>帐面值（万元）</w:t>
            </w:r>
          </w:p>
        </w:tc>
        <w:tc>
          <w:tcPr>
            <w:tcW w:w="360" w:type="dxa"/>
            <w:gridSpan w:val="2"/>
            <w:vMerge w:val="restart"/>
            <w:tcBorders>
              <w:top w:val="double" w:color="auto" w:sz="12" w:space="0"/>
            </w:tcBorders>
            <w:vAlign w:val="center"/>
          </w:tcPr>
          <w:p>
            <w:pPr>
              <w:spacing w:after="0" w:line="360" w:lineRule="auto"/>
              <w:ind w:firstLine="0" w:firstLineChars="0"/>
              <w:rPr>
                <w:rFonts w:ascii="仿宋_GB2312" w:eastAsia="仿宋_GB2312"/>
                <w:sz w:val="18"/>
                <w:szCs w:val="18"/>
              </w:rPr>
            </w:pPr>
            <w:r>
              <w:rPr>
                <w:rFonts w:hint="eastAsia" w:ascii="仿宋_GB2312" w:eastAsia="仿宋_GB2312"/>
                <w:sz w:val="18"/>
                <w:szCs w:val="18"/>
              </w:rPr>
              <w:t>资产</w:t>
            </w:r>
          </w:p>
        </w:tc>
        <w:tc>
          <w:tcPr>
            <w:tcW w:w="952" w:type="dxa"/>
            <w:tcBorders>
              <w:top w:val="double" w:color="auto" w:sz="12" w:space="0"/>
            </w:tcBorders>
            <w:vAlign w:val="center"/>
          </w:tcPr>
          <w:p>
            <w:pPr>
              <w:spacing w:after="0" w:line="360" w:lineRule="auto"/>
              <w:ind w:firstLine="0" w:firstLineChars="0"/>
              <w:rPr>
                <w:rFonts w:ascii="宋体" w:hAnsi="宋体" w:cs="宋体"/>
                <w:szCs w:val="21"/>
              </w:rPr>
            </w:pPr>
            <w:r>
              <w:rPr>
                <w:sz w:val="18"/>
                <w:szCs w:val="18"/>
              </w:rPr>
              <w:t>43681.46</w:t>
            </w:r>
          </w:p>
        </w:tc>
        <w:tc>
          <w:tcPr>
            <w:tcW w:w="488" w:type="dxa"/>
            <w:vMerge w:val="restart"/>
            <w:tcBorders>
              <w:top w:val="double" w:color="auto" w:sz="12" w:space="0"/>
            </w:tcBorders>
            <w:vAlign w:val="center"/>
          </w:tcPr>
          <w:p>
            <w:pPr>
              <w:spacing w:after="0" w:line="360" w:lineRule="auto"/>
              <w:ind w:firstLine="0" w:firstLineChars="0"/>
              <w:rPr>
                <w:rFonts w:ascii="仿宋_GB2312" w:eastAsia="仿宋_GB2312"/>
                <w:sz w:val="18"/>
                <w:szCs w:val="18"/>
              </w:rPr>
            </w:pPr>
            <w:r>
              <w:rPr>
                <w:rFonts w:hint="eastAsia" w:ascii="仿宋_GB2312" w:eastAsia="仿宋_GB2312"/>
                <w:sz w:val="18"/>
                <w:szCs w:val="18"/>
              </w:rPr>
              <w:t>负债</w:t>
            </w:r>
          </w:p>
        </w:tc>
        <w:tc>
          <w:tcPr>
            <w:tcW w:w="930" w:type="dxa"/>
            <w:tcBorders>
              <w:top w:val="double" w:color="auto" w:sz="12" w:space="0"/>
            </w:tcBorders>
            <w:vAlign w:val="center"/>
          </w:tcPr>
          <w:p>
            <w:pPr>
              <w:spacing w:after="0" w:line="360" w:lineRule="auto"/>
              <w:ind w:firstLine="0" w:firstLineChars="0"/>
              <w:rPr>
                <w:rFonts w:ascii="宋体" w:hAnsi="宋体" w:cs="宋体"/>
                <w:szCs w:val="21"/>
              </w:rPr>
            </w:pPr>
            <w:r>
              <w:rPr>
                <w:rFonts w:hint="eastAsia"/>
                <w:sz w:val="18"/>
                <w:szCs w:val="18"/>
              </w:rPr>
              <w:t>1.27</w:t>
            </w:r>
          </w:p>
        </w:tc>
        <w:tc>
          <w:tcPr>
            <w:tcW w:w="425" w:type="dxa"/>
            <w:vMerge w:val="restart"/>
            <w:tcBorders>
              <w:top w:val="double" w:color="auto" w:sz="12" w:space="0"/>
            </w:tcBorders>
            <w:vAlign w:val="center"/>
          </w:tcPr>
          <w:p>
            <w:pPr>
              <w:spacing w:after="0" w:line="360" w:lineRule="auto"/>
              <w:ind w:firstLine="0" w:firstLineChars="0"/>
              <w:rPr>
                <w:rFonts w:ascii="仿宋_GB2312" w:eastAsia="仿宋_GB2312"/>
                <w:sz w:val="18"/>
                <w:szCs w:val="18"/>
              </w:rPr>
            </w:pPr>
            <w:r>
              <w:rPr>
                <w:rFonts w:hint="eastAsia" w:ascii="仿宋_GB2312" w:eastAsia="仿宋_GB2312"/>
                <w:sz w:val="18"/>
                <w:szCs w:val="18"/>
              </w:rPr>
              <w:t>净资产</w:t>
            </w:r>
          </w:p>
        </w:tc>
        <w:tc>
          <w:tcPr>
            <w:tcW w:w="1134" w:type="dxa"/>
            <w:tcBorders>
              <w:top w:val="double" w:color="auto" w:sz="12" w:space="0"/>
              <w:right w:val="double" w:color="auto" w:sz="12" w:space="0"/>
            </w:tcBorders>
            <w:vAlign w:val="center"/>
          </w:tcPr>
          <w:p>
            <w:pPr>
              <w:spacing w:after="0" w:line="360" w:lineRule="auto"/>
              <w:ind w:firstLine="0" w:firstLineChars="0"/>
              <w:rPr>
                <w:rFonts w:ascii="宋体" w:hAnsi="宋体" w:cs="宋体"/>
                <w:szCs w:val="21"/>
              </w:rPr>
            </w:pPr>
            <w:r>
              <w:rPr>
                <w:sz w:val="18"/>
                <w:szCs w:val="18"/>
              </w:rPr>
              <w:t>43680.18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1260" w:type="dxa"/>
            <w:gridSpan w:val="2"/>
            <w:vMerge w:val="continue"/>
            <w:tcBorders>
              <w:left w:val="double" w:color="auto" w:sz="12" w:space="0"/>
            </w:tcBorders>
            <w:vAlign w:val="center"/>
          </w:tcPr>
          <w:p>
            <w:pPr>
              <w:spacing w:after="0" w:line="360" w:lineRule="auto"/>
              <w:ind w:firstLine="482"/>
              <w:jc w:val="center"/>
              <w:rPr>
                <w:rFonts w:ascii="仿宋_GB2312" w:hAnsi="宋体" w:eastAsia="仿宋_GB2312"/>
                <w:b/>
                <w:sz w:val="24"/>
              </w:rPr>
            </w:pPr>
          </w:p>
        </w:tc>
        <w:tc>
          <w:tcPr>
            <w:tcW w:w="3420" w:type="dxa"/>
            <w:gridSpan w:val="3"/>
            <w:vAlign w:val="center"/>
          </w:tcPr>
          <w:p>
            <w:pPr>
              <w:spacing w:after="0" w:line="360" w:lineRule="auto"/>
              <w:ind w:firstLine="361"/>
              <w:jc w:val="center"/>
              <w:rPr>
                <w:rFonts w:ascii="仿宋_GB2312" w:eastAsia="仿宋_GB2312"/>
                <w:b/>
                <w:sz w:val="18"/>
                <w:szCs w:val="18"/>
              </w:rPr>
            </w:pPr>
            <w:r>
              <w:rPr>
                <w:rFonts w:hint="eastAsia" w:ascii="仿宋_GB2312" w:eastAsia="仿宋_GB2312"/>
                <w:b/>
                <w:sz w:val="18"/>
                <w:szCs w:val="18"/>
              </w:rPr>
              <w:t>评估结果（万元）</w:t>
            </w:r>
          </w:p>
        </w:tc>
        <w:tc>
          <w:tcPr>
            <w:tcW w:w="360" w:type="dxa"/>
            <w:gridSpan w:val="2"/>
            <w:vMerge w:val="continue"/>
            <w:vAlign w:val="center"/>
          </w:tcPr>
          <w:p>
            <w:pPr>
              <w:spacing w:after="0" w:line="360" w:lineRule="auto"/>
              <w:ind w:firstLine="360"/>
              <w:jc w:val="center"/>
              <w:rPr>
                <w:rFonts w:ascii="方正姚体" w:eastAsia="方正姚体"/>
                <w:sz w:val="18"/>
                <w:szCs w:val="18"/>
              </w:rPr>
            </w:pPr>
          </w:p>
        </w:tc>
        <w:tc>
          <w:tcPr>
            <w:tcW w:w="952" w:type="dxa"/>
            <w:vAlign w:val="center"/>
          </w:tcPr>
          <w:p>
            <w:pPr>
              <w:spacing w:after="0" w:line="360" w:lineRule="auto"/>
              <w:ind w:firstLine="0" w:firstLineChars="0"/>
              <w:rPr>
                <w:rFonts w:ascii="宋体" w:hAnsi="宋体" w:cs="宋体"/>
                <w:szCs w:val="21"/>
              </w:rPr>
            </w:pPr>
          </w:p>
        </w:tc>
        <w:tc>
          <w:tcPr>
            <w:tcW w:w="488" w:type="dxa"/>
            <w:vMerge w:val="continue"/>
            <w:vAlign w:val="center"/>
          </w:tcPr>
          <w:p>
            <w:pPr>
              <w:spacing w:after="0" w:line="360" w:lineRule="auto"/>
              <w:ind w:firstLine="360"/>
              <w:jc w:val="center"/>
              <w:rPr>
                <w:rFonts w:ascii="方正姚体" w:eastAsia="方正姚体"/>
                <w:sz w:val="18"/>
                <w:szCs w:val="18"/>
              </w:rPr>
            </w:pPr>
          </w:p>
        </w:tc>
        <w:tc>
          <w:tcPr>
            <w:tcW w:w="930" w:type="dxa"/>
            <w:vAlign w:val="center"/>
          </w:tcPr>
          <w:p>
            <w:pPr>
              <w:spacing w:after="0" w:line="360" w:lineRule="auto"/>
              <w:ind w:firstLine="0" w:firstLineChars="0"/>
              <w:rPr>
                <w:rFonts w:ascii="宋体" w:hAnsi="宋体" w:cs="宋体"/>
                <w:szCs w:val="21"/>
              </w:rPr>
            </w:pPr>
          </w:p>
        </w:tc>
        <w:tc>
          <w:tcPr>
            <w:tcW w:w="425" w:type="dxa"/>
            <w:vMerge w:val="continue"/>
            <w:vAlign w:val="center"/>
          </w:tcPr>
          <w:p>
            <w:pPr>
              <w:spacing w:after="0" w:line="360" w:lineRule="auto"/>
              <w:ind w:firstLine="360"/>
              <w:jc w:val="center"/>
              <w:rPr>
                <w:rFonts w:ascii="方正姚体" w:eastAsia="方正姚体"/>
                <w:sz w:val="18"/>
                <w:szCs w:val="18"/>
              </w:rPr>
            </w:pPr>
          </w:p>
        </w:tc>
        <w:tc>
          <w:tcPr>
            <w:tcW w:w="1134" w:type="dxa"/>
            <w:tcBorders>
              <w:right w:val="double" w:color="auto" w:sz="12" w:space="0"/>
            </w:tcBorders>
            <w:vAlign w:val="center"/>
          </w:tcPr>
          <w:p>
            <w:pPr>
              <w:spacing w:after="0" w:line="360" w:lineRule="auto"/>
              <w:ind w:firstLine="0" w:firstLineChars="0"/>
              <w:rPr>
                <w:rFonts w:ascii="宋体" w:hAnsi="宋体" w:cs="宋体"/>
                <w:szCs w:val="21"/>
              </w:rPr>
            </w:pPr>
            <w:r>
              <w:rPr>
                <w:sz w:val="18"/>
                <w:szCs w:val="18"/>
              </w:rPr>
              <w:t>68364.20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trPr>
        <w:tc>
          <w:tcPr>
            <w:tcW w:w="1260" w:type="dxa"/>
            <w:gridSpan w:val="2"/>
            <w:vMerge w:val="continue"/>
            <w:tcBorders>
              <w:left w:val="double" w:color="auto" w:sz="12" w:space="0"/>
            </w:tcBorders>
            <w:vAlign w:val="center"/>
          </w:tcPr>
          <w:p>
            <w:pPr>
              <w:spacing w:after="0" w:line="360" w:lineRule="auto"/>
              <w:ind w:firstLine="482"/>
              <w:jc w:val="center"/>
              <w:rPr>
                <w:rFonts w:ascii="仿宋_GB2312" w:hAnsi="宋体" w:eastAsia="仿宋_GB2312"/>
                <w:b/>
                <w:sz w:val="24"/>
              </w:rPr>
            </w:pPr>
          </w:p>
        </w:tc>
        <w:tc>
          <w:tcPr>
            <w:tcW w:w="3420" w:type="dxa"/>
            <w:gridSpan w:val="3"/>
            <w:tcBorders>
              <w:bottom w:val="single" w:color="auto" w:sz="4" w:space="0"/>
            </w:tcBorders>
            <w:vAlign w:val="center"/>
          </w:tcPr>
          <w:p>
            <w:pPr>
              <w:spacing w:after="0" w:line="360" w:lineRule="auto"/>
              <w:ind w:firstLine="361"/>
              <w:jc w:val="center"/>
              <w:rPr>
                <w:rFonts w:ascii="仿宋_GB2312" w:eastAsia="仿宋_GB2312"/>
                <w:b/>
                <w:sz w:val="18"/>
                <w:szCs w:val="18"/>
              </w:rPr>
            </w:pPr>
            <w:r>
              <w:rPr>
                <w:rFonts w:hint="eastAsia" w:ascii="仿宋_GB2312" w:eastAsia="仿宋_GB2312"/>
                <w:b/>
                <w:sz w:val="18"/>
                <w:szCs w:val="18"/>
              </w:rPr>
              <w:t>评 估 基 准 日</w:t>
            </w:r>
          </w:p>
        </w:tc>
        <w:tc>
          <w:tcPr>
            <w:tcW w:w="4289" w:type="dxa"/>
            <w:gridSpan w:val="7"/>
            <w:tcBorders>
              <w:bottom w:val="single" w:color="auto" w:sz="4" w:space="0"/>
              <w:right w:val="double" w:color="auto" w:sz="12" w:space="0"/>
            </w:tcBorders>
            <w:vAlign w:val="center"/>
          </w:tcPr>
          <w:p>
            <w:pPr>
              <w:spacing w:after="0" w:line="360" w:lineRule="auto"/>
              <w:ind w:firstLine="360"/>
              <w:jc w:val="center"/>
              <w:rPr>
                <w:rFonts w:ascii="方正姚体" w:eastAsia="方正姚体"/>
                <w:sz w:val="18"/>
                <w:szCs w:val="18"/>
              </w:rPr>
            </w:pPr>
            <w:r>
              <w:rPr>
                <w:rFonts w:hint="eastAsia" w:ascii="方正姚体" w:eastAsia="方正姚体"/>
                <w:sz w:val="18"/>
                <w:szCs w:val="18"/>
              </w:rPr>
              <w:t>2018年 6月 30日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trPr>
        <w:tc>
          <w:tcPr>
            <w:tcW w:w="1260" w:type="dxa"/>
            <w:gridSpan w:val="2"/>
            <w:vMerge w:val="continue"/>
            <w:tcBorders>
              <w:left w:val="double" w:color="auto" w:sz="12" w:space="0"/>
            </w:tcBorders>
            <w:vAlign w:val="center"/>
          </w:tcPr>
          <w:p>
            <w:pPr>
              <w:spacing w:after="0" w:line="360" w:lineRule="auto"/>
              <w:ind w:firstLine="482"/>
              <w:jc w:val="center"/>
              <w:rPr>
                <w:rFonts w:ascii="仿宋_GB2312" w:hAnsi="宋体" w:eastAsia="仿宋_GB2312"/>
                <w:b/>
                <w:sz w:val="24"/>
              </w:rPr>
            </w:pPr>
          </w:p>
        </w:tc>
        <w:tc>
          <w:tcPr>
            <w:tcW w:w="3420" w:type="dxa"/>
            <w:gridSpan w:val="3"/>
            <w:vAlign w:val="center"/>
          </w:tcPr>
          <w:p>
            <w:pPr>
              <w:spacing w:after="0" w:line="360" w:lineRule="auto"/>
              <w:ind w:firstLine="361"/>
              <w:jc w:val="center"/>
              <w:rPr>
                <w:rFonts w:ascii="仿宋_GB2312" w:eastAsia="仿宋_GB2312"/>
                <w:b/>
                <w:sz w:val="18"/>
                <w:szCs w:val="18"/>
              </w:rPr>
            </w:pPr>
            <w:r>
              <w:rPr>
                <w:rFonts w:hint="eastAsia" w:ascii="仿宋_GB2312" w:eastAsia="仿宋_GB2312"/>
                <w:b/>
                <w:sz w:val="18"/>
                <w:szCs w:val="18"/>
              </w:rPr>
              <w:t>评估核准（备案）机构</w:t>
            </w:r>
          </w:p>
        </w:tc>
        <w:tc>
          <w:tcPr>
            <w:tcW w:w="4289" w:type="dxa"/>
            <w:gridSpan w:val="7"/>
            <w:tcBorders>
              <w:right w:val="double" w:color="auto" w:sz="12" w:space="0"/>
            </w:tcBorders>
            <w:vAlign w:val="center"/>
          </w:tcPr>
          <w:p>
            <w:pPr>
              <w:spacing w:after="0" w:line="360" w:lineRule="auto"/>
              <w:ind w:firstLine="360"/>
              <w:jc w:val="center"/>
              <w:rPr>
                <w:rFonts w:ascii="方正姚体" w:eastAsia="方正姚体"/>
                <w:sz w:val="18"/>
                <w:szCs w:val="18"/>
              </w:rPr>
            </w:pPr>
          </w:p>
          <w:p>
            <w:pPr>
              <w:spacing w:after="0" w:line="360" w:lineRule="auto"/>
              <w:ind w:firstLine="360"/>
              <w:jc w:val="center"/>
              <w:rPr>
                <w:rFonts w:ascii="方正姚体" w:eastAsia="方正姚体"/>
                <w:sz w:val="18"/>
                <w:szCs w:val="18"/>
              </w:rPr>
            </w:pPr>
            <w:r>
              <w:rPr>
                <w:rFonts w:hint="eastAsia" w:ascii="方正姚体" w:eastAsia="方正姚体"/>
                <w:sz w:val="18"/>
                <w:szCs w:val="18"/>
              </w:rPr>
              <w:t>核准□备案</w:t>
            </w:r>
            <w:r>
              <w:rPr>
                <w:b/>
                <w:sz w:val="18"/>
                <w:szCs w:val="18"/>
                <w:bdr w:val="single" w:color="auto" w:sz="4" w:space="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trPr>
        <w:tc>
          <w:tcPr>
            <w:tcW w:w="8969" w:type="dxa"/>
            <w:gridSpan w:val="12"/>
            <w:tcBorders>
              <w:left w:val="double" w:color="auto" w:sz="12" w:space="0"/>
              <w:right w:val="double" w:color="auto" w:sz="12" w:space="0"/>
            </w:tcBorders>
            <w:vAlign w:val="center"/>
          </w:tcPr>
          <w:p>
            <w:pPr>
              <w:spacing w:after="0" w:line="360" w:lineRule="auto"/>
              <w:ind w:firstLine="723"/>
              <w:jc w:val="center"/>
              <w:rPr>
                <w:rFonts w:ascii="方正姚体" w:eastAsia="方正姚体"/>
                <w:sz w:val="18"/>
                <w:szCs w:val="18"/>
              </w:rPr>
            </w:pPr>
            <w:r>
              <w:rPr>
                <w:rFonts w:hint="eastAsia" w:ascii="仿宋_GB2312" w:eastAsia="仿宋_GB2312"/>
                <w:b/>
                <w:sz w:val="36"/>
                <w:szCs w:val="36"/>
              </w:rPr>
              <w:t>产权转让行为的内部决策及批准情况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55" w:hRule="atLeast"/>
        </w:trPr>
        <w:tc>
          <w:tcPr>
            <w:tcW w:w="8969" w:type="dxa"/>
            <w:gridSpan w:val="12"/>
            <w:tcBorders>
              <w:left w:val="double" w:color="auto" w:sz="12" w:space="0"/>
              <w:right w:val="double" w:color="auto" w:sz="12" w:space="0"/>
            </w:tcBorders>
            <w:vAlign w:val="center"/>
          </w:tcPr>
          <w:p>
            <w:pPr>
              <w:spacing w:after="0" w:line="360" w:lineRule="auto"/>
              <w:ind w:firstLine="360"/>
              <w:rPr>
                <w:rFonts w:ascii="宋体" w:hAnsi="宋体"/>
                <w:sz w:val="18"/>
                <w:szCs w:val="18"/>
              </w:rPr>
            </w:pPr>
            <w:r>
              <w:rPr>
                <w:rFonts w:hint="eastAsia" w:ascii="宋体" w:hAnsi="宋体"/>
                <w:sz w:val="18"/>
                <w:szCs w:val="18"/>
              </w:rPr>
              <w:t>出资监管单位名称：台州市椒江区国有资产监督管理委员会</w:t>
            </w:r>
          </w:p>
          <w:p>
            <w:pPr>
              <w:spacing w:after="0" w:line="360" w:lineRule="auto"/>
              <w:ind w:left="1261" w:leftChars="172" w:hanging="900" w:hangingChars="500"/>
              <w:rPr>
                <w:rFonts w:ascii="宋体" w:hAnsi="宋体"/>
                <w:sz w:val="18"/>
                <w:szCs w:val="18"/>
              </w:rPr>
            </w:pPr>
            <w:r>
              <w:rPr>
                <w:rFonts w:hint="eastAsia" w:ascii="宋体" w:hAnsi="宋体"/>
                <w:sz w:val="18"/>
                <w:szCs w:val="18"/>
              </w:rPr>
              <w:t>内部决策文件：董事会决议</w:t>
            </w:r>
          </w:p>
          <w:p>
            <w:pPr>
              <w:spacing w:after="0" w:line="360" w:lineRule="auto"/>
              <w:ind w:firstLine="379" w:firstLineChars="211"/>
              <w:rPr>
                <w:rFonts w:ascii="方正姚体"/>
                <w:sz w:val="18"/>
                <w:szCs w:val="18"/>
              </w:rPr>
            </w:pPr>
            <w:r>
              <w:rPr>
                <w:rFonts w:hint="eastAsia" w:ascii="宋体" w:hAnsi="宋体"/>
                <w:sz w:val="18"/>
                <w:szCs w:val="18"/>
              </w:rPr>
              <w:t>内部决策文件主要内容：浙江导明医药科技有限公司股权重组涉及20.24%国有股权转让</w:t>
            </w:r>
          </w:p>
        </w:tc>
      </w:tr>
    </w:tbl>
    <w:p>
      <w:pPr>
        <w:spacing w:after="0" w:line="360" w:lineRule="auto"/>
        <w:ind w:firstLine="0" w:firstLineChars="0"/>
        <w:rPr>
          <w:rFonts w:ascii="仿宋_GB2312" w:eastAsia="仿宋_GB2312"/>
          <w:b/>
          <w:szCs w:val="21"/>
        </w:rPr>
      </w:pPr>
    </w:p>
    <w:p>
      <w:pPr>
        <w:spacing w:after="0" w:line="360" w:lineRule="auto"/>
        <w:ind w:firstLine="0" w:firstLineChars="0"/>
        <w:rPr>
          <w:rFonts w:ascii="宋体" w:hAnsi="宋体"/>
          <w:sz w:val="28"/>
          <w:szCs w:val="28"/>
        </w:rPr>
      </w:pPr>
    </w:p>
    <w:p>
      <w:pPr>
        <w:spacing w:after="0" w:line="360" w:lineRule="auto"/>
        <w:ind w:firstLine="560"/>
        <w:rPr>
          <w:rFonts w:ascii="宋体" w:hAnsi="宋体"/>
          <w:sz w:val="28"/>
          <w:szCs w:val="28"/>
        </w:rPr>
      </w:pPr>
      <w:r>
        <w:rPr>
          <w:rFonts w:hint="eastAsia" w:ascii="宋体" w:hAnsi="宋体"/>
          <w:sz w:val="28"/>
          <w:szCs w:val="28"/>
        </w:rPr>
        <w:br w:type="page"/>
      </w:r>
    </w:p>
    <w:p>
      <w:pPr>
        <w:spacing w:after="0" w:line="360" w:lineRule="auto"/>
        <w:ind w:firstLine="0" w:firstLineChars="0"/>
        <w:jc w:val="center"/>
        <w:rPr>
          <w:rFonts w:ascii="宋体" w:hAnsi="宋体"/>
          <w:sz w:val="28"/>
          <w:szCs w:val="28"/>
        </w:rPr>
      </w:pPr>
      <w:r>
        <w:rPr>
          <w:rFonts w:hint="eastAsia" w:ascii="宋体" w:hAnsi="宋体"/>
          <w:sz w:val="28"/>
          <w:szCs w:val="28"/>
        </w:rPr>
        <w:t>台州市产权交易所有限公司</w:t>
      </w:r>
    </w:p>
    <w:p>
      <w:pPr>
        <w:spacing w:after="0" w:line="360" w:lineRule="auto"/>
        <w:ind w:firstLine="0" w:firstLineChars="0"/>
        <w:jc w:val="center"/>
        <w:rPr>
          <w:rFonts w:ascii="宋体" w:hAnsi="宋体"/>
          <w:sz w:val="28"/>
          <w:szCs w:val="28"/>
        </w:rPr>
      </w:pPr>
      <w:r>
        <w:rPr>
          <w:rFonts w:hint="eastAsia" w:ascii="宋体" w:hAnsi="宋体"/>
          <w:sz w:val="28"/>
          <w:szCs w:val="28"/>
        </w:rPr>
        <w:t>简  介</w:t>
      </w:r>
    </w:p>
    <w:p>
      <w:pPr>
        <w:spacing w:after="0" w:line="360" w:lineRule="auto"/>
        <w:ind w:firstLine="560"/>
        <w:rPr>
          <w:rFonts w:ascii="宋体" w:hAnsi="宋体"/>
          <w:sz w:val="28"/>
          <w:szCs w:val="28"/>
        </w:rPr>
      </w:pPr>
      <w:r>
        <w:rPr>
          <w:rFonts w:hint="eastAsia" w:ascii="宋体" w:hAnsi="宋体"/>
          <w:sz w:val="28"/>
          <w:szCs w:val="28"/>
        </w:rPr>
        <w:t>台州市产权交易所有限公司是浙江省人民政府批准，浙江省国资委认定，具有国有产权转让资质，立足台州，面向全国，依法从事企事业产权交易的专业性机构，是集物权、债权、股权、知识产权等一体的综合性交易平台，是整个台州地区唯一的中国企业国有产权交易机构协会会员，也是长江流域产权交易共同市场理事单位，为台州市目前规模最大的产权交易机构。</w:t>
      </w:r>
    </w:p>
    <w:p>
      <w:pPr>
        <w:spacing w:after="0" w:line="360" w:lineRule="auto"/>
        <w:ind w:firstLine="560"/>
        <w:rPr>
          <w:rFonts w:ascii="宋体" w:hAnsi="宋体"/>
          <w:sz w:val="28"/>
          <w:szCs w:val="28"/>
        </w:rPr>
      </w:pPr>
      <w:r>
        <w:rPr>
          <w:rFonts w:hint="eastAsia" w:ascii="宋体" w:hAnsi="宋体"/>
          <w:sz w:val="28"/>
          <w:szCs w:val="28"/>
        </w:rPr>
        <w:t>台州市产权交易所有限公司为全市非上市股份有限公司的股权转让，市属企事业单位的改制与国有资本的流动，公共资源交易以及其他各类企业的产权交易提供服务。</w:t>
      </w:r>
    </w:p>
    <w:p>
      <w:pPr>
        <w:spacing w:after="0" w:line="360" w:lineRule="auto"/>
        <w:ind w:firstLine="560"/>
        <w:rPr>
          <w:rFonts w:ascii="宋体" w:hAnsi="宋体"/>
          <w:sz w:val="28"/>
          <w:szCs w:val="28"/>
        </w:rPr>
      </w:pPr>
      <w:r>
        <w:rPr>
          <w:rFonts w:hint="eastAsia" w:ascii="宋体" w:hAnsi="宋体"/>
          <w:sz w:val="28"/>
          <w:szCs w:val="28"/>
        </w:rPr>
        <w:t>台州市产权交易所有限公司的业务领域为：</w:t>
      </w:r>
    </w:p>
    <w:p>
      <w:pPr>
        <w:numPr>
          <w:ilvl w:val="0"/>
          <w:numId w:val="5"/>
        </w:numPr>
        <w:spacing w:after="0" w:line="360" w:lineRule="auto"/>
        <w:ind w:left="20" w:firstLine="560"/>
        <w:rPr>
          <w:rFonts w:ascii="宋体" w:hAnsi="宋体"/>
          <w:sz w:val="28"/>
          <w:szCs w:val="28"/>
        </w:rPr>
      </w:pPr>
      <w:r>
        <w:rPr>
          <w:rFonts w:hint="eastAsia" w:ascii="宋体" w:hAnsi="宋体"/>
          <w:sz w:val="28"/>
          <w:szCs w:val="28"/>
        </w:rPr>
        <w:t>企事业单位的国有产权转让服务；</w:t>
      </w:r>
    </w:p>
    <w:p>
      <w:pPr>
        <w:numPr>
          <w:ilvl w:val="0"/>
          <w:numId w:val="5"/>
        </w:numPr>
        <w:spacing w:after="0" w:line="360" w:lineRule="auto"/>
        <w:ind w:left="20" w:firstLine="560"/>
        <w:rPr>
          <w:rFonts w:ascii="宋体" w:hAnsi="宋体"/>
          <w:sz w:val="28"/>
          <w:szCs w:val="28"/>
        </w:rPr>
      </w:pPr>
      <w:r>
        <w:rPr>
          <w:rFonts w:hint="eastAsia" w:ascii="宋体" w:hAnsi="宋体"/>
          <w:sz w:val="28"/>
          <w:szCs w:val="28"/>
        </w:rPr>
        <w:t>公共资源交易服务；</w:t>
      </w:r>
    </w:p>
    <w:p>
      <w:pPr>
        <w:numPr>
          <w:ilvl w:val="0"/>
          <w:numId w:val="5"/>
        </w:numPr>
        <w:spacing w:after="0" w:line="360" w:lineRule="auto"/>
        <w:ind w:left="20" w:firstLine="560"/>
        <w:rPr>
          <w:rFonts w:ascii="宋体" w:hAnsi="宋体"/>
          <w:sz w:val="28"/>
          <w:szCs w:val="28"/>
        </w:rPr>
      </w:pPr>
      <w:r>
        <w:rPr>
          <w:rFonts w:hint="eastAsia" w:ascii="宋体" w:hAnsi="宋体"/>
          <w:sz w:val="28"/>
          <w:szCs w:val="28"/>
        </w:rPr>
        <w:t>非上市股份有限公司股权转让平台；</w:t>
      </w:r>
    </w:p>
    <w:p>
      <w:pPr>
        <w:numPr>
          <w:ilvl w:val="0"/>
          <w:numId w:val="5"/>
        </w:numPr>
        <w:spacing w:after="0" w:line="360" w:lineRule="auto"/>
        <w:ind w:left="20" w:firstLine="560"/>
        <w:rPr>
          <w:rFonts w:ascii="宋体" w:hAnsi="宋体"/>
          <w:sz w:val="28"/>
          <w:szCs w:val="28"/>
        </w:rPr>
      </w:pPr>
      <w:r>
        <w:rPr>
          <w:rFonts w:hint="eastAsia" w:ascii="宋体" w:hAnsi="宋体"/>
          <w:sz w:val="28"/>
          <w:szCs w:val="28"/>
        </w:rPr>
        <w:t>拟开展股权托管、质押服务；</w:t>
      </w:r>
    </w:p>
    <w:p>
      <w:pPr>
        <w:numPr>
          <w:ilvl w:val="0"/>
          <w:numId w:val="5"/>
        </w:numPr>
        <w:spacing w:after="0" w:line="360" w:lineRule="auto"/>
        <w:ind w:left="20" w:firstLine="560"/>
        <w:rPr>
          <w:rFonts w:ascii="宋体" w:hAnsi="宋体"/>
          <w:sz w:val="28"/>
          <w:szCs w:val="28"/>
        </w:rPr>
      </w:pPr>
      <w:r>
        <w:rPr>
          <w:rFonts w:hint="eastAsia" w:ascii="宋体" w:hAnsi="宋体"/>
          <w:sz w:val="28"/>
          <w:szCs w:val="28"/>
        </w:rPr>
        <w:t>其他各类企业的产权交易服务；</w:t>
      </w:r>
    </w:p>
    <w:p>
      <w:pPr>
        <w:numPr>
          <w:ilvl w:val="0"/>
          <w:numId w:val="5"/>
        </w:numPr>
        <w:spacing w:after="0" w:line="360" w:lineRule="auto"/>
        <w:ind w:left="20" w:firstLine="560"/>
        <w:rPr>
          <w:rFonts w:ascii="宋体" w:hAnsi="宋体"/>
          <w:sz w:val="28"/>
          <w:szCs w:val="28"/>
        </w:rPr>
      </w:pPr>
      <w:r>
        <w:rPr>
          <w:rFonts w:hint="eastAsia" w:ascii="宋体" w:hAnsi="宋体"/>
          <w:sz w:val="28"/>
          <w:szCs w:val="28"/>
        </w:rPr>
        <w:t>招商引资服务；</w:t>
      </w:r>
    </w:p>
    <w:p>
      <w:pPr>
        <w:numPr>
          <w:ilvl w:val="0"/>
          <w:numId w:val="5"/>
        </w:numPr>
        <w:spacing w:after="0" w:line="360" w:lineRule="auto"/>
        <w:ind w:left="20" w:firstLine="560"/>
        <w:rPr>
          <w:rFonts w:ascii="宋体" w:hAnsi="宋体"/>
          <w:sz w:val="28"/>
          <w:szCs w:val="28"/>
        </w:rPr>
      </w:pPr>
      <w:r>
        <w:rPr>
          <w:rFonts w:hint="eastAsia" w:ascii="宋体" w:hAnsi="宋体"/>
          <w:sz w:val="28"/>
          <w:szCs w:val="28"/>
        </w:rPr>
        <w:t>项目合作及融资服务；</w:t>
      </w:r>
    </w:p>
    <w:p>
      <w:pPr>
        <w:numPr>
          <w:ilvl w:val="0"/>
          <w:numId w:val="5"/>
        </w:numPr>
        <w:spacing w:after="0" w:line="360" w:lineRule="auto"/>
        <w:ind w:left="20" w:firstLine="560"/>
        <w:rPr>
          <w:rFonts w:ascii="宋体" w:hAnsi="宋体"/>
          <w:sz w:val="28"/>
          <w:szCs w:val="28"/>
        </w:rPr>
      </w:pPr>
      <w:r>
        <w:rPr>
          <w:rFonts w:hint="eastAsia" w:ascii="宋体" w:hAnsi="宋体"/>
          <w:sz w:val="28"/>
          <w:szCs w:val="28"/>
        </w:rPr>
        <w:t>各种相关的培训、咨询业务。</w:t>
      </w:r>
    </w:p>
    <w:p>
      <w:pPr>
        <w:spacing w:after="0" w:line="360" w:lineRule="auto"/>
        <w:ind w:firstLine="560"/>
        <w:rPr>
          <w:rFonts w:ascii="宋体" w:hAnsi="宋体"/>
          <w:sz w:val="28"/>
          <w:szCs w:val="28"/>
        </w:rPr>
      </w:pPr>
      <w:r>
        <w:rPr>
          <w:rFonts w:hint="eastAsia" w:ascii="宋体" w:hAnsi="宋体"/>
          <w:sz w:val="28"/>
          <w:szCs w:val="28"/>
        </w:rPr>
        <w:t>台州市产权交易所有限公司依据国家政策法规的规定，遵循“公开、公平、公正”的原则，通过区域性产权市场的构建，着力推动国有企业的并购重组和招商引资；促进国资与民资、外资与内资、有形资产与无形资产有效嫁接与融合；实现各类产权跨行业、跨地区、跨所有制的有序流动，提升区域经济竞争力。</w:t>
      </w:r>
    </w:p>
    <w:p>
      <w:pPr>
        <w:spacing w:after="0" w:line="360" w:lineRule="auto"/>
        <w:ind w:firstLine="560"/>
        <w:rPr>
          <w:rFonts w:ascii="宋体" w:hAnsi="宋体"/>
          <w:sz w:val="28"/>
          <w:szCs w:val="28"/>
        </w:rPr>
      </w:pPr>
      <w:r>
        <w:rPr>
          <w:rFonts w:hint="eastAsia" w:ascii="宋体" w:hAnsi="宋体"/>
          <w:sz w:val="28"/>
          <w:szCs w:val="28"/>
        </w:rPr>
        <w:t>台州市产权交易所通过对产权交易的成功运作，事实证明产权“阳光交易”，程序规范化，市场化操作，更好地满足企业在资产盘活、增资扩股、资源引进、融资等多方面的需求。同时，通过台州市产权交易所有限公司交易平台实现国有资产的保值增值。</w:t>
      </w:r>
    </w:p>
    <w:p>
      <w:pPr>
        <w:spacing w:after="0" w:line="360" w:lineRule="auto"/>
        <w:ind w:firstLine="560"/>
        <w:rPr>
          <w:rFonts w:ascii="宋体" w:hAnsi="宋体"/>
          <w:sz w:val="28"/>
          <w:szCs w:val="28"/>
        </w:rPr>
      </w:pPr>
      <w:r>
        <w:rPr>
          <w:rFonts w:hint="eastAsia" w:ascii="宋体" w:hAnsi="宋体"/>
          <w:sz w:val="28"/>
          <w:szCs w:val="28"/>
        </w:rPr>
        <w:t>台州市产权交易所有限公司位于市府大道777号民泰银行五楼511室，邮编：318000，电话：0576-88685180，传真：0576-88685177，网址:www.tzpre.com。</w:t>
      </w:r>
    </w:p>
    <w:p>
      <w:pPr>
        <w:spacing w:after="0" w:line="360" w:lineRule="auto"/>
        <w:ind w:firstLine="560"/>
        <w:rPr>
          <w:rFonts w:ascii="宋体" w:hAnsi="宋体"/>
          <w:sz w:val="28"/>
          <w:szCs w:val="28"/>
        </w:rPr>
      </w:pPr>
    </w:p>
    <w:sectPr>
      <w:footerReference r:id="rId10" w:type="default"/>
      <w:pgSz w:w="11906" w:h="16838"/>
      <w:pgMar w:top="1440" w:right="1531" w:bottom="1327" w:left="1531" w:header="851" w:footer="992" w:gutter="0"/>
      <w:pgNumType w:start="1"/>
      <w:cols w:space="0" w:num="1"/>
      <w:formProt w:val="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pict>
        <v:shape id="文本框1" o:spid="_x0000_s4097" o:spt="202" type="#_x0000_t202" style="position:absolute;left:0pt;margin-left:209.4pt;margin-top:-0.15pt;height:21.05pt;width:50.35pt;mso-position-horizontal-relative:margin;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ApxAEAAGUDAAAOAAAAZHJzL2Uyb0RvYy54bWysU0tu2zAQ3RfoHQjua/mTuK1gOUgQpCgQ&#10;tAWSHICmSIsIf+HQlnyB9gZddZN9z+VzdEjJdtruim6o4fDNmzcfLS46o8lWBFDOVnQyGlMiLHe1&#10;suuKPtzfvHlHCURma6adFRXdCaAXy9evFq0vxdQ1TtciECSxULa+ok2MviwK4I0wDEbOC4uP0gXD&#10;Il7DuqgDa5Hd6GI6Hs+L1oXaB8cFAHqv+0e6zPxSCh4/SwkiEl1R1BbzGfK5SmexXLByHZhvFB9k&#10;sH9QYZiymPRIdc0iI5ug/qIyigcHTsYRd6ZwUioucg1YzWT8RzV3DfMi14LNAX9sE/w/Wv5p+yUQ&#10;VePsKLHM4Ij237/tf/zcP3+dpO60HkoE3XmExe7KdQmZKgV/6/gjIKR4gekDANEJ08lg0hfrJBiI&#10;A9gdmy66SDg657P3Z2fnlHB8ms7fzmbnKW1xCvYB4gfhDElGRQPONAtg21uIPfQASbmsu1Fao5+V&#10;2v7mQM7eI/JiDNFJfK83WbFbdRibzJWrd1h0i8tRUXjasCAo0R8tdj9t0sEIB2M1GCkn+MtNRCFZ&#10;34ls6BXOMlc47F1alpf3jDr9HctfAAAA//8DAFBLAwQUAAYACAAAACEAYRluTtwAAAAIAQAADwAA&#10;AGRycy9kb3ducmV2LnhtbEyPMU/DMBCFdyT+g3VILKh1XGjVpnEqhGBho7CwufGRRLXPUXxNQn89&#10;hoWOp+/pve+K3eSdGLCPbSANap6BQKqCbanW8PH+MluDiGzIGhcINXxjhF15fVWY3IaR3nDYcy1S&#10;CcXcaGiYu1zKWDXoTZyHDimxr9B7w+nsa2l7M6Zy7+Qiy1bSm5bSQmM6fGqwOu5PXsNqeu7uXje4&#10;GM+VG+jzrBSj0vr2ZnrcgmCc+D8Mv/pJHcrkdAgnslE4DQ9qndRZw+weROJLtVmCOPwBkGUhLx8o&#10;fwAAAP//AwBQSwECLQAUAAYACAAAACEAtoM4kv4AAADhAQAAEwAAAAAAAAAAAAAAAAAAAAAAW0Nv&#10;bnRlbnRfVHlwZXNdLnhtbFBLAQItABQABgAIAAAAIQA4/SH/1gAAAJQBAAALAAAAAAAAAAAAAAAA&#10;AC8BAABfcmVscy8ucmVsc1BLAQItABQABgAIAAAAIQBbFQApxAEAAGUDAAAOAAAAAAAAAAAAAAAA&#10;AC4CAABkcnMvZTJvRG9jLnhtbFBLAQItABQABgAIAAAAIQBhGW5O3AAAAAgBAAAPAAAAAAAAAAAA&#10;AAAAAB4EAABkcnMvZG93bnJldi54bWxQSwUGAAAAAAQABADzAAAAJwUAAAAA&#10;">
          <v:path/>
          <v:fill on="f" focussize="0,0"/>
          <v:stroke on="f" joinstyle="miter"/>
          <v:imagedata o:title=""/>
          <o:lock v:ext="edit"/>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10</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CDB02E"/>
    <w:multiLevelType w:val="singleLevel"/>
    <w:tmpl w:val="D8CDB02E"/>
    <w:lvl w:ilvl="0" w:tentative="0">
      <w:start w:val="1"/>
      <w:numFmt w:val="decimal"/>
      <w:lvlText w:val="(%1)"/>
      <w:lvlJc w:val="left"/>
      <w:pPr>
        <w:ind w:left="425" w:hanging="425"/>
      </w:pPr>
      <w:rPr>
        <w:rFonts w:hint="default"/>
      </w:rPr>
    </w:lvl>
  </w:abstractNum>
  <w:abstractNum w:abstractNumId="1">
    <w:nsid w:val="00000008"/>
    <w:multiLevelType w:val="multilevel"/>
    <w:tmpl w:val="00000008"/>
    <w:lvl w:ilvl="0" w:tentative="0">
      <w:start w:val="1"/>
      <w:numFmt w:val="decimal"/>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2">
    <w:nsid w:val="1CB331C0"/>
    <w:multiLevelType w:val="multilevel"/>
    <w:tmpl w:val="1CB331C0"/>
    <w:lvl w:ilvl="0" w:tentative="0">
      <w:start w:val="1"/>
      <w:numFmt w:val="japaneseCounting"/>
      <w:lvlText w:val="%1、"/>
      <w:lvlJc w:val="left"/>
      <w:pPr>
        <w:tabs>
          <w:tab w:val="left" w:pos="900"/>
        </w:tabs>
        <w:ind w:left="900" w:hanging="480"/>
      </w:pPr>
      <w:rPr>
        <w:rFonts w:hint="default"/>
        <w:lang w:val="en-US"/>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5643E8BD"/>
    <w:multiLevelType w:val="multilevel"/>
    <w:tmpl w:val="5643E8BD"/>
    <w:lvl w:ilvl="0" w:tentative="0">
      <w:start w:val="1"/>
      <w:numFmt w:val="decimal"/>
      <w:lvlText w:val="%1、"/>
      <w:lvlJc w:val="left"/>
      <w:pPr>
        <w:ind w:left="247" w:hanging="24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64BF049"/>
    <w:multiLevelType w:val="singleLevel"/>
    <w:tmpl w:val="564BF049"/>
    <w:lvl w:ilvl="0" w:tentative="0">
      <w:start w:val="7"/>
      <w:numFmt w:val="chineseCounting"/>
      <w:suff w:val="nothing"/>
      <w:lvlText w:val="%1、"/>
      <w:lvlJc w:val="left"/>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0"/>
  <w:defaultTabStop w:val="420"/>
  <w:drawingGridHorizontalSpacing w:val="210"/>
  <w:drawingGridVerticalSpacing w:val="156"/>
  <w:displayVerticalDrawingGridEvery w:val="2"/>
  <w:characterSpacingControl w:val="compressPunctuation"/>
  <w:doNotValidateAgainstSchema/>
  <w:doNotDemarcateInvalidXml/>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999"/>
    <w:rsid w:val="00002EA4"/>
    <w:rsid w:val="00004570"/>
    <w:rsid w:val="000059EC"/>
    <w:rsid w:val="0000694E"/>
    <w:rsid w:val="0001522F"/>
    <w:rsid w:val="00016DAD"/>
    <w:rsid w:val="00016FF9"/>
    <w:rsid w:val="000231FA"/>
    <w:rsid w:val="000249EF"/>
    <w:rsid w:val="000269A0"/>
    <w:rsid w:val="00030192"/>
    <w:rsid w:val="00030FDD"/>
    <w:rsid w:val="00031A4D"/>
    <w:rsid w:val="00033EBA"/>
    <w:rsid w:val="000368D4"/>
    <w:rsid w:val="00037919"/>
    <w:rsid w:val="000413F1"/>
    <w:rsid w:val="0004178C"/>
    <w:rsid w:val="00042AE4"/>
    <w:rsid w:val="00044EEF"/>
    <w:rsid w:val="0004738D"/>
    <w:rsid w:val="0005023E"/>
    <w:rsid w:val="00051756"/>
    <w:rsid w:val="000555C7"/>
    <w:rsid w:val="00055CFF"/>
    <w:rsid w:val="000575F7"/>
    <w:rsid w:val="00061267"/>
    <w:rsid w:val="00062523"/>
    <w:rsid w:val="000707C5"/>
    <w:rsid w:val="00076964"/>
    <w:rsid w:val="00080D28"/>
    <w:rsid w:val="000821AA"/>
    <w:rsid w:val="000834BF"/>
    <w:rsid w:val="00083FBD"/>
    <w:rsid w:val="0008505F"/>
    <w:rsid w:val="0009400B"/>
    <w:rsid w:val="00094C23"/>
    <w:rsid w:val="000A2955"/>
    <w:rsid w:val="000B052D"/>
    <w:rsid w:val="000B0A55"/>
    <w:rsid w:val="000B4100"/>
    <w:rsid w:val="000C2ED3"/>
    <w:rsid w:val="000C517E"/>
    <w:rsid w:val="000C68FF"/>
    <w:rsid w:val="000D52A0"/>
    <w:rsid w:val="000D7CBB"/>
    <w:rsid w:val="000E024F"/>
    <w:rsid w:val="000F222B"/>
    <w:rsid w:val="000F37E4"/>
    <w:rsid w:val="000F3EF6"/>
    <w:rsid w:val="00103DDF"/>
    <w:rsid w:val="001073E0"/>
    <w:rsid w:val="00107782"/>
    <w:rsid w:val="00110491"/>
    <w:rsid w:val="00111EEF"/>
    <w:rsid w:val="00115FCC"/>
    <w:rsid w:val="0011663E"/>
    <w:rsid w:val="00123207"/>
    <w:rsid w:val="0013072D"/>
    <w:rsid w:val="00130F44"/>
    <w:rsid w:val="00136AD8"/>
    <w:rsid w:val="00150755"/>
    <w:rsid w:val="00155837"/>
    <w:rsid w:val="00157263"/>
    <w:rsid w:val="00172A27"/>
    <w:rsid w:val="001732B4"/>
    <w:rsid w:val="0017394F"/>
    <w:rsid w:val="00173CD8"/>
    <w:rsid w:val="0017552D"/>
    <w:rsid w:val="00175A9E"/>
    <w:rsid w:val="00175C11"/>
    <w:rsid w:val="00177CD9"/>
    <w:rsid w:val="00181778"/>
    <w:rsid w:val="001821BD"/>
    <w:rsid w:val="00190E33"/>
    <w:rsid w:val="001921B1"/>
    <w:rsid w:val="0019344B"/>
    <w:rsid w:val="001A552C"/>
    <w:rsid w:val="001B1846"/>
    <w:rsid w:val="001B2579"/>
    <w:rsid w:val="001D3F85"/>
    <w:rsid w:val="001E22AF"/>
    <w:rsid w:val="001E447E"/>
    <w:rsid w:val="001E66DC"/>
    <w:rsid w:val="001F1090"/>
    <w:rsid w:val="001F1EA9"/>
    <w:rsid w:val="001F45F7"/>
    <w:rsid w:val="00201723"/>
    <w:rsid w:val="00201F06"/>
    <w:rsid w:val="00203894"/>
    <w:rsid w:val="0020610C"/>
    <w:rsid w:val="00206FA1"/>
    <w:rsid w:val="00224D56"/>
    <w:rsid w:val="0022652F"/>
    <w:rsid w:val="00231C61"/>
    <w:rsid w:val="00243FE1"/>
    <w:rsid w:val="002533E8"/>
    <w:rsid w:val="00253DD2"/>
    <w:rsid w:val="0025502B"/>
    <w:rsid w:val="00255DD6"/>
    <w:rsid w:val="00270A34"/>
    <w:rsid w:val="0028406E"/>
    <w:rsid w:val="00290B7C"/>
    <w:rsid w:val="002914AC"/>
    <w:rsid w:val="00291931"/>
    <w:rsid w:val="002A0B21"/>
    <w:rsid w:val="002A1D9D"/>
    <w:rsid w:val="002B232A"/>
    <w:rsid w:val="002B68F3"/>
    <w:rsid w:val="002C16C1"/>
    <w:rsid w:val="002C657A"/>
    <w:rsid w:val="002D7C8A"/>
    <w:rsid w:val="002E4D4F"/>
    <w:rsid w:val="002F16BF"/>
    <w:rsid w:val="002F72B6"/>
    <w:rsid w:val="00311C4B"/>
    <w:rsid w:val="00320861"/>
    <w:rsid w:val="00321650"/>
    <w:rsid w:val="003244F2"/>
    <w:rsid w:val="003264D7"/>
    <w:rsid w:val="00326BD2"/>
    <w:rsid w:val="0033109D"/>
    <w:rsid w:val="00331281"/>
    <w:rsid w:val="00331404"/>
    <w:rsid w:val="00337FB6"/>
    <w:rsid w:val="00340C02"/>
    <w:rsid w:val="0034479B"/>
    <w:rsid w:val="00352D04"/>
    <w:rsid w:val="00353443"/>
    <w:rsid w:val="003542B3"/>
    <w:rsid w:val="003565C9"/>
    <w:rsid w:val="003625B2"/>
    <w:rsid w:val="003677EF"/>
    <w:rsid w:val="00377979"/>
    <w:rsid w:val="00384DF0"/>
    <w:rsid w:val="00385966"/>
    <w:rsid w:val="0038651E"/>
    <w:rsid w:val="0039580F"/>
    <w:rsid w:val="003A1C58"/>
    <w:rsid w:val="003A3B6C"/>
    <w:rsid w:val="003B413E"/>
    <w:rsid w:val="003B7C17"/>
    <w:rsid w:val="003C7C4C"/>
    <w:rsid w:val="003D0885"/>
    <w:rsid w:val="003D179C"/>
    <w:rsid w:val="003D57AA"/>
    <w:rsid w:val="003D6B70"/>
    <w:rsid w:val="003D6C02"/>
    <w:rsid w:val="003E092C"/>
    <w:rsid w:val="003F1583"/>
    <w:rsid w:val="003F68EC"/>
    <w:rsid w:val="00401F40"/>
    <w:rsid w:val="00403EC1"/>
    <w:rsid w:val="004135EF"/>
    <w:rsid w:val="00414156"/>
    <w:rsid w:val="00420AFC"/>
    <w:rsid w:val="004308F6"/>
    <w:rsid w:val="00440351"/>
    <w:rsid w:val="00442BD4"/>
    <w:rsid w:val="004436D3"/>
    <w:rsid w:val="00445ACB"/>
    <w:rsid w:val="00446855"/>
    <w:rsid w:val="0045444F"/>
    <w:rsid w:val="0046011F"/>
    <w:rsid w:val="004643D4"/>
    <w:rsid w:val="00466C23"/>
    <w:rsid w:val="00467D5C"/>
    <w:rsid w:val="00476299"/>
    <w:rsid w:val="004773C1"/>
    <w:rsid w:val="00483EBA"/>
    <w:rsid w:val="00487ACA"/>
    <w:rsid w:val="00490940"/>
    <w:rsid w:val="00494296"/>
    <w:rsid w:val="004A24BD"/>
    <w:rsid w:val="004A3D5C"/>
    <w:rsid w:val="004D01C9"/>
    <w:rsid w:val="004D07FF"/>
    <w:rsid w:val="004D7528"/>
    <w:rsid w:val="004E24EF"/>
    <w:rsid w:val="004F46FD"/>
    <w:rsid w:val="004F7EA6"/>
    <w:rsid w:val="00500B16"/>
    <w:rsid w:val="0050199C"/>
    <w:rsid w:val="00501FDF"/>
    <w:rsid w:val="00510E41"/>
    <w:rsid w:val="00514204"/>
    <w:rsid w:val="005213BB"/>
    <w:rsid w:val="00523FAF"/>
    <w:rsid w:val="00524CAF"/>
    <w:rsid w:val="00526ACE"/>
    <w:rsid w:val="00527238"/>
    <w:rsid w:val="00534EE6"/>
    <w:rsid w:val="00535BF5"/>
    <w:rsid w:val="005363D8"/>
    <w:rsid w:val="00541110"/>
    <w:rsid w:val="0054192C"/>
    <w:rsid w:val="0055099A"/>
    <w:rsid w:val="005509C5"/>
    <w:rsid w:val="00552BCA"/>
    <w:rsid w:val="005542C7"/>
    <w:rsid w:val="00554476"/>
    <w:rsid w:val="00561389"/>
    <w:rsid w:val="00562536"/>
    <w:rsid w:val="00566760"/>
    <w:rsid w:val="005705A8"/>
    <w:rsid w:val="00570A37"/>
    <w:rsid w:val="00576B2C"/>
    <w:rsid w:val="00577DD4"/>
    <w:rsid w:val="00586E71"/>
    <w:rsid w:val="00595F8F"/>
    <w:rsid w:val="005A308E"/>
    <w:rsid w:val="005A331C"/>
    <w:rsid w:val="005A68FE"/>
    <w:rsid w:val="005B2053"/>
    <w:rsid w:val="005B276A"/>
    <w:rsid w:val="005D6A68"/>
    <w:rsid w:val="005E5EFE"/>
    <w:rsid w:val="00601AFE"/>
    <w:rsid w:val="00604888"/>
    <w:rsid w:val="006104A6"/>
    <w:rsid w:val="00613BDA"/>
    <w:rsid w:val="006210E2"/>
    <w:rsid w:val="00623FAC"/>
    <w:rsid w:val="00627243"/>
    <w:rsid w:val="00640225"/>
    <w:rsid w:val="006509CE"/>
    <w:rsid w:val="00662AB1"/>
    <w:rsid w:val="00663610"/>
    <w:rsid w:val="00663EAD"/>
    <w:rsid w:val="0066459F"/>
    <w:rsid w:val="00676F88"/>
    <w:rsid w:val="00685BAC"/>
    <w:rsid w:val="00693A7B"/>
    <w:rsid w:val="00694709"/>
    <w:rsid w:val="006A2DC8"/>
    <w:rsid w:val="006A2F97"/>
    <w:rsid w:val="006A5F0E"/>
    <w:rsid w:val="006B4389"/>
    <w:rsid w:val="006B7891"/>
    <w:rsid w:val="006C1446"/>
    <w:rsid w:val="006C2661"/>
    <w:rsid w:val="006D0CD2"/>
    <w:rsid w:val="006D3921"/>
    <w:rsid w:val="006D3B44"/>
    <w:rsid w:val="006E1B66"/>
    <w:rsid w:val="006F7310"/>
    <w:rsid w:val="0070317A"/>
    <w:rsid w:val="007056AE"/>
    <w:rsid w:val="00710FAC"/>
    <w:rsid w:val="00715735"/>
    <w:rsid w:val="00744E0D"/>
    <w:rsid w:val="00746619"/>
    <w:rsid w:val="00756660"/>
    <w:rsid w:val="007600EB"/>
    <w:rsid w:val="0076029A"/>
    <w:rsid w:val="00772F4A"/>
    <w:rsid w:val="007805CF"/>
    <w:rsid w:val="00785FC1"/>
    <w:rsid w:val="00795659"/>
    <w:rsid w:val="007A1BF5"/>
    <w:rsid w:val="007A3D7D"/>
    <w:rsid w:val="007B086E"/>
    <w:rsid w:val="007B6D93"/>
    <w:rsid w:val="007D0167"/>
    <w:rsid w:val="007D3C03"/>
    <w:rsid w:val="007D68CD"/>
    <w:rsid w:val="007E1DD1"/>
    <w:rsid w:val="007E4458"/>
    <w:rsid w:val="007F0311"/>
    <w:rsid w:val="007F322E"/>
    <w:rsid w:val="007F37FF"/>
    <w:rsid w:val="007F648F"/>
    <w:rsid w:val="007F7693"/>
    <w:rsid w:val="00802E30"/>
    <w:rsid w:val="00803220"/>
    <w:rsid w:val="00810C9D"/>
    <w:rsid w:val="00812024"/>
    <w:rsid w:val="008121E0"/>
    <w:rsid w:val="00822178"/>
    <w:rsid w:val="00823D5C"/>
    <w:rsid w:val="00825B8C"/>
    <w:rsid w:val="0082607E"/>
    <w:rsid w:val="0083061B"/>
    <w:rsid w:val="00835105"/>
    <w:rsid w:val="00835A2F"/>
    <w:rsid w:val="008446FE"/>
    <w:rsid w:val="0084683B"/>
    <w:rsid w:val="00850E00"/>
    <w:rsid w:val="00851F7A"/>
    <w:rsid w:val="008551B5"/>
    <w:rsid w:val="0086202A"/>
    <w:rsid w:val="008737A7"/>
    <w:rsid w:val="00880FDA"/>
    <w:rsid w:val="00881899"/>
    <w:rsid w:val="0088350F"/>
    <w:rsid w:val="0089657E"/>
    <w:rsid w:val="008A0B43"/>
    <w:rsid w:val="008A707A"/>
    <w:rsid w:val="008B0412"/>
    <w:rsid w:val="008B5764"/>
    <w:rsid w:val="008C33FB"/>
    <w:rsid w:val="008C5029"/>
    <w:rsid w:val="008C6338"/>
    <w:rsid w:val="008D1AC9"/>
    <w:rsid w:val="008D71A8"/>
    <w:rsid w:val="008E659E"/>
    <w:rsid w:val="008E65E6"/>
    <w:rsid w:val="008F6847"/>
    <w:rsid w:val="00901F3B"/>
    <w:rsid w:val="00904C88"/>
    <w:rsid w:val="00904E80"/>
    <w:rsid w:val="00905FB5"/>
    <w:rsid w:val="0092377C"/>
    <w:rsid w:val="00931359"/>
    <w:rsid w:val="00931B6B"/>
    <w:rsid w:val="00936A69"/>
    <w:rsid w:val="009374A9"/>
    <w:rsid w:val="009560E4"/>
    <w:rsid w:val="00956247"/>
    <w:rsid w:val="00956C11"/>
    <w:rsid w:val="0096031B"/>
    <w:rsid w:val="00963B31"/>
    <w:rsid w:val="00966C3E"/>
    <w:rsid w:val="00980DAF"/>
    <w:rsid w:val="009845DA"/>
    <w:rsid w:val="00984DA9"/>
    <w:rsid w:val="009917ED"/>
    <w:rsid w:val="00994531"/>
    <w:rsid w:val="00994D89"/>
    <w:rsid w:val="009A2D1D"/>
    <w:rsid w:val="009A7500"/>
    <w:rsid w:val="009B00DC"/>
    <w:rsid w:val="009B5847"/>
    <w:rsid w:val="009D2B02"/>
    <w:rsid w:val="009E7B32"/>
    <w:rsid w:val="009F0F7F"/>
    <w:rsid w:val="009F1215"/>
    <w:rsid w:val="009F2573"/>
    <w:rsid w:val="009F3794"/>
    <w:rsid w:val="009F75E1"/>
    <w:rsid w:val="009F7CCA"/>
    <w:rsid w:val="00A04A71"/>
    <w:rsid w:val="00A20883"/>
    <w:rsid w:val="00A21133"/>
    <w:rsid w:val="00A25E8B"/>
    <w:rsid w:val="00A413CA"/>
    <w:rsid w:val="00A432A6"/>
    <w:rsid w:val="00A44593"/>
    <w:rsid w:val="00A47F3B"/>
    <w:rsid w:val="00A574BD"/>
    <w:rsid w:val="00A663BF"/>
    <w:rsid w:val="00A7422B"/>
    <w:rsid w:val="00A74760"/>
    <w:rsid w:val="00AA70D5"/>
    <w:rsid w:val="00AA7E0D"/>
    <w:rsid w:val="00AB26E0"/>
    <w:rsid w:val="00AB32DD"/>
    <w:rsid w:val="00AC0058"/>
    <w:rsid w:val="00AC25E3"/>
    <w:rsid w:val="00AC2718"/>
    <w:rsid w:val="00AC4EFD"/>
    <w:rsid w:val="00AD1864"/>
    <w:rsid w:val="00AD1A7D"/>
    <w:rsid w:val="00AD2B0B"/>
    <w:rsid w:val="00AD6028"/>
    <w:rsid w:val="00AE29E8"/>
    <w:rsid w:val="00AE3C82"/>
    <w:rsid w:val="00AE7FCB"/>
    <w:rsid w:val="00AF6773"/>
    <w:rsid w:val="00AF7F4E"/>
    <w:rsid w:val="00B07CFC"/>
    <w:rsid w:val="00B15F3B"/>
    <w:rsid w:val="00B16693"/>
    <w:rsid w:val="00B23E51"/>
    <w:rsid w:val="00B25955"/>
    <w:rsid w:val="00B36B99"/>
    <w:rsid w:val="00B37B21"/>
    <w:rsid w:val="00B40E1D"/>
    <w:rsid w:val="00B463C3"/>
    <w:rsid w:val="00B47B36"/>
    <w:rsid w:val="00B50446"/>
    <w:rsid w:val="00B506B7"/>
    <w:rsid w:val="00B549C8"/>
    <w:rsid w:val="00B575CF"/>
    <w:rsid w:val="00B57858"/>
    <w:rsid w:val="00B64A48"/>
    <w:rsid w:val="00B656C6"/>
    <w:rsid w:val="00B718F0"/>
    <w:rsid w:val="00B755CA"/>
    <w:rsid w:val="00B86DE9"/>
    <w:rsid w:val="00B90BC4"/>
    <w:rsid w:val="00B92A50"/>
    <w:rsid w:val="00B97C16"/>
    <w:rsid w:val="00BA08B8"/>
    <w:rsid w:val="00BA1299"/>
    <w:rsid w:val="00BA2450"/>
    <w:rsid w:val="00BA509D"/>
    <w:rsid w:val="00BA743E"/>
    <w:rsid w:val="00BB548D"/>
    <w:rsid w:val="00BB6F95"/>
    <w:rsid w:val="00BC19D0"/>
    <w:rsid w:val="00BC3F38"/>
    <w:rsid w:val="00BC5FC5"/>
    <w:rsid w:val="00BC6AA2"/>
    <w:rsid w:val="00BD1E38"/>
    <w:rsid w:val="00BD4139"/>
    <w:rsid w:val="00BE431F"/>
    <w:rsid w:val="00BE6066"/>
    <w:rsid w:val="00BF1E1E"/>
    <w:rsid w:val="00BF2DBB"/>
    <w:rsid w:val="00C00383"/>
    <w:rsid w:val="00C0064D"/>
    <w:rsid w:val="00C03D5D"/>
    <w:rsid w:val="00C125FD"/>
    <w:rsid w:val="00C12995"/>
    <w:rsid w:val="00C12AF9"/>
    <w:rsid w:val="00C136E2"/>
    <w:rsid w:val="00C13C27"/>
    <w:rsid w:val="00C21E6C"/>
    <w:rsid w:val="00C347D1"/>
    <w:rsid w:val="00C34E13"/>
    <w:rsid w:val="00C369B4"/>
    <w:rsid w:val="00C41B11"/>
    <w:rsid w:val="00C42E2D"/>
    <w:rsid w:val="00C538E7"/>
    <w:rsid w:val="00C558E3"/>
    <w:rsid w:val="00C572EC"/>
    <w:rsid w:val="00C6046E"/>
    <w:rsid w:val="00C6585E"/>
    <w:rsid w:val="00C664E3"/>
    <w:rsid w:val="00C83AB8"/>
    <w:rsid w:val="00C925EC"/>
    <w:rsid w:val="00C97DE6"/>
    <w:rsid w:val="00CB1C35"/>
    <w:rsid w:val="00CC445A"/>
    <w:rsid w:val="00CD2293"/>
    <w:rsid w:val="00CD6404"/>
    <w:rsid w:val="00CD76D6"/>
    <w:rsid w:val="00CE0398"/>
    <w:rsid w:val="00CE6CDD"/>
    <w:rsid w:val="00CF0A6D"/>
    <w:rsid w:val="00D01E34"/>
    <w:rsid w:val="00D0333F"/>
    <w:rsid w:val="00D0370D"/>
    <w:rsid w:val="00D054FE"/>
    <w:rsid w:val="00D1511E"/>
    <w:rsid w:val="00D23ADA"/>
    <w:rsid w:val="00D2459F"/>
    <w:rsid w:val="00D37301"/>
    <w:rsid w:val="00D41079"/>
    <w:rsid w:val="00D431B7"/>
    <w:rsid w:val="00D6166B"/>
    <w:rsid w:val="00D62FA8"/>
    <w:rsid w:val="00D70685"/>
    <w:rsid w:val="00D83892"/>
    <w:rsid w:val="00D914DF"/>
    <w:rsid w:val="00D945D6"/>
    <w:rsid w:val="00D953BB"/>
    <w:rsid w:val="00DA0308"/>
    <w:rsid w:val="00DA07C4"/>
    <w:rsid w:val="00DA1159"/>
    <w:rsid w:val="00DA2840"/>
    <w:rsid w:val="00DA47D0"/>
    <w:rsid w:val="00DB380D"/>
    <w:rsid w:val="00DB7AA5"/>
    <w:rsid w:val="00DC1888"/>
    <w:rsid w:val="00DC614D"/>
    <w:rsid w:val="00DC6543"/>
    <w:rsid w:val="00DD1025"/>
    <w:rsid w:val="00DE5BCF"/>
    <w:rsid w:val="00DE7860"/>
    <w:rsid w:val="00DF2E1A"/>
    <w:rsid w:val="00E021CE"/>
    <w:rsid w:val="00E06CA7"/>
    <w:rsid w:val="00E06CF3"/>
    <w:rsid w:val="00E10F45"/>
    <w:rsid w:val="00E14C86"/>
    <w:rsid w:val="00E161E4"/>
    <w:rsid w:val="00E204F2"/>
    <w:rsid w:val="00E21A11"/>
    <w:rsid w:val="00E220CD"/>
    <w:rsid w:val="00E26863"/>
    <w:rsid w:val="00E269FC"/>
    <w:rsid w:val="00E27BED"/>
    <w:rsid w:val="00E4173E"/>
    <w:rsid w:val="00E47E14"/>
    <w:rsid w:val="00E5218B"/>
    <w:rsid w:val="00E53A6C"/>
    <w:rsid w:val="00E67356"/>
    <w:rsid w:val="00E67498"/>
    <w:rsid w:val="00E72F3F"/>
    <w:rsid w:val="00E74962"/>
    <w:rsid w:val="00E75BE5"/>
    <w:rsid w:val="00E7791B"/>
    <w:rsid w:val="00E85573"/>
    <w:rsid w:val="00E901AF"/>
    <w:rsid w:val="00EA4077"/>
    <w:rsid w:val="00EA560B"/>
    <w:rsid w:val="00EA6762"/>
    <w:rsid w:val="00EB0662"/>
    <w:rsid w:val="00EB2019"/>
    <w:rsid w:val="00EB5CE3"/>
    <w:rsid w:val="00EC65A7"/>
    <w:rsid w:val="00EC7738"/>
    <w:rsid w:val="00ED08FB"/>
    <w:rsid w:val="00ED1F46"/>
    <w:rsid w:val="00ED1F91"/>
    <w:rsid w:val="00ED3366"/>
    <w:rsid w:val="00ED4ACC"/>
    <w:rsid w:val="00ED6F20"/>
    <w:rsid w:val="00EF4BC5"/>
    <w:rsid w:val="00EF5618"/>
    <w:rsid w:val="00EF75E3"/>
    <w:rsid w:val="00F02686"/>
    <w:rsid w:val="00F02D46"/>
    <w:rsid w:val="00F045D4"/>
    <w:rsid w:val="00F06A9E"/>
    <w:rsid w:val="00F16707"/>
    <w:rsid w:val="00F17679"/>
    <w:rsid w:val="00F24AE7"/>
    <w:rsid w:val="00F25072"/>
    <w:rsid w:val="00F32374"/>
    <w:rsid w:val="00F3462B"/>
    <w:rsid w:val="00F35A8E"/>
    <w:rsid w:val="00F35F05"/>
    <w:rsid w:val="00F40742"/>
    <w:rsid w:val="00F43A92"/>
    <w:rsid w:val="00F44299"/>
    <w:rsid w:val="00F442A9"/>
    <w:rsid w:val="00F44A9B"/>
    <w:rsid w:val="00F47F02"/>
    <w:rsid w:val="00F510F6"/>
    <w:rsid w:val="00F513F2"/>
    <w:rsid w:val="00F51C7D"/>
    <w:rsid w:val="00F547C0"/>
    <w:rsid w:val="00F640BA"/>
    <w:rsid w:val="00F66B03"/>
    <w:rsid w:val="00F744D7"/>
    <w:rsid w:val="00F767A8"/>
    <w:rsid w:val="00F7791E"/>
    <w:rsid w:val="00F77EBF"/>
    <w:rsid w:val="00F826F5"/>
    <w:rsid w:val="00F85346"/>
    <w:rsid w:val="00F9042D"/>
    <w:rsid w:val="00F933DA"/>
    <w:rsid w:val="00F9465B"/>
    <w:rsid w:val="00FA1430"/>
    <w:rsid w:val="00FA19AD"/>
    <w:rsid w:val="00FA31D0"/>
    <w:rsid w:val="00FB1AAC"/>
    <w:rsid w:val="00FC5073"/>
    <w:rsid w:val="00FD0D99"/>
    <w:rsid w:val="00FE1E62"/>
    <w:rsid w:val="00FE39A7"/>
    <w:rsid w:val="00FE46DF"/>
    <w:rsid w:val="00FE5392"/>
    <w:rsid w:val="00FE53F5"/>
    <w:rsid w:val="00FF01F7"/>
    <w:rsid w:val="00FF3DEA"/>
    <w:rsid w:val="02E11279"/>
    <w:rsid w:val="0441390A"/>
    <w:rsid w:val="04C554BC"/>
    <w:rsid w:val="057B74E1"/>
    <w:rsid w:val="07071B14"/>
    <w:rsid w:val="07E94926"/>
    <w:rsid w:val="08352586"/>
    <w:rsid w:val="0A4A7484"/>
    <w:rsid w:val="0B3705F5"/>
    <w:rsid w:val="0BD41778"/>
    <w:rsid w:val="0CEC5F0E"/>
    <w:rsid w:val="0EA74A99"/>
    <w:rsid w:val="0EBB2FC7"/>
    <w:rsid w:val="0EF0566D"/>
    <w:rsid w:val="0F3109D9"/>
    <w:rsid w:val="0F5350BB"/>
    <w:rsid w:val="103936C9"/>
    <w:rsid w:val="105421D6"/>
    <w:rsid w:val="11134B92"/>
    <w:rsid w:val="1124702B"/>
    <w:rsid w:val="11512479"/>
    <w:rsid w:val="12613505"/>
    <w:rsid w:val="13B341E1"/>
    <w:rsid w:val="149312D1"/>
    <w:rsid w:val="14A20267"/>
    <w:rsid w:val="14BC0E10"/>
    <w:rsid w:val="15D57267"/>
    <w:rsid w:val="15F46F9C"/>
    <w:rsid w:val="194E5FD6"/>
    <w:rsid w:val="1A1F47EB"/>
    <w:rsid w:val="1B481CCF"/>
    <w:rsid w:val="1B4A2C53"/>
    <w:rsid w:val="1FB44D91"/>
    <w:rsid w:val="203051B6"/>
    <w:rsid w:val="20524B56"/>
    <w:rsid w:val="21590CC5"/>
    <w:rsid w:val="21A62FC3"/>
    <w:rsid w:val="23713E4E"/>
    <w:rsid w:val="23F41868"/>
    <w:rsid w:val="25CF2775"/>
    <w:rsid w:val="281B425C"/>
    <w:rsid w:val="293B2768"/>
    <w:rsid w:val="2A2655B6"/>
    <w:rsid w:val="2A273037"/>
    <w:rsid w:val="2AAE6793"/>
    <w:rsid w:val="2D342CBA"/>
    <w:rsid w:val="2D836CFC"/>
    <w:rsid w:val="2EAE30CD"/>
    <w:rsid w:val="2F332780"/>
    <w:rsid w:val="30D41EAC"/>
    <w:rsid w:val="32886F74"/>
    <w:rsid w:val="32D21971"/>
    <w:rsid w:val="330D71CD"/>
    <w:rsid w:val="335B4D4D"/>
    <w:rsid w:val="33F73CD2"/>
    <w:rsid w:val="341921A7"/>
    <w:rsid w:val="342A79A4"/>
    <w:rsid w:val="36720B63"/>
    <w:rsid w:val="37DE5837"/>
    <w:rsid w:val="37F479DA"/>
    <w:rsid w:val="381E22FA"/>
    <w:rsid w:val="3AEE2BBB"/>
    <w:rsid w:val="3B5F79F7"/>
    <w:rsid w:val="3B93114B"/>
    <w:rsid w:val="3C3D71DB"/>
    <w:rsid w:val="3CA05E05"/>
    <w:rsid w:val="3E274987"/>
    <w:rsid w:val="4343436A"/>
    <w:rsid w:val="43775ABD"/>
    <w:rsid w:val="45543701"/>
    <w:rsid w:val="46764F04"/>
    <w:rsid w:val="47847862"/>
    <w:rsid w:val="4BEA681C"/>
    <w:rsid w:val="4C4920B9"/>
    <w:rsid w:val="4CB9236D"/>
    <w:rsid w:val="4DBC4A28"/>
    <w:rsid w:val="4E753947"/>
    <w:rsid w:val="50BA02FE"/>
    <w:rsid w:val="52933407"/>
    <w:rsid w:val="56193C4E"/>
    <w:rsid w:val="56D55A8D"/>
    <w:rsid w:val="56ED74A9"/>
    <w:rsid w:val="58090EFA"/>
    <w:rsid w:val="584A2FE9"/>
    <w:rsid w:val="587924B3"/>
    <w:rsid w:val="58F011F8"/>
    <w:rsid w:val="58F802E6"/>
    <w:rsid w:val="5CA4290E"/>
    <w:rsid w:val="5D1715C8"/>
    <w:rsid w:val="5D2B4F05"/>
    <w:rsid w:val="5D7B386B"/>
    <w:rsid w:val="5E79378D"/>
    <w:rsid w:val="5EB36DEA"/>
    <w:rsid w:val="5EC02868"/>
    <w:rsid w:val="5FCF62BD"/>
    <w:rsid w:val="61130ED3"/>
    <w:rsid w:val="61546C54"/>
    <w:rsid w:val="61957F56"/>
    <w:rsid w:val="63DC5AE3"/>
    <w:rsid w:val="642052D3"/>
    <w:rsid w:val="6430100D"/>
    <w:rsid w:val="64657FC6"/>
    <w:rsid w:val="651A2F6C"/>
    <w:rsid w:val="65BD5FF9"/>
    <w:rsid w:val="66AF4687"/>
    <w:rsid w:val="674777CA"/>
    <w:rsid w:val="678A3FEA"/>
    <w:rsid w:val="678E71F1"/>
    <w:rsid w:val="67D27C62"/>
    <w:rsid w:val="68D648A2"/>
    <w:rsid w:val="6960616F"/>
    <w:rsid w:val="6A18511F"/>
    <w:rsid w:val="6A67569D"/>
    <w:rsid w:val="6B8F6404"/>
    <w:rsid w:val="6BEB7AFC"/>
    <w:rsid w:val="6D4D5460"/>
    <w:rsid w:val="6DE568D8"/>
    <w:rsid w:val="6F6822D7"/>
    <w:rsid w:val="6FA220B1"/>
    <w:rsid w:val="700C1760"/>
    <w:rsid w:val="70244C09"/>
    <w:rsid w:val="714275DF"/>
    <w:rsid w:val="73AC6B66"/>
    <w:rsid w:val="7510601B"/>
    <w:rsid w:val="759A577D"/>
    <w:rsid w:val="75C03C40"/>
    <w:rsid w:val="76985EA2"/>
    <w:rsid w:val="76CE7275"/>
    <w:rsid w:val="791B013F"/>
    <w:rsid w:val="79373A94"/>
    <w:rsid w:val="796075AF"/>
    <w:rsid w:val="79FF0A58"/>
    <w:rsid w:val="7A2C1281"/>
    <w:rsid w:val="7A5B654D"/>
    <w:rsid w:val="7ADB489D"/>
    <w:rsid w:val="7B87078B"/>
    <w:rsid w:val="7CE271F0"/>
    <w:rsid w:val="7D3753C2"/>
    <w:rsid w:val="7D6C7155"/>
    <w:rsid w:val="7DBA6ED4"/>
    <w:rsid w:val="7F8A5E4A"/>
    <w:rsid w:val="7FDE3356"/>
    <w:rsid w:val="7FDF0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0"/>
    <w:pPr>
      <w:keepNext/>
      <w:keepLines/>
      <w:spacing w:before="340" w:after="330" w:line="578" w:lineRule="auto"/>
      <w:ind w:firstLine="0" w:firstLineChars="0"/>
      <w:outlineLvl w:val="0"/>
    </w:pPr>
    <w:rPr>
      <w:rFonts w:ascii="Calibri" w:hAnsi="Calibri"/>
      <w:b/>
      <w:bCs/>
      <w:kern w:val="44"/>
      <w:sz w:val="44"/>
      <w:szCs w:val="44"/>
    </w:rPr>
  </w:style>
  <w:style w:type="character" w:default="1" w:styleId="14">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6"/>
    <w:qFormat/>
    <w:uiPriority w:val="0"/>
    <w:pPr>
      <w:spacing w:line="240" w:lineRule="auto"/>
    </w:pPr>
    <w:rPr>
      <w:sz w:val="20"/>
      <w:szCs w:val="20"/>
    </w:rPr>
  </w:style>
  <w:style w:type="paragraph" w:styleId="4">
    <w:name w:val="Body Text Indent"/>
    <w:basedOn w:val="1"/>
    <w:qFormat/>
    <w:uiPriority w:val="0"/>
    <w:pPr>
      <w:spacing w:line="440" w:lineRule="exact"/>
      <w:ind w:firstLine="720" w:firstLineChars="300"/>
    </w:pPr>
    <w:rPr>
      <w:sz w:val="24"/>
    </w:rPr>
  </w:style>
  <w:style w:type="paragraph" w:styleId="5">
    <w:name w:val="Plain Text"/>
    <w:basedOn w:val="1"/>
    <w:link w:val="23"/>
    <w:qFormat/>
    <w:uiPriority w:val="0"/>
    <w:pPr>
      <w:ind w:firstLine="0" w:firstLineChars="0"/>
    </w:pPr>
    <w:rPr>
      <w:rFonts w:ascii="宋体" w:hAnsi="Courier New"/>
    </w:rPr>
  </w:style>
  <w:style w:type="paragraph" w:styleId="6">
    <w:name w:val="Date"/>
    <w:basedOn w:val="1"/>
    <w:next w:val="1"/>
    <w:link w:val="25"/>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0">
    <w:name w:val="HTML Preformatted"/>
    <w:basedOn w:val="1"/>
    <w:link w:val="24"/>
    <w:qFormat/>
    <w:uiPriority w:val="0"/>
    <w:rPr>
      <w:rFonts w:ascii="Courier New" w:hAnsi="Courier New"/>
      <w:sz w:val="20"/>
      <w:szCs w:val="20"/>
    </w:rPr>
  </w:style>
  <w:style w:type="paragraph" w:styleId="11">
    <w:name w:val="Title"/>
    <w:basedOn w:val="1"/>
    <w:next w:val="1"/>
    <w:qFormat/>
    <w:uiPriority w:val="0"/>
    <w:pPr>
      <w:spacing w:before="240" w:after="60"/>
      <w:jc w:val="center"/>
      <w:outlineLvl w:val="0"/>
    </w:pPr>
    <w:rPr>
      <w:rFonts w:ascii="Cambria" w:hAnsi="Cambria"/>
      <w:b/>
      <w:bCs/>
      <w:sz w:val="32"/>
      <w:szCs w:val="32"/>
    </w:rPr>
  </w:style>
  <w:style w:type="paragraph" w:styleId="12">
    <w:name w:val="annotation subject"/>
    <w:basedOn w:val="3"/>
    <w:next w:val="3"/>
    <w:link w:val="27"/>
    <w:qFormat/>
    <w:uiPriority w:val="0"/>
    <w:rPr>
      <w:b/>
      <w:bCs/>
    </w:rPr>
  </w:style>
  <w:style w:type="character" w:styleId="15">
    <w:name w:val="page number"/>
    <w:basedOn w:val="14"/>
    <w:qFormat/>
    <w:uiPriority w:val="0"/>
  </w:style>
  <w:style w:type="character" w:styleId="16">
    <w:name w:val="FollowedHyperlink"/>
    <w:qFormat/>
    <w:uiPriority w:val="0"/>
    <w:rPr>
      <w:color w:val="800080"/>
      <w:u w:val="single"/>
    </w:rPr>
  </w:style>
  <w:style w:type="character" w:styleId="17">
    <w:name w:val="Hyperlink"/>
    <w:qFormat/>
    <w:uiPriority w:val="0"/>
    <w:rPr>
      <w:color w:val="0000FF"/>
      <w:u w:val="single"/>
    </w:rPr>
  </w:style>
  <w:style w:type="character" w:styleId="18">
    <w:name w:val="annotation reference"/>
    <w:basedOn w:val="14"/>
    <w:qFormat/>
    <w:uiPriority w:val="0"/>
    <w:rPr>
      <w:sz w:val="16"/>
      <w:szCs w:val="16"/>
    </w:rPr>
  </w:style>
  <w:style w:type="paragraph" w:customStyle="1" w:styleId="19">
    <w:name w:val="Char Char"/>
    <w:basedOn w:val="1"/>
    <w:qFormat/>
    <w:uiPriority w:val="0"/>
  </w:style>
  <w:style w:type="paragraph" w:customStyle="1" w:styleId="20">
    <w:name w:val="p0"/>
    <w:basedOn w:val="1"/>
    <w:qFormat/>
    <w:uiPriority w:val="0"/>
    <w:pPr>
      <w:widowControl/>
    </w:pPr>
    <w:rPr>
      <w:kern w:val="0"/>
      <w:szCs w:val="21"/>
    </w:rPr>
  </w:style>
  <w:style w:type="paragraph" w:customStyle="1" w:styleId="21">
    <w:name w:val="列出段落1"/>
    <w:basedOn w:val="1"/>
    <w:qFormat/>
    <w:uiPriority w:val="99"/>
    <w:pPr>
      <w:ind w:firstLine="420"/>
    </w:pPr>
    <w:rPr>
      <w:rFonts w:ascii="等线" w:hAnsi="等线" w:eastAsia="等线"/>
      <w:szCs w:val="22"/>
    </w:rPr>
  </w:style>
  <w:style w:type="character" w:customStyle="1" w:styleId="22">
    <w:name w:val="标题 1 Char"/>
    <w:link w:val="2"/>
    <w:qFormat/>
    <w:uiPriority w:val="0"/>
    <w:rPr>
      <w:rFonts w:ascii="Calibri" w:hAnsi="Calibri"/>
      <w:b/>
      <w:bCs/>
      <w:kern w:val="44"/>
      <w:sz w:val="44"/>
      <w:szCs w:val="44"/>
    </w:rPr>
  </w:style>
  <w:style w:type="character" w:customStyle="1" w:styleId="23">
    <w:name w:val="纯文本 Char"/>
    <w:link w:val="5"/>
    <w:qFormat/>
    <w:uiPriority w:val="0"/>
    <w:rPr>
      <w:rFonts w:ascii="宋体" w:hAnsi="Courier New"/>
      <w:kern w:val="2"/>
      <w:sz w:val="21"/>
      <w:szCs w:val="24"/>
    </w:rPr>
  </w:style>
  <w:style w:type="character" w:customStyle="1" w:styleId="24">
    <w:name w:val="HTML 预设格式 Char"/>
    <w:link w:val="10"/>
    <w:qFormat/>
    <w:uiPriority w:val="0"/>
    <w:rPr>
      <w:rFonts w:ascii="Courier New" w:hAnsi="Courier New" w:cs="Courier New"/>
      <w:kern w:val="2"/>
    </w:rPr>
  </w:style>
  <w:style w:type="character" w:customStyle="1" w:styleId="25">
    <w:name w:val="日期 Char"/>
    <w:link w:val="6"/>
    <w:qFormat/>
    <w:uiPriority w:val="0"/>
    <w:rPr>
      <w:kern w:val="2"/>
      <w:sz w:val="21"/>
      <w:szCs w:val="24"/>
    </w:rPr>
  </w:style>
  <w:style w:type="character" w:customStyle="1" w:styleId="26">
    <w:name w:val="批注文字 Char"/>
    <w:basedOn w:val="14"/>
    <w:link w:val="3"/>
    <w:qFormat/>
    <w:uiPriority w:val="0"/>
    <w:rPr>
      <w:kern w:val="2"/>
    </w:rPr>
  </w:style>
  <w:style w:type="character" w:customStyle="1" w:styleId="27">
    <w:name w:val="批注主题 Char"/>
    <w:basedOn w:val="26"/>
    <w:link w:val="12"/>
    <w:qFormat/>
    <w:uiPriority w:val="0"/>
    <w:rPr>
      <w:b/>
      <w:bCs/>
      <w:kern w:val="2"/>
    </w:rPr>
  </w:style>
  <w:style w:type="paragraph" w:styleId="28">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A9DCD6-3A6F-4025-97EC-51342848ACC4}">
  <ds:schemaRefs/>
</ds:datastoreItem>
</file>

<file path=docProps/app.xml><?xml version="1.0" encoding="utf-8"?>
<Properties xmlns="http://schemas.openxmlformats.org/officeDocument/2006/extended-properties" xmlns:vt="http://schemas.openxmlformats.org/officeDocument/2006/docPropsVTypes">
  <Template>Normal</Template>
  <Pages>33</Pages>
  <Words>2668</Words>
  <Characters>15208</Characters>
  <Lines>126</Lines>
  <Paragraphs>35</Paragraphs>
  <TotalTime>22</TotalTime>
  <ScaleCrop>false</ScaleCrop>
  <LinksUpToDate>false</LinksUpToDate>
  <CharactersWithSpaces>17841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2019-05-30T04:39:00Z</dcterms:created>
  <dc:creator>Administrator</dc:creator>
  <cp:lastModifiedBy>多年以后</cp:lastModifiedBy>
  <cp:lastPrinted>2019-05-27T08:26:00Z</cp:lastPrinted>
  <dcterms:modified xsi:type="dcterms:W3CDTF">2019-05-31T00:49:23Z</dcterms:modified>
  <dc:title>浙江丰安生物制药有限公司14.9723%国有法人股权</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