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spacing w:line="360" w:lineRule="auto"/>
        <w:ind w:left="8138" w:leftChars="-95" w:right="-395" w:rightChars="-188" w:hanging="8337" w:hangingChars="1654"/>
        <w:jc w:val="center"/>
        <w:rPr>
          <w:rFonts w:ascii="黑体" w:hAnsi="宋体" w:eastAsia="黑体"/>
          <w:b/>
          <w:spacing w:val="-9"/>
          <w:sz w:val="52"/>
          <w:szCs w:val="48"/>
        </w:rPr>
      </w:pPr>
      <w:r>
        <w:rPr>
          <w:rFonts w:hint="eastAsia" w:ascii="黑体" w:hAnsi="宋体" w:eastAsia="黑体"/>
          <w:b/>
          <w:spacing w:val="-9"/>
          <w:sz w:val="52"/>
          <w:szCs w:val="48"/>
        </w:rPr>
        <w:t>浙江海晟药业有限公司</w:t>
      </w:r>
    </w:p>
    <w:p>
      <w:pPr>
        <w:spacing w:line="360" w:lineRule="auto"/>
        <w:ind w:left="8138" w:leftChars="-95" w:right="-395" w:rightChars="-188" w:hanging="8337" w:hangingChars="1654"/>
        <w:jc w:val="center"/>
        <w:rPr>
          <w:rFonts w:ascii="黑体" w:hAnsi="宋体" w:eastAsia="黑体"/>
          <w:b/>
          <w:spacing w:val="-9"/>
          <w:sz w:val="52"/>
          <w:szCs w:val="48"/>
        </w:rPr>
      </w:pPr>
      <w:r>
        <w:rPr>
          <w:rFonts w:hint="eastAsia" w:ascii="黑体" w:hAnsi="宋体" w:eastAsia="黑体"/>
          <w:b/>
          <w:spacing w:val="-9"/>
          <w:sz w:val="52"/>
          <w:szCs w:val="48"/>
        </w:rPr>
        <w:t>10815.7895万股股权</w:t>
      </w:r>
    </w:p>
    <w:p>
      <w:pPr>
        <w:spacing w:line="360" w:lineRule="auto"/>
        <w:ind w:left="8138" w:leftChars="-95" w:right="-395" w:rightChars="-188" w:hanging="8337" w:hangingChars="1654"/>
        <w:jc w:val="center"/>
        <w:rPr>
          <w:rFonts w:ascii="黑体" w:hAnsi="宋体" w:eastAsia="黑体"/>
          <w:b/>
          <w:spacing w:val="-9"/>
          <w:sz w:val="52"/>
          <w:szCs w:val="48"/>
        </w:rPr>
      </w:pPr>
    </w:p>
    <w:p>
      <w:pPr>
        <w:spacing w:line="360" w:lineRule="auto"/>
        <w:ind w:left="8435" w:leftChars="-95" w:right="-395" w:rightChars="-188" w:hanging="8634" w:hangingChars="1654"/>
        <w:jc w:val="center"/>
        <w:rPr>
          <w:rFonts w:ascii="黑体" w:hAnsi="宋体" w:eastAsia="黑体"/>
          <w:b/>
          <w:sz w:val="52"/>
          <w:szCs w:val="48"/>
        </w:rPr>
      </w:pPr>
    </w:p>
    <w:p>
      <w:pPr>
        <w:spacing w:line="360" w:lineRule="auto"/>
        <w:ind w:firstLine="964"/>
        <w:jc w:val="center"/>
        <w:rPr>
          <w:rFonts w:ascii="黑体" w:hAnsi="宋体" w:eastAsia="黑体"/>
          <w:b/>
          <w:sz w:val="48"/>
          <w:szCs w:val="48"/>
        </w:rPr>
      </w:pPr>
    </w:p>
    <w:p>
      <w:pPr>
        <w:spacing w:line="360" w:lineRule="auto"/>
        <w:ind w:firstLine="0" w:firstLineChars="0"/>
        <w:jc w:val="center"/>
        <w:rPr>
          <w:rFonts w:ascii="黑体" w:hAnsi="宋体" w:eastAsia="黑体"/>
          <w:b/>
          <w:sz w:val="68"/>
          <w:szCs w:val="68"/>
        </w:rPr>
      </w:pPr>
      <w:r>
        <w:rPr>
          <w:rFonts w:hint="eastAsia" w:ascii="黑体" w:hAnsi="宋体" w:eastAsia="黑体"/>
          <w:b/>
          <w:sz w:val="68"/>
          <w:szCs w:val="68"/>
        </w:rPr>
        <w:t>转 让 文 件</w:t>
      </w:r>
    </w:p>
    <w:p>
      <w:pPr>
        <w:spacing w:line="360" w:lineRule="auto"/>
        <w:ind w:firstLine="643"/>
        <w:jc w:val="center"/>
        <w:rPr>
          <w:rFonts w:ascii="黑体" w:hAnsi="宋体" w:eastAsia="黑体"/>
          <w:b/>
          <w:sz w:val="32"/>
          <w:szCs w:val="32"/>
        </w:rPr>
      </w:pPr>
    </w:p>
    <w:p>
      <w:pPr>
        <w:spacing w:line="360" w:lineRule="auto"/>
        <w:ind w:firstLine="0" w:firstLineChars="0"/>
        <w:jc w:val="center"/>
        <w:rPr>
          <w:rFonts w:ascii="黑体" w:hAnsi="宋体" w:eastAsia="黑体"/>
          <w:b/>
          <w:sz w:val="32"/>
          <w:szCs w:val="32"/>
        </w:rPr>
      </w:pPr>
      <w:r>
        <w:rPr>
          <w:rFonts w:hint="eastAsia" w:ascii="黑体" w:hAnsi="宋体" w:eastAsia="黑体"/>
          <w:b/>
          <w:sz w:val="32"/>
          <w:szCs w:val="32"/>
        </w:rPr>
        <w:t>台交所挂〔2018〕29号</w:t>
      </w:r>
    </w:p>
    <w:p>
      <w:pPr>
        <w:spacing w:line="360" w:lineRule="auto"/>
        <w:ind w:firstLine="1365"/>
        <w:jc w:val="center"/>
        <w:rPr>
          <w:rFonts w:ascii="黑体" w:hAnsi="宋体" w:eastAsia="黑体"/>
          <w:b/>
          <w:sz w:val="68"/>
          <w:szCs w:val="68"/>
        </w:rPr>
      </w:pPr>
    </w:p>
    <w:p>
      <w:pPr>
        <w:spacing w:line="360" w:lineRule="auto"/>
        <w:ind w:firstLine="560"/>
        <w:rPr>
          <w:rFonts w:ascii="宋体" w:hAnsi="宋体"/>
          <w:sz w:val="28"/>
          <w:szCs w:val="28"/>
        </w:rPr>
      </w:pPr>
    </w:p>
    <w:p>
      <w:pPr>
        <w:ind w:firstLine="0" w:firstLineChars="0"/>
        <w:rPr>
          <w:rFonts w:ascii="宋体" w:hAnsi="宋体"/>
          <w:sz w:val="28"/>
          <w:szCs w:val="28"/>
        </w:rPr>
      </w:pPr>
    </w:p>
    <w:p>
      <w:pPr>
        <w:ind w:firstLine="560"/>
        <w:rPr>
          <w:rFonts w:ascii="宋体" w:hAnsi="宋体"/>
          <w:sz w:val="28"/>
          <w:szCs w:val="28"/>
        </w:rPr>
      </w:pPr>
    </w:p>
    <w:p>
      <w:pPr>
        <w:ind w:left="-540" w:leftChars="-257" w:right="-693" w:rightChars="-330" w:firstLine="560"/>
        <w:rPr>
          <w:rFonts w:ascii="宋体" w:hAnsi="宋体"/>
          <w:sz w:val="28"/>
          <w:szCs w:val="28"/>
        </w:rPr>
      </w:pPr>
    </w:p>
    <w:p>
      <w:pPr>
        <w:ind w:firstLine="0" w:firstLineChars="0"/>
        <w:rPr>
          <w:rFonts w:ascii="宋体" w:hAnsi="宋体"/>
          <w:b/>
          <w:sz w:val="18"/>
          <w:szCs w:val="18"/>
        </w:rPr>
      </w:pPr>
      <w:r>
        <w:rPr>
          <w:rFonts w:hint="eastAsia" w:ascii="宋体" w:hAnsi="宋体"/>
          <w:b/>
          <w:sz w:val="18"/>
          <w:szCs w:val="18"/>
        </w:rPr>
        <w:t>◎台州市产权交易所有限公司◎地址：台州市市府大道777号民泰银行5楼511室◎电话：88685177 88685180◎网址：www.tzpre.com</w:t>
      </w:r>
    </w:p>
    <w:p>
      <w:pPr>
        <w:spacing w:line="720" w:lineRule="auto"/>
        <w:ind w:firstLine="562"/>
        <w:jc w:val="center"/>
        <w:rPr>
          <w:rFonts w:ascii="宋体" w:hAnsi="宋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docGrid w:type="lines" w:linePitch="312" w:charSpace="0"/>
        </w:sectPr>
      </w:pPr>
    </w:p>
    <w:p>
      <w:pPr>
        <w:spacing w:line="720" w:lineRule="auto"/>
        <w:ind w:firstLine="0" w:firstLineChars="0"/>
        <w:jc w:val="center"/>
        <w:rPr>
          <w:rFonts w:ascii="黑体" w:hAnsi="宋体" w:eastAsia="黑体"/>
          <w:b/>
          <w:bCs/>
          <w:sz w:val="84"/>
        </w:rPr>
      </w:pPr>
      <w:r>
        <w:rPr>
          <w:rFonts w:hint="eastAsia" w:ascii="黑体" w:hAnsi="宋体" w:eastAsia="黑体"/>
          <w:b/>
          <w:bCs/>
          <w:sz w:val="84"/>
        </w:rPr>
        <w:t>目　</w:t>
      </w:r>
      <w:r>
        <w:rPr>
          <w:rFonts w:ascii="黑体" w:hAnsi="宋体" w:eastAsia="黑体"/>
          <w:b/>
          <w:bCs/>
          <w:sz w:val="84"/>
        </w:rPr>
        <w:t xml:space="preserve"> 录</w:t>
      </w:r>
    </w:p>
    <w:p>
      <w:pPr>
        <w:spacing w:line="60" w:lineRule="auto"/>
        <w:ind w:firstLine="0" w:firstLineChars="0"/>
        <w:jc w:val="center"/>
        <w:rPr>
          <w:rFonts w:ascii="宋体" w:hAnsi="宋体"/>
          <w:b/>
          <w:sz w:val="40"/>
          <w:szCs w:val="32"/>
        </w:rPr>
      </w:pPr>
      <w:r>
        <w:rPr>
          <w:rFonts w:hint="eastAsia" w:ascii="宋体" w:hAnsi="宋体"/>
          <w:b/>
          <w:sz w:val="40"/>
          <w:szCs w:val="32"/>
        </w:rPr>
        <w:t>浙江海晟药业有限公司股权</w:t>
      </w:r>
    </w:p>
    <w:p>
      <w:pPr>
        <w:spacing w:line="60" w:lineRule="auto"/>
        <w:ind w:firstLine="0" w:firstLineChars="0"/>
        <w:jc w:val="center"/>
        <w:rPr>
          <w:rFonts w:ascii="黑体" w:hAnsi="宋体" w:eastAsia="黑体"/>
          <w:b/>
          <w:bCs/>
          <w:spacing w:val="140"/>
          <w:sz w:val="44"/>
        </w:rPr>
      </w:pPr>
      <w:r>
        <w:rPr>
          <w:rFonts w:hint="eastAsia" w:ascii="黑体" w:hAnsi="宋体" w:eastAsia="黑体"/>
          <w:b/>
          <w:bCs/>
          <w:spacing w:val="140"/>
          <w:sz w:val="44"/>
        </w:rPr>
        <w:t>转让文件</w:t>
      </w:r>
    </w:p>
    <w:p>
      <w:pPr>
        <w:ind w:firstLine="560"/>
        <w:rPr>
          <w:rFonts w:ascii="宋体" w:hAnsi="宋体"/>
          <w:sz w:val="28"/>
          <w:szCs w:val="28"/>
        </w:rPr>
      </w:pPr>
    </w:p>
    <w:p>
      <w:pPr>
        <w:ind w:firstLine="560"/>
        <w:rPr>
          <w:rFonts w:ascii="宋体" w:hAnsi="宋体"/>
          <w:sz w:val="28"/>
          <w:szCs w:val="28"/>
        </w:rPr>
      </w:pPr>
    </w:p>
    <w:sdt>
      <w:sdtPr>
        <w:rPr>
          <w:lang w:val="zh-CN"/>
        </w:rPr>
        <w:id w:val="291027570"/>
        <w:docPartObj>
          <w:docPartGallery w:val="Table of Contents"/>
          <w:docPartUnique/>
        </w:docPartObj>
      </w:sdtPr>
      <w:sdtEndPr>
        <w:rPr>
          <w:rFonts w:ascii="Times New Roman" w:hAnsi="Times New Roman" w:eastAsia="宋体" w:cs="Times New Roman"/>
          <w:color w:val="auto"/>
          <w:kern w:val="2"/>
          <w:sz w:val="32"/>
          <w:szCs w:val="32"/>
          <w:lang w:val="zh-CN"/>
        </w:rPr>
      </w:sdtEndPr>
      <w:sdtContent>
        <w:p>
          <w:pPr>
            <w:pStyle w:val="35"/>
            <w:ind w:firstLine="420"/>
          </w:pPr>
        </w:p>
        <w:p>
          <w:pPr>
            <w:pStyle w:val="12"/>
            <w:tabs>
              <w:tab w:val="right" w:leader="dot" w:pos="8834"/>
            </w:tabs>
            <w:spacing w:before="100" w:beforeAutospacing="1" w:after="100" w:afterAutospacing="1"/>
            <w:rPr>
              <w:rFonts w:asciiTheme="minorHAnsi" w:hAnsiTheme="minorHAnsi" w:eastAsiaTheme="minorEastAsia" w:cstheme="minorBidi"/>
              <w:sz w:val="32"/>
              <w:szCs w:val="32"/>
            </w:rPr>
          </w:pPr>
          <w:r>
            <w:rPr>
              <w:sz w:val="32"/>
              <w:szCs w:val="32"/>
            </w:rPr>
            <w:fldChar w:fldCharType="begin"/>
          </w:r>
          <w:r>
            <w:rPr>
              <w:sz w:val="32"/>
              <w:szCs w:val="32"/>
            </w:rPr>
            <w:instrText xml:space="preserve"> TOC \o "1-3" \h \z \u </w:instrText>
          </w:r>
          <w:r>
            <w:rPr>
              <w:sz w:val="32"/>
              <w:szCs w:val="32"/>
            </w:rPr>
            <w:fldChar w:fldCharType="separate"/>
          </w:r>
          <w:r>
            <w:fldChar w:fldCharType="begin"/>
          </w:r>
          <w:r>
            <w:instrText xml:space="preserve"> HYPERLINK \l "_Toc528773690" </w:instrText>
          </w:r>
          <w:r>
            <w:fldChar w:fldCharType="separate"/>
          </w:r>
          <w:r>
            <w:rPr>
              <w:rStyle w:val="19"/>
              <w:rFonts w:hint="eastAsia"/>
              <w:sz w:val="32"/>
              <w:szCs w:val="32"/>
            </w:rPr>
            <w:t>股权转让公告</w:t>
          </w:r>
          <w:r>
            <w:rPr>
              <w:sz w:val="32"/>
              <w:szCs w:val="32"/>
            </w:rPr>
            <w:tab/>
          </w:r>
          <w:r>
            <w:rPr>
              <w:sz w:val="32"/>
              <w:szCs w:val="32"/>
            </w:rPr>
            <w:fldChar w:fldCharType="begin"/>
          </w:r>
          <w:r>
            <w:rPr>
              <w:sz w:val="32"/>
              <w:szCs w:val="32"/>
            </w:rPr>
            <w:instrText xml:space="preserve"> PAGEREF _Toc528773690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"_Toc528773691" </w:instrText>
          </w:r>
          <w:r>
            <w:fldChar w:fldCharType="separate"/>
          </w:r>
          <w:r>
            <w:rPr>
              <w:rStyle w:val="19"/>
              <w:rFonts w:hint="eastAsia"/>
              <w:sz w:val="32"/>
              <w:szCs w:val="32"/>
            </w:rPr>
            <w:t>转让须知</w:t>
          </w:r>
          <w:r>
            <w:rPr>
              <w:sz w:val="32"/>
              <w:szCs w:val="32"/>
            </w:rPr>
            <w:tab/>
          </w:r>
          <w:r>
            <w:rPr>
              <w:sz w:val="32"/>
              <w:szCs w:val="32"/>
            </w:rPr>
            <w:fldChar w:fldCharType="begin"/>
          </w:r>
          <w:r>
            <w:rPr>
              <w:sz w:val="32"/>
              <w:szCs w:val="32"/>
            </w:rPr>
            <w:instrText xml:space="preserve"> PAGEREF _Toc528773691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"_Toc528773692" </w:instrText>
          </w:r>
          <w:r>
            <w:fldChar w:fldCharType="separate"/>
          </w:r>
          <w:r>
            <w:rPr>
              <w:rStyle w:val="19"/>
              <w:rFonts w:hint="eastAsia"/>
              <w:sz w:val="32"/>
              <w:szCs w:val="32"/>
            </w:rPr>
            <w:t>竞买申请书</w:t>
          </w:r>
          <w:r>
            <w:rPr>
              <w:sz w:val="32"/>
              <w:szCs w:val="32"/>
            </w:rPr>
            <w:tab/>
          </w:r>
          <w:r>
            <w:rPr>
              <w:sz w:val="32"/>
              <w:szCs w:val="32"/>
            </w:rPr>
            <w:fldChar w:fldCharType="begin"/>
          </w:r>
          <w:r>
            <w:rPr>
              <w:sz w:val="32"/>
              <w:szCs w:val="32"/>
            </w:rPr>
            <w:instrText xml:space="preserve"> PAGEREF _Toc528773692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"_Toc528773693" </w:instrText>
          </w:r>
          <w:r>
            <w:fldChar w:fldCharType="separate"/>
          </w:r>
          <w:r>
            <w:rPr>
              <w:rStyle w:val="19"/>
              <w:rFonts w:hint="eastAsia"/>
              <w:sz w:val="32"/>
              <w:szCs w:val="32"/>
            </w:rPr>
            <w:t>竞买人承诺函</w:t>
          </w:r>
          <w:r>
            <w:rPr>
              <w:sz w:val="32"/>
              <w:szCs w:val="32"/>
            </w:rPr>
            <w:tab/>
          </w:r>
          <w:r>
            <w:rPr>
              <w:sz w:val="32"/>
              <w:szCs w:val="32"/>
            </w:rPr>
            <w:fldChar w:fldCharType="begin"/>
          </w:r>
          <w:r>
            <w:rPr>
              <w:sz w:val="32"/>
              <w:szCs w:val="32"/>
            </w:rPr>
            <w:instrText xml:space="preserve"> PAGEREF _Toc528773693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"_Toc528773694" </w:instrText>
          </w:r>
          <w:r>
            <w:fldChar w:fldCharType="separate"/>
          </w:r>
          <w:r>
            <w:rPr>
              <w:rStyle w:val="19"/>
              <w:rFonts w:hint="eastAsia"/>
              <w:sz w:val="32"/>
              <w:szCs w:val="32"/>
            </w:rPr>
            <w:t>成交确认书</w:t>
          </w:r>
          <w:r>
            <w:rPr>
              <w:sz w:val="32"/>
              <w:szCs w:val="32"/>
            </w:rPr>
            <w:tab/>
          </w:r>
          <w:r>
            <w:rPr>
              <w:sz w:val="32"/>
              <w:szCs w:val="32"/>
            </w:rPr>
            <w:fldChar w:fldCharType="begin"/>
          </w:r>
          <w:r>
            <w:rPr>
              <w:sz w:val="32"/>
              <w:szCs w:val="32"/>
            </w:rPr>
            <w:instrText xml:space="preserve"> PAGEREF _Toc528773694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"_Toc528773695" </w:instrText>
          </w:r>
          <w:r>
            <w:fldChar w:fldCharType="separate"/>
          </w:r>
          <w:r>
            <w:rPr>
              <w:rStyle w:val="19"/>
              <w:rFonts w:hint="eastAsia"/>
              <w:sz w:val="32"/>
              <w:szCs w:val="32"/>
            </w:rPr>
            <w:t>转让合同</w:t>
          </w:r>
          <w:r>
            <w:rPr>
              <w:sz w:val="32"/>
              <w:szCs w:val="32"/>
            </w:rPr>
            <w:tab/>
          </w:r>
          <w:r>
            <w:rPr>
              <w:sz w:val="32"/>
              <w:szCs w:val="32"/>
            </w:rPr>
            <w:fldChar w:fldCharType="begin"/>
          </w:r>
          <w:r>
            <w:rPr>
              <w:sz w:val="32"/>
              <w:szCs w:val="32"/>
            </w:rPr>
            <w:instrText xml:space="preserve"> PAGEREF _Toc528773695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"_Toc528773696" </w:instrText>
          </w:r>
          <w:r>
            <w:fldChar w:fldCharType="separate"/>
          </w:r>
          <w:r>
            <w:rPr>
              <w:rStyle w:val="19"/>
              <w:rFonts w:hint="eastAsia"/>
              <w:sz w:val="32"/>
              <w:szCs w:val="32"/>
            </w:rPr>
            <w:t>转让股权相关信息</w:t>
          </w:r>
          <w:r>
            <w:rPr>
              <w:sz w:val="32"/>
              <w:szCs w:val="32"/>
            </w:rPr>
            <w:tab/>
          </w:r>
          <w:r>
            <w:rPr>
              <w:sz w:val="32"/>
              <w:szCs w:val="32"/>
            </w:rPr>
            <w:fldChar w:fldCharType="begin"/>
          </w:r>
          <w:r>
            <w:rPr>
              <w:sz w:val="32"/>
              <w:szCs w:val="32"/>
            </w:rPr>
            <w:instrText xml:space="preserve"> PAGEREF _Toc528773696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2"/>
            <w:tabs>
              <w:tab w:val="right" w:leader="dot" w:pos="8834"/>
            </w:tabs>
            <w:spacing w:before="100" w:beforeAutospacing="1" w:after="100" w:afterAutospacing="1"/>
            <w:ind w:firstLine="640"/>
            <w:rPr>
              <w:rFonts w:asciiTheme="minorHAnsi" w:hAnsiTheme="minorHAnsi" w:eastAsiaTheme="minorEastAsia" w:cstheme="minorBidi"/>
              <w:sz w:val="32"/>
              <w:szCs w:val="32"/>
            </w:rPr>
          </w:pPr>
          <w:r>
            <w:fldChar w:fldCharType="begin"/>
          </w:r>
          <w:r>
            <w:instrText xml:space="preserve"> HYPERLINK \l "_Toc528773697" </w:instrText>
          </w:r>
          <w:r>
            <w:fldChar w:fldCharType="separate"/>
          </w:r>
          <w:r>
            <w:rPr>
              <w:rStyle w:val="19"/>
              <w:rFonts w:hint="eastAsia"/>
              <w:sz w:val="32"/>
              <w:szCs w:val="32"/>
            </w:rPr>
            <w:t>台州市产权交易所有限公司简介</w:t>
          </w:r>
          <w:r>
            <w:rPr>
              <w:sz w:val="32"/>
              <w:szCs w:val="32"/>
            </w:rPr>
            <w:tab/>
          </w:r>
          <w:r>
            <w:rPr>
              <w:sz w:val="32"/>
              <w:szCs w:val="32"/>
            </w:rPr>
            <w:fldChar w:fldCharType="begin"/>
          </w:r>
          <w:r>
            <w:rPr>
              <w:sz w:val="32"/>
              <w:szCs w:val="32"/>
            </w:rPr>
            <w:instrText xml:space="preserve"> PAGEREF _Toc528773697 \h </w:instrText>
          </w:r>
          <w:r>
            <w:rPr>
              <w:sz w:val="32"/>
              <w:szCs w:val="32"/>
            </w:rPr>
            <w:fldChar w:fldCharType="separate"/>
          </w:r>
          <w:r>
            <w:rPr>
              <w:sz w:val="32"/>
              <w:szCs w:val="32"/>
            </w:rPr>
            <w:t>27</w:t>
          </w:r>
          <w:r>
            <w:rPr>
              <w:sz w:val="32"/>
              <w:szCs w:val="32"/>
            </w:rPr>
            <w:fldChar w:fldCharType="end"/>
          </w:r>
          <w:r>
            <w:rPr>
              <w:sz w:val="32"/>
              <w:szCs w:val="32"/>
            </w:rPr>
            <w:fldChar w:fldCharType="end"/>
          </w:r>
        </w:p>
        <w:p>
          <w:pPr>
            <w:spacing w:before="100" w:beforeAutospacing="1" w:after="100" w:afterAutospacing="1"/>
            <w:ind w:firstLine="643"/>
            <w:rPr>
              <w:sz w:val="32"/>
              <w:szCs w:val="32"/>
            </w:rPr>
          </w:pPr>
          <w:r>
            <w:rPr>
              <w:b/>
              <w:bCs/>
              <w:sz w:val="32"/>
              <w:szCs w:val="32"/>
              <w:lang w:val="zh-CN"/>
            </w:rPr>
            <w:fldChar w:fldCharType="end"/>
          </w:r>
        </w:p>
      </w:sdtContent>
    </w:sdt>
    <w:p>
      <w:pPr>
        <w:ind w:firstLine="562"/>
        <w:rPr>
          <w:rFonts w:ascii="宋体" w:hAnsi="宋体"/>
          <w:b/>
          <w:bCs/>
          <w:sz w:val="28"/>
          <w:szCs w:val="28"/>
        </w:rPr>
      </w:pPr>
    </w:p>
    <w:p>
      <w:pPr>
        <w:ind w:firstLine="562"/>
        <w:jc w:val="center"/>
        <w:rPr>
          <w:rFonts w:ascii="宋体" w:hAnsi="宋体"/>
          <w:b/>
          <w:sz w:val="28"/>
          <w:szCs w:val="28"/>
        </w:rPr>
        <w:sectPr>
          <w:footerReference r:id="rId9" w:type="default"/>
          <w:pgSz w:w="11906" w:h="16838"/>
          <w:pgMar w:top="1440" w:right="1531" w:bottom="1327" w:left="1531" w:header="851" w:footer="992" w:gutter="0"/>
          <w:cols w:space="720" w:num="1"/>
          <w:docGrid w:type="lines" w:linePitch="312" w:charSpace="0"/>
        </w:sectPr>
      </w:pPr>
    </w:p>
    <w:p>
      <w:pPr>
        <w:pStyle w:val="2"/>
        <w:spacing w:before="100" w:beforeAutospacing="1" w:after="100" w:afterAutospacing="1" w:line="360" w:lineRule="auto"/>
        <w:jc w:val="center"/>
        <w:rPr>
          <w:sz w:val="36"/>
        </w:rPr>
      </w:pPr>
      <w:bookmarkStart w:id="0" w:name="_Toc528773690"/>
      <w:r>
        <w:rPr>
          <w:rFonts w:hint="eastAsia"/>
          <w:sz w:val="36"/>
        </w:rPr>
        <w:t>股权转让公告</w:t>
      </w:r>
      <w:bookmarkEnd w:id="0"/>
    </w:p>
    <w:p>
      <w:pPr>
        <w:ind w:firstLine="0" w:firstLineChars="0"/>
        <w:jc w:val="center"/>
        <w:rPr>
          <w:rFonts w:ascii="宋体" w:hAnsi="宋体"/>
          <w:bCs/>
          <w:sz w:val="28"/>
          <w:szCs w:val="28"/>
        </w:rPr>
      </w:pPr>
      <w:r>
        <w:rPr>
          <w:rFonts w:hint="eastAsia" w:ascii="宋体" w:hAnsi="宋体"/>
          <w:bCs/>
          <w:sz w:val="28"/>
          <w:szCs w:val="28"/>
        </w:rPr>
        <w:t>台交所挂〔2018〕29号</w:t>
      </w:r>
    </w:p>
    <w:p>
      <w:pPr>
        <w:ind w:firstLine="560"/>
        <w:jc w:val="left"/>
        <w:rPr>
          <w:rFonts w:ascii="宋体" w:hAnsi="宋体"/>
          <w:sz w:val="28"/>
          <w:szCs w:val="28"/>
        </w:rPr>
      </w:pPr>
      <w:r>
        <w:rPr>
          <w:rFonts w:hint="eastAsia" w:ascii="宋体" w:hAnsi="宋体"/>
          <w:sz w:val="28"/>
          <w:szCs w:val="28"/>
        </w:rPr>
        <w:t>受有关单位委托，台州市产权交易所有限公司（以下简称产交所）对</w:t>
      </w:r>
      <w:bookmarkStart w:id="1" w:name="_Hlk527011094"/>
      <w:bookmarkStart w:id="2" w:name="_Hlk526956940"/>
      <w:r>
        <w:rPr>
          <w:rFonts w:hint="eastAsia" w:ascii="宋体" w:hAnsi="宋体"/>
          <w:sz w:val="28"/>
          <w:szCs w:val="28"/>
        </w:rPr>
        <w:t>海正药业（杭州）有限公司持有的浙江海晟药业有限公司</w:t>
      </w:r>
      <w:bookmarkEnd w:id="1"/>
      <w:bookmarkStart w:id="3" w:name="_Hlk527011204"/>
      <w:r>
        <w:rPr>
          <w:rFonts w:hint="eastAsia" w:ascii="宋体" w:hAnsi="宋体"/>
          <w:sz w:val="28"/>
          <w:szCs w:val="28"/>
        </w:rPr>
        <w:t>10815.7895万</w:t>
      </w:r>
      <w:bookmarkEnd w:id="2"/>
      <w:bookmarkEnd w:id="3"/>
      <w:r>
        <w:rPr>
          <w:rFonts w:hint="eastAsia" w:ascii="宋体" w:hAnsi="宋体"/>
          <w:sz w:val="28"/>
          <w:szCs w:val="28"/>
        </w:rPr>
        <w:t>股股权进行公开转让，具体事宜公告如下：</w:t>
      </w:r>
    </w:p>
    <w:p>
      <w:pPr>
        <w:numPr>
          <w:ilvl w:val="0"/>
          <w:numId w:val="1"/>
        </w:numPr>
        <w:ind w:left="0" w:firstLine="562"/>
        <w:jc w:val="left"/>
        <w:rPr>
          <w:rFonts w:ascii="宋体" w:hAnsi="宋体"/>
          <w:b/>
          <w:sz w:val="28"/>
          <w:szCs w:val="28"/>
        </w:rPr>
      </w:pPr>
      <w:r>
        <w:rPr>
          <w:rFonts w:hint="eastAsia" w:ascii="宋体" w:hAnsi="宋体"/>
          <w:b/>
          <w:sz w:val="28"/>
          <w:szCs w:val="28"/>
        </w:rPr>
        <w:t>转让标的、底价及保证金</w:t>
      </w:r>
    </w:p>
    <w:p>
      <w:pPr>
        <w:ind w:firstLine="560"/>
        <w:jc w:val="left"/>
        <w:rPr>
          <w:rFonts w:ascii="宋体" w:hAnsi="宋体"/>
          <w:sz w:val="28"/>
          <w:szCs w:val="28"/>
        </w:rPr>
      </w:pPr>
      <w:r>
        <w:rPr>
          <w:rFonts w:hint="eastAsia" w:ascii="宋体" w:hAnsi="宋体"/>
          <w:sz w:val="28"/>
          <w:szCs w:val="28"/>
        </w:rPr>
        <w:t>本次转让标的为</w:t>
      </w:r>
      <w:bookmarkStart w:id="4" w:name="_Hlk525637256"/>
      <w:r>
        <w:rPr>
          <w:rFonts w:hint="eastAsia" w:ascii="宋体" w:hAnsi="宋体"/>
          <w:sz w:val="28"/>
          <w:szCs w:val="28"/>
        </w:rPr>
        <w:t>海正药业（杭州）有限公司持有的浙江海晟药业有限公司10815.7895万</w:t>
      </w:r>
      <w:bookmarkEnd w:id="4"/>
      <w:r>
        <w:rPr>
          <w:rFonts w:hint="eastAsia" w:ascii="宋体" w:hAnsi="宋体"/>
          <w:sz w:val="28"/>
          <w:szCs w:val="28"/>
        </w:rPr>
        <w:t>股股权，转让底价</w:t>
      </w:r>
      <w:r>
        <w:rPr>
          <w:rFonts w:ascii="宋体" w:hAnsi="宋体"/>
          <w:sz w:val="28"/>
          <w:szCs w:val="28"/>
        </w:rPr>
        <w:t>68500</w:t>
      </w:r>
      <w:r>
        <w:rPr>
          <w:rFonts w:hint="eastAsia" w:ascii="宋体" w:hAnsi="宋体"/>
          <w:sz w:val="28"/>
          <w:szCs w:val="28"/>
        </w:rPr>
        <w:t>万元，竞买保证金6850万元。</w:t>
      </w:r>
    </w:p>
    <w:p>
      <w:pPr>
        <w:numPr>
          <w:ilvl w:val="0"/>
          <w:numId w:val="1"/>
        </w:numPr>
        <w:ind w:left="0" w:firstLine="562"/>
        <w:jc w:val="left"/>
        <w:rPr>
          <w:rFonts w:ascii="宋体" w:hAnsi="宋体"/>
          <w:b/>
          <w:sz w:val="28"/>
          <w:szCs w:val="28"/>
        </w:rPr>
      </w:pPr>
      <w:r>
        <w:rPr>
          <w:rFonts w:hint="eastAsia" w:ascii="宋体" w:hAnsi="宋体"/>
          <w:b/>
          <w:sz w:val="28"/>
          <w:szCs w:val="28"/>
        </w:rPr>
        <w:t>转让方式、竞买人条件</w:t>
      </w:r>
    </w:p>
    <w:p>
      <w:pPr>
        <w:ind w:firstLine="560" w:firstLineChars="0"/>
        <w:jc w:val="left"/>
        <w:rPr>
          <w:rFonts w:ascii="宋体" w:hAnsi="宋体"/>
          <w:bCs/>
          <w:sz w:val="28"/>
          <w:szCs w:val="28"/>
        </w:rPr>
      </w:pPr>
      <w:bookmarkStart w:id="5" w:name="待定01"/>
      <w:r>
        <w:rPr>
          <w:rFonts w:hint="eastAsia" w:ascii="宋体" w:hAnsi="宋体"/>
          <w:sz w:val="28"/>
          <w:szCs w:val="28"/>
        </w:rPr>
        <w:t>本次股权转让公告发布的同时，标的公司浙江海晟药业有限公司同步发布增资项目公告（台交所挂〔2018〕30号）,竞买人</w:t>
      </w:r>
      <w:r>
        <w:rPr>
          <w:rFonts w:hint="eastAsia" w:ascii="宋体" w:hAnsi="宋体"/>
          <w:bCs/>
          <w:sz w:val="28"/>
          <w:szCs w:val="28"/>
        </w:rPr>
        <w:t>资格条件、交易条件、与转让相关的其他条件以增资公告为准，本转让项目不单独接受竞买人办理受让意向登记手续，竞买人须满足“浙江海晟药业有限公司增资项目”的资格条件，并承诺接受所有增资条件，成为增资项目的意向投资方。</w:t>
      </w:r>
    </w:p>
    <w:p>
      <w:pPr>
        <w:numPr>
          <w:ilvl w:val="0"/>
          <w:numId w:val="1"/>
        </w:numPr>
        <w:ind w:left="0" w:firstLine="562"/>
        <w:jc w:val="left"/>
        <w:rPr>
          <w:rFonts w:ascii="宋体" w:hAnsi="宋体"/>
          <w:b/>
          <w:sz w:val="28"/>
          <w:szCs w:val="28"/>
        </w:rPr>
      </w:pPr>
      <w:r>
        <w:rPr>
          <w:rFonts w:hint="eastAsia" w:ascii="宋体" w:hAnsi="宋体"/>
          <w:b/>
          <w:sz w:val="28"/>
          <w:szCs w:val="28"/>
        </w:rPr>
        <w:t>付款方式</w:t>
      </w:r>
    </w:p>
    <w:p>
      <w:pPr>
        <w:numPr>
          <w:ilvl w:val="255"/>
          <w:numId w:val="0"/>
        </w:numPr>
        <w:tabs>
          <w:tab w:val="left" w:pos="6960"/>
        </w:tabs>
        <w:ind w:firstLine="560"/>
        <w:jc w:val="left"/>
        <w:rPr>
          <w:rFonts w:ascii="宋体" w:hAnsi="宋体"/>
          <w:bCs/>
          <w:sz w:val="28"/>
          <w:szCs w:val="28"/>
        </w:rPr>
      </w:pPr>
      <w:r>
        <w:rPr>
          <w:rFonts w:hint="eastAsia" w:ascii="宋体" w:hAnsi="宋体"/>
          <w:sz w:val="28"/>
          <w:szCs w:val="28"/>
        </w:rPr>
        <w:t>股权转让成交后，买受人在签署本《成交确认书》当天签署《股权转让合同》。《股权转让合同》生效后二个工作日内支付不低于成交额60%的转让款，剩余款项一年内支付完成，且提供银行保函或符合转让方要求的合法有效担保，并按同期银行贷款利率支付首次付款日至分期付款日期间的利息。</w:t>
      </w:r>
    </w:p>
    <w:bookmarkEnd w:id="5"/>
    <w:p>
      <w:pPr>
        <w:numPr>
          <w:ilvl w:val="0"/>
          <w:numId w:val="1"/>
        </w:numPr>
        <w:ind w:left="0" w:firstLine="562"/>
        <w:jc w:val="left"/>
        <w:rPr>
          <w:rFonts w:ascii="宋体" w:hAnsi="宋体"/>
          <w:b/>
          <w:sz w:val="28"/>
          <w:szCs w:val="28"/>
        </w:rPr>
      </w:pPr>
      <w:r>
        <w:rPr>
          <w:rFonts w:hint="eastAsia" w:ascii="宋体" w:hAnsi="宋体"/>
          <w:b/>
          <w:sz w:val="28"/>
          <w:szCs w:val="28"/>
        </w:rPr>
        <w:t>报名须知</w:t>
      </w:r>
    </w:p>
    <w:p>
      <w:pPr>
        <w:ind w:firstLine="560"/>
        <w:jc w:val="left"/>
        <w:rPr>
          <w:rFonts w:ascii="宋体" w:hAnsi="宋体"/>
          <w:bCs/>
          <w:sz w:val="28"/>
          <w:szCs w:val="28"/>
        </w:rPr>
      </w:pPr>
      <w:bookmarkStart w:id="6" w:name="待定02"/>
      <w:r>
        <w:rPr>
          <w:rFonts w:hint="eastAsia" w:ascii="宋体" w:hAnsi="宋体"/>
          <w:bCs/>
          <w:sz w:val="28"/>
          <w:szCs w:val="28"/>
        </w:rPr>
        <w:t>竞买人应在报名参加增资项目时，同时以银行汇款或转账方式缴纳股权转让项目的保证金人民币</w:t>
      </w:r>
      <w:r>
        <w:rPr>
          <w:rFonts w:hint="eastAsia" w:ascii="宋体" w:hAnsi="宋体"/>
          <w:sz w:val="28"/>
          <w:szCs w:val="28"/>
        </w:rPr>
        <w:t>6850万元</w:t>
      </w:r>
      <w:r>
        <w:rPr>
          <w:rFonts w:hint="eastAsia" w:ascii="宋体" w:hAnsi="宋体"/>
          <w:bCs/>
          <w:sz w:val="28"/>
          <w:szCs w:val="28"/>
        </w:rPr>
        <w:t>（</w:t>
      </w:r>
      <w:r>
        <w:rPr>
          <w:rFonts w:hint="eastAsia" w:ascii="宋体" w:hAnsi="宋体"/>
          <w:b/>
          <w:sz w:val="28"/>
          <w:szCs w:val="28"/>
        </w:rPr>
        <w:t>开户单位：台州市产权交易所有限公司，开户行：浙江民泰商业银行台州椒江支行，帐号：583016260800015</w:t>
      </w:r>
      <w:r>
        <w:rPr>
          <w:rFonts w:hint="eastAsia" w:ascii="宋体" w:hAnsi="宋体"/>
          <w:bCs/>
          <w:sz w:val="28"/>
          <w:szCs w:val="28"/>
        </w:rPr>
        <w:t>）。</w:t>
      </w:r>
    </w:p>
    <w:bookmarkEnd w:id="6"/>
    <w:p>
      <w:pPr>
        <w:widowControl/>
        <w:numPr>
          <w:ilvl w:val="0"/>
          <w:numId w:val="1"/>
        </w:numPr>
        <w:shd w:val="clear" w:color="auto" w:fill="FFFFFF"/>
        <w:tabs>
          <w:tab w:val="clear" w:pos="900"/>
        </w:tabs>
        <w:ind w:left="0" w:firstLine="562"/>
        <w:jc w:val="left"/>
        <w:rPr>
          <w:rFonts w:ascii="宋体" w:hAnsi="宋体"/>
          <w:bCs/>
          <w:sz w:val="28"/>
          <w:szCs w:val="28"/>
        </w:rPr>
      </w:pPr>
      <w:r>
        <w:rPr>
          <w:rFonts w:hint="eastAsia" w:ascii="宋体" w:hAnsi="宋体" w:cs="宋体"/>
          <w:b/>
          <w:kern w:val="0"/>
          <w:sz w:val="28"/>
          <w:szCs w:val="28"/>
        </w:rPr>
        <w:t>本次股权</w:t>
      </w:r>
      <w:r>
        <w:rPr>
          <w:rFonts w:hint="eastAsia" w:ascii="宋体" w:hAnsi="宋体"/>
          <w:bCs/>
          <w:sz w:val="28"/>
          <w:szCs w:val="28"/>
        </w:rPr>
        <w:t>不单独接受竞买人办理受让意向登记手续。</w:t>
      </w:r>
    </w:p>
    <w:p>
      <w:pPr>
        <w:widowControl/>
        <w:shd w:val="clear" w:color="auto" w:fill="FFFFFF"/>
        <w:ind w:firstLine="562"/>
        <w:jc w:val="left"/>
        <w:rPr>
          <w:rFonts w:ascii="宋体" w:hAnsi="宋体" w:cs="宋体"/>
          <w:kern w:val="0"/>
          <w:sz w:val="28"/>
          <w:szCs w:val="28"/>
        </w:rPr>
      </w:pPr>
      <w:r>
        <w:rPr>
          <w:rFonts w:hint="eastAsia" w:ascii="宋体" w:hAnsi="宋体" w:cs="宋体"/>
          <w:b/>
          <w:kern w:val="0"/>
          <w:sz w:val="28"/>
          <w:szCs w:val="28"/>
        </w:rPr>
        <w:t>资格确认时间</w:t>
      </w:r>
      <w:r>
        <w:rPr>
          <w:rFonts w:hint="eastAsia" w:ascii="宋体" w:hAnsi="宋体" w:cs="宋体"/>
          <w:kern w:val="0"/>
          <w:sz w:val="28"/>
          <w:szCs w:val="28"/>
        </w:rPr>
        <w:t>：2018年1</w:t>
      </w:r>
      <w:r>
        <w:rPr>
          <w:rFonts w:hint="eastAsia" w:ascii="宋体" w:hAnsi="宋体" w:cs="宋体"/>
          <w:kern w:val="0"/>
          <w:sz w:val="28"/>
          <w:szCs w:val="28"/>
          <w:lang w:val="en-US" w:eastAsia="zh-CN"/>
        </w:rPr>
        <w:t>1</w:t>
      </w:r>
      <w:r>
        <w:rPr>
          <w:rFonts w:hint="eastAsia" w:ascii="宋体" w:hAnsi="宋体" w:cs="宋体"/>
          <w:kern w:val="0"/>
          <w:sz w:val="28"/>
          <w:szCs w:val="28"/>
        </w:rPr>
        <w:t>月29日至2018年12月26日下午4：00前（上午8：30－11：30，下午14：00－16：30时，双休日及法定节假日除外）。</w:t>
      </w:r>
      <w:bookmarkStart w:id="26" w:name="_GoBack"/>
      <w:bookmarkEnd w:id="26"/>
    </w:p>
    <w:p>
      <w:pPr>
        <w:widowControl/>
        <w:shd w:val="clear" w:color="auto" w:fill="FFFFFF"/>
        <w:ind w:firstLine="562"/>
        <w:jc w:val="left"/>
        <w:rPr>
          <w:rFonts w:ascii="宋体" w:hAnsi="宋体" w:cs="宋体"/>
          <w:kern w:val="0"/>
          <w:sz w:val="28"/>
          <w:szCs w:val="28"/>
        </w:rPr>
      </w:pPr>
      <w:r>
        <w:rPr>
          <w:rFonts w:hint="eastAsia" w:ascii="宋体" w:hAnsi="宋体" w:cs="宋体"/>
          <w:b/>
          <w:kern w:val="0"/>
          <w:sz w:val="28"/>
          <w:szCs w:val="28"/>
        </w:rPr>
        <w:t>资格确认地址</w:t>
      </w:r>
      <w:r>
        <w:rPr>
          <w:rFonts w:hint="eastAsia" w:ascii="宋体" w:hAnsi="宋体" w:cs="宋体"/>
          <w:kern w:val="0"/>
          <w:sz w:val="28"/>
          <w:szCs w:val="28"/>
        </w:rPr>
        <w:t>：台州市产权交易所（台州市市府大道777号浙江民泰商业银行五楼511室）。</w:t>
      </w:r>
    </w:p>
    <w:p>
      <w:pPr>
        <w:ind w:firstLine="560"/>
        <w:jc w:val="left"/>
        <w:rPr>
          <w:rFonts w:ascii="宋体" w:hAnsi="宋体"/>
          <w:sz w:val="28"/>
          <w:szCs w:val="28"/>
        </w:rPr>
      </w:pPr>
      <w:r>
        <w:rPr>
          <w:rFonts w:hint="eastAsia" w:ascii="宋体" w:hAnsi="宋体"/>
          <w:sz w:val="28"/>
          <w:szCs w:val="28"/>
        </w:rPr>
        <w:t>六、 联系人：小潘    电话（传真）：0576-88685180</w:t>
      </w:r>
    </w:p>
    <w:p>
      <w:pPr>
        <w:ind w:firstLine="560"/>
        <w:jc w:val="left"/>
        <w:rPr>
          <w:rFonts w:ascii="宋体" w:hAnsi="宋体"/>
          <w:sz w:val="28"/>
          <w:szCs w:val="28"/>
        </w:rPr>
      </w:pPr>
      <w:r>
        <w:rPr>
          <w:rFonts w:hint="eastAsia" w:ascii="宋体" w:hAnsi="宋体"/>
          <w:sz w:val="28"/>
          <w:szCs w:val="28"/>
        </w:rPr>
        <w:t>七、具体情况详见转让须知。</w:t>
      </w:r>
    </w:p>
    <w:p>
      <w:pPr>
        <w:ind w:firstLine="560"/>
        <w:jc w:val="left"/>
        <w:rPr>
          <w:rFonts w:ascii="宋体" w:hAnsi="宋体"/>
          <w:sz w:val="28"/>
          <w:szCs w:val="28"/>
        </w:rPr>
      </w:pPr>
      <w:r>
        <w:rPr>
          <w:rFonts w:hint="eastAsia" w:ascii="宋体" w:hAnsi="宋体"/>
          <w:sz w:val="28"/>
          <w:szCs w:val="28"/>
        </w:rPr>
        <w:t xml:space="preserve">详情登陆 www.tzpre.com   </w:t>
      </w:r>
      <w:r>
        <w:fldChar w:fldCharType="begin"/>
      </w:r>
      <w:r>
        <w:instrText xml:space="preserve"> HYPERLINK "http://www.tzztb.com" </w:instrText>
      </w:r>
      <w:r>
        <w:fldChar w:fldCharType="separate"/>
      </w:r>
      <w:r>
        <w:rPr>
          <w:rStyle w:val="19"/>
          <w:rFonts w:hint="eastAsia" w:ascii="宋体" w:hAnsi="宋体"/>
          <w:color w:val="auto"/>
          <w:sz w:val="28"/>
          <w:szCs w:val="28"/>
        </w:rPr>
        <w:t>www.tzztb.com</w:t>
      </w:r>
      <w:r>
        <w:rPr>
          <w:rStyle w:val="19"/>
          <w:rFonts w:hint="eastAsia" w:ascii="宋体" w:hAnsi="宋体"/>
          <w:color w:val="auto"/>
          <w:sz w:val="28"/>
          <w:szCs w:val="28"/>
        </w:rPr>
        <w:fldChar w:fldCharType="end"/>
      </w:r>
      <w:r>
        <w:rPr>
          <w:rFonts w:hint="eastAsia" w:ascii="宋体" w:hAnsi="宋体"/>
          <w:sz w:val="28"/>
          <w:szCs w:val="28"/>
          <w:u w:val="single"/>
        </w:rPr>
        <w:t>/tzcms</w:t>
      </w:r>
    </w:p>
    <w:p>
      <w:pPr>
        <w:ind w:firstLine="0" w:firstLineChars="0"/>
        <w:rPr>
          <w:rFonts w:ascii="宋体" w:hAnsi="宋体"/>
          <w:sz w:val="28"/>
          <w:szCs w:val="28"/>
        </w:rPr>
      </w:pPr>
    </w:p>
    <w:p>
      <w:pPr>
        <w:ind w:firstLineChars="0"/>
        <w:jc w:val="right"/>
        <w:rPr>
          <w:rFonts w:ascii="宋体" w:hAnsi="宋体"/>
          <w:sz w:val="28"/>
          <w:szCs w:val="28"/>
        </w:rPr>
      </w:pPr>
      <w:r>
        <w:rPr>
          <w:rFonts w:hint="eastAsia" w:ascii="宋体" w:hAnsi="宋体"/>
          <w:sz w:val="28"/>
          <w:szCs w:val="28"/>
        </w:rPr>
        <w:t>台州市产权交易所有限公司</w:t>
      </w:r>
    </w:p>
    <w:p>
      <w:pPr>
        <w:ind w:firstLineChars="0"/>
        <w:jc w:val="right"/>
        <w:rPr>
          <w:rFonts w:ascii="宋体" w:hAnsi="宋体"/>
          <w:sz w:val="28"/>
          <w:szCs w:val="28"/>
        </w:rPr>
      </w:pPr>
      <w:r>
        <w:rPr>
          <w:rFonts w:hint="eastAsia" w:ascii="宋体" w:hAnsi="宋体"/>
          <w:sz w:val="28"/>
          <w:szCs w:val="28"/>
        </w:rPr>
        <w:t>二○一八年十一月</w:t>
      </w:r>
      <w:r>
        <w:rPr>
          <w:rFonts w:hint="eastAsia" w:ascii="宋体" w:hAnsi="宋体"/>
          <w:sz w:val="28"/>
          <w:szCs w:val="28"/>
          <w:lang w:val="en-US" w:eastAsia="zh-CN"/>
        </w:rPr>
        <w:t>二十九</w:t>
      </w:r>
      <w:r>
        <w:rPr>
          <w:rFonts w:hint="eastAsia" w:ascii="宋体" w:hAnsi="宋体"/>
          <w:sz w:val="28"/>
          <w:szCs w:val="28"/>
        </w:rPr>
        <w:t>日</w:t>
      </w:r>
    </w:p>
    <w:p>
      <w:pPr>
        <w:spacing w:line="430" w:lineRule="exact"/>
        <w:ind w:firstLine="0" w:firstLineChars="0"/>
        <w:jc w:val="center"/>
        <w:rPr>
          <w:rFonts w:ascii="宋体" w:hAnsi="宋体"/>
          <w:b/>
          <w:sz w:val="32"/>
          <w:szCs w:val="32"/>
        </w:rPr>
      </w:pPr>
      <w:r>
        <w:rPr>
          <w:rFonts w:hint="eastAsia" w:ascii="宋体" w:hAnsi="宋体"/>
          <w:sz w:val="28"/>
          <w:szCs w:val="28"/>
        </w:rPr>
        <w:br w:type="page"/>
      </w:r>
      <w:bookmarkStart w:id="7" w:name="_Hlk527013137"/>
      <w:r>
        <w:rPr>
          <w:rFonts w:hint="eastAsia" w:ascii="宋体" w:hAnsi="宋体"/>
          <w:b/>
          <w:sz w:val="32"/>
          <w:szCs w:val="32"/>
          <w:lang w:val="ms-MY"/>
        </w:rPr>
        <w:t>浙江海晟药业有限公司股权</w:t>
      </w:r>
      <w:bookmarkEnd w:id="7"/>
    </w:p>
    <w:p>
      <w:pPr>
        <w:pStyle w:val="2"/>
        <w:spacing w:before="100" w:beforeAutospacing="1" w:after="100" w:afterAutospacing="1" w:line="360" w:lineRule="auto"/>
        <w:jc w:val="center"/>
        <w:rPr>
          <w:sz w:val="32"/>
        </w:rPr>
      </w:pPr>
      <w:bookmarkStart w:id="8" w:name="_Toc528773691"/>
      <w:r>
        <w:rPr>
          <w:rFonts w:hint="eastAsia"/>
          <w:sz w:val="32"/>
        </w:rPr>
        <w:t>转让须知</w:t>
      </w:r>
      <w:bookmarkEnd w:id="8"/>
    </w:p>
    <w:p>
      <w:pPr>
        <w:ind w:firstLine="560"/>
        <w:rPr>
          <w:rFonts w:ascii="宋体" w:hAnsi="宋体"/>
          <w:sz w:val="28"/>
          <w:szCs w:val="28"/>
        </w:rPr>
      </w:pPr>
      <w:r>
        <w:rPr>
          <w:rFonts w:hint="eastAsia" w:ascii="宋体" w:hAnsi="宋体"/>
          <w:sz w:val="28"/>
          <w:szCs w:val="28"/>
        </w:rPr>
        <w:t>受海正药业（杭州）有限公司委托，公开转让其所持有的</w:t>
      </w:r>
      <w:bookmarkStart w:id="9" w:name="_Hlk527011228"/>
      <w:r>
        <w:rPr>
          <w:rFonts w:hint="eastAsia" w:ascii="宋体" w:hAnsi="宋体"/>
          <w:sz w:val="28"/>
          <w:szCs w:val="28"/>
        </w:rPr>
        <w:t>浙江海晟药业有限公司的10815.7895万</w:t>
      </w:r>
      <w:bookmarkEnd w:id="9"/>
      <w:r>
        <w:rPr>
          <w:rFonts w:hint="eastAsia" w:ascii="宋体" w:hAnsi="宋体"/>
          <w:sz w:val="28"/>
          <w:szCs w:val="28"/>
        </w:rPr>
        <w:t>股股权。现将有关事项告知意向受让人，请认真阅读与遵守。</w:t>
      </w:r>
    </w:p>
    <w:p>
      <w:pPr>
        <w:ind w:firstLine="560"/>
        <w:jc w:val="left"/>
        <w:rPr>
          <w:rFonts w:ascii="宋体" w:hAnsi="宋体"/>
          <w:sz w:val="28"/>
          <w:szCs w:val="28"/>
        </w:rPr>
      </w:pPr>
      <w:r>
        <w:rPr>
          <w:rFonts w:hint="eastAsia" w:ascii="宋体" w:hAnsi="宋体"/>
          <w:sz w:val="28"/>
          <w:szCs w:val="28"/>
        </w:rPr>
        <w:t>一、转让标的底价及保证金</w:t>
      </w:r>
    </w:p>
    <w:p>
      <w:pPr>
        <w:ind w:firstLine="560"/>
        <w:rPr>
          <w:rFonts w:ascii="宋体" w:hAnsi="宋体"/>
          <w:sz w:val="28"/>
          <w:szCs w:val="28"/>
        </w:rPr>
      </w:pPr>
      <w:r>
        <w:rPr>
          <w:rFonts w:hint="eastAsia" w:ascii="宋体" w:hAnsi="宋体"/>
          <w:sz w:val="28"/>
          <w:szCs w:val="28"/>
        </w:rPr>
        <w:t>本次转让标的为海正药业（杭州）有限公司所持有的浙江海晟药业有限公司的10815.7895万股股权。转让底价</w:t>
      </w:r>
      <w:r>
        <w:rPr>
          <w:rFonts w:ascii="宋体" w:hAnsi="宋体"/>
          <w:sz w:val="28"/>
          <w:szCs w:val="28"/>
        </w:rPr>
        <w:t>68500</w:t>
      </w:r>
      <w:r>
        <w:rPr>
          <w:rFonts w:hint="eastAsia" w:ascii="宋体" w:hAnsi="宋体"/>
          <w:sz w:val="28"/>
          <w:szCs w:val="28"/>
        </w:rPr>
        <w:t>万元人民币，竞买保证金6850万元。</w:t>
      </w:r>
    </w:p>
    <w:p>
      <w:pPr>
        <w:ind w:firstLine="560"/>
        <w:rPr>
          <w:rFonts w:ascii="宋体" w:hAnsi="宋体"/>
          <w:b/>
          <w:sz w:val="28"/>
          <w:szCs w:val="28"/>
        </w:rPr>
      </w:pPr>
      <w:r>
        <w:rPr>
          <w:rFonts w:hint="eastAsia" w:ascii="宋体" w:hAnsi="宋体"/>
          <w:sz w:val="28"/>
          <w:szCs w:val="28"/>
        </w:rPr>
        <w:t>二、本次股权转让行为已经必要的内部决策和批准程序，</w:t>
      </w:r>
      <w:r>
        <w:rPr>
          <w:rFonts w:hint="eastAsia" w:ascii="宋体" w:hAnsi="宋体"/>
          <w:b/>
          <w:sz w:val="28"/>
          <w:szCs w:val="28"/>
        </w:rPr>
        <w:t>资产评估项</w:t>
      </w:r>
      <w:bookmarkStart w:id="10" w:name="待定03"/>
      <w:r>
        <w:rPr>
          <w:rFonts w:hint="eastAsia" w:ascii="宋体" w:hAnsi="宋体"/>
          <w:b/>
          <w:sz w:val="28"/>
          <w:szCs w:val="28"/>
        </w:rPr>
        <w:t>目已经椒江区国资局备案，本次转让行为已经海正药业2018年第五次临时股东大会批准，并获得椒江区国资局批复（椒国资【2018】14号）同意。</w:t>
      </w:r>
    </w:p>
    <w:bookmarkEnd w:id="10"/>
    <w:p>
      <w:pPr>
        <w:ind w:firstLine="560"/>
        <w:rPr>
          <w:rFonts w:ascii="宋体" w:hAnsi="宋体"/>
          <w:sz w:val="28"/>
          <w:szCs w:val="28"/>
        </w:rPr>
      </w:pPr>
      <w:r>
        <w:rPr>
          <w:rFonts w:hint="eastAsia" w:ascii="宋体" w:hAnsi="宋体"/>
          <w:sz w:val="28"/>
          <w:szCs w:val="28"/>
        </w:rPr>
        <w:t>三、企业基本情况</w:t>
      </w:r>
    </w:p>
    <w:p>
      <w:pPr>
        <w:ind w:firstLine="560"/>
        <w:rPr>
          <w:rFonts w:ascii="宋体" w:hAnsi="宋体"/>
          <w:sz w:val="28"/>
          <w:szCs w:val="28"/>
        </w:rPr>
      </w:pPr>
      <w:r>
        <w:rPr>
          <w:rFonts w:hint="eastAsia" w:ascii="宋体" w:hAnsi="宋体"/>
          <w:sz w:val="28"/>
          <w:szCs w:val="28"/>
        </w:rPr>
        <w:t>1、公司注册情况</w:t>
      </w:r>
    </w:p>
    <w:p>
      <w:pPr>
        <w:ind w:firstLine="560"/>
        <w:rPr>
          <w:rFonts w:ascii="宋体" w:hAnsi="宋体" w:cs="宋体"/>
          <w:sz w:val="28"/>
          <w:szCs w:val="28"/>
        </w:rPr>
      </w:pPr>
      <w:r>
        <w:rPr>
          <w:rFonts w:hint="eastAsia" w:ascii="宋体" w:hAnsi="宋体"/>
          <w:sz w:val="28"/>
          <w:szCs w:val="28"/>
        </w:rPr>
        <w:t>浙江海晟药业有限公司（下称“浙江海晟”）是一家专注于糖尿病领域的专业化公司。组建于2018年4月，注册资本3亿元，统一社会信用代码为91331002MA2AMRGN3Q，法定代表人白骅。经营范围：药品、医疗器械、化妆品以及食品的研发、生产及销售;生物技术推广服务;货物及技术进出口业务(法律、行政法规禁止经营的项目除外,法律、行政法规规定限制经营的项目取得许可证后方可经营)。(依法须经批准的项目,经相关部门批准后方可开展经营活动)。</w:t>
      </w:r>
    </w:p>
    <w:p>
      <w:pPr>
        <w:ind w:firstLine="638" w:firstLineChars="228"/>
        <w:rPr>
          <w:rFonts w:ascii="宋体" w:hAnsi="宋体"/>
          <w:sz w:val="28"/>
          <w:szCs w:val="28"/>
        </w:rPr>
      </w:pPr>
      <w:r>
        <w:rPr>
          <w:rFonts w:hint="eastAsia" w:ascii="宋体" w:hAnsi="宋体"/>
          <w:sz w:val="28"/>
          <w:szCs w:val="28"/>
        </w:rPr>
        <w:t>2、公司经营情况</w:t>
      </w:r>
    </w:p>
    <w:p>
      <w:pPr>
        <w:pStyle w:val="5"/>
        <w:spacing w:line="360" w:lineRule="auto"/>
        <w:ind w:firstLine="560" w:firstLineChars="200"/>
        <w:rPr>
          <w:rFonts w:ascii="宋体" w:hAnsi="宋体" w:cs="宋体"/>
          <w:sz w:val="28"/>
          <w:szCs w:val="28"/>
        </w:rPr>
      </w:pPr>
      <w:r>
        <w:rPr>
          <w:rFonts w:hint="eastAsia" w:ascii="宋体" w:hAnsi="宋体" w:cs="宋体"/>
          <w:sz w:val="28"/>
          <w:szCs w:val="28"/>
        </w:rPr>
        <w:t>浙江海晟药业有限公司自成立至今，一直处于营业状态。</w:t>
      </w:r>
    </w:p>
    <w:p>
      <w:pPr>
        <w:numPr>
          <w:ilvl w:val="0"/>
          <w:numId w:val="2"/>
        </w:numPr>
        <w:ind w:firstLine="560"/>
        <w:rPr>
          <w:rFonts w:ascii="宋体" w:hAnsi="宋体" w:cs="宋体"/>
          <w:sz w:val="28"/>
          <w:szCs w:val="28"/>
        </w:rPr>
      </w:pPr>
      <w:r>
        <w:rPr>
          <w:rFonts w:hint="eastAsia" w:ascii="宋体" w:hAnsi="宋体" w:cs="宋体"/>
          <w:sz w:val="28"/>
          <w:szCs w:val="28"/>
        </w:rPr>
        <w:t>公司资产、负债情况</w:t>
      </w:r>
    </w:p>
    <w:tbl>
      <w:tblPr>
        <w:tblStyle w:val="21"/>
        <w:tblW w:w="88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5"/>
        <w:gridCol w:w="1840"/>
        <w:gridCol w:w="2100"/>
        <w:gridCol w:w="1677"/>
        <w:gridCol w:w="1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7" w:hRule="exact"/>
          <w:jc w:val="center"/>
        </w:trPr>
        <w:tc>
          <w:tcPr>
            <w:tcW w:w="1745" w:type="dxa"/>
            <w:vMerge w:val="restart"/>
            <w:tcBorders>
              <w:top w:val="single" w:color="auto" w:sz="12" w:space="0"/>
              <w:bottom w:val="single" w:color="auto" w:sz="6" w:space="0"/>
            </w:tcBorders>
            <w:vAlign w:val="center"/>
          </w:tcPr>
          <w:p>
            <w:pPr>
              <w:ind w:firstLine="0" w:firstLineChars="0"/>
              <w:jc w:val="center"/>
              <w:rPr>
                <w:rFonts w:ascii="宋体" w:hAnsi="宋体"/>
                <w:b/>
                <w:sz w:val="24"/>
              </w:rPr>
            </w:pPr>
            <w:r>
              <w:rPr>
                <w:rFonts w:hint="eastAsia" w:ascii="宋体" w:hAnsi="宋体"/>
                <w:b/>
                <w:sz w:val="24"/>
              </w:rPr>
              <w:t>主要财务指标</w:t>
            </w:r>
          </w:p>
          <w:p>
            <w:pPr>
              <w:ind w:firstLine="0" w:firstLineChars="0"/>
              <w:jc w:val="center"/>
              <w:rPr>
                <w:rFonts w:ascii="宋体" w:hAnsi="宋体"/>
                <w:b/>
                <w:sz w:val="24"/>
              </w:rPr>
            </w:pPr>
            <w:r>
              <w:rPr>
                <w:rFonts w:hint="eastAsia" w:ascii="宋体" w:hAnsi="宋体"/>
                <w:b/>
                <w:sz w:val="24"/>
              </w:rPr>
              <w:t>（单位：人民币万元）</w:t>
            </w:r>
          </w:p>
        </w:tc>
        <w:tc>
          <w:tcPr>
            <w:tcW w:w="7095" w:type="dxa"/>
            <w:gridSpan w:val="4"/>
            <w:tcBorders>
              <w:top w:val="single" w:color="auto" w:sz="12" w:space="0"/>
              <w:bottom w:val="single" w:color="auto" w:sz="6" w:space="0"/>
            </w:tcBorders>
            <w:vAlign w:val="center"/>
          </w:tcPr>
          <w:p>
            <w:pPr>
              <w:ind w:firstLine="480"/>
              <w:jc w:val="center"/>
              <w:rPr>
                <w:rFonts w:ascii="宋体" w:hAnsi="宋体"/>
                <w:sz w:val="24"/>
              </w:rPr>
            </w:pPr>
            <w:r>
              <w:rPr>
                <w:rFonts w:hint="eastAsia" w:ascii="宋体" w:hAnsi="宋体"/>
                <w:sz w:val="24"/>
              </w:rPr>
              <w:t>以下数据出自企业年度审计报告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vAlign w:val="center"/>
          </w:tcPr>
          <w:p>
            <w:pPr>
              <w:ind w:firstLine="482"/>
              <w:jc w:val="center"/>
              <w:rPr>
                <w:rFonts w:ascii="宋体" w:hAnsi="宋体"/>
                <w:b/>
                <w:sz w:val="24"/>
              </w:rPr>
            </w:pPr>
          </w:p>
        </w:tc>
        <w:tc>
          <w:tcPr>
            <w:tcW w:w="1840" w:type="dxa"/>
            <w:tcBorders>
              <w:top w:val="single" w:color="auto" w:sz="6" w:space="0"/>
              <w:bottom w:val="single" w:color="auto" w:sz="6" w:space="0"/>
            </w:tcBorders>
            <w:vAlign w:val="center"/>
          </w:tcPr>
          <w:p>
            <w:pPr>
              <w:ind w:firstLine="0" w:firstLineChars="0"/>
              <w:jc w:val="center"/>
              <w:rPr>
                <w:rFonts w:ascii="宋体" w:hAnsi="宋体"/>
                <w:b/>
                <w:sz w:val="24"/>
              </w:rPr>
            </w:pPr>
            <w:r>
              <w:rPr>
                <w:rFonts w:hint="eastAsia" w:ascii="宋体" w:hAnsi="宋体"/>
                <w:b/>
                <w:sz w:val="24"/>
              </w:rPr>
              <w:t>年度日期</w:t>
            </w:r>
          </w:p>
        </w:tc>
        <w:tc>
          <w:tcPr>
            <w:tcW w:w="2100" w:type="dxa"/>
            <w:tcBorders>
              <w:top w:val="single" w:color="auto" w:sz="6" w:space="0"/>
              <w:bottom w:val="single" w:color="auto" w:sz="6" w:space="0"/>
            </w:tcBorders>
            <w:vAlign w:val="center"/>
          </w:tcPr>
          <w:p>
            <w:pPr>
              <w:ind w:firstLine="0" w:firstLineChars="0"/>
              <w:jc w:val="center"/>
              <w:rPr>
                <w:rFonts w:ascii="宋体" w:hAnsi="宋体"/>
                <w:b/>
                <w:sz w:val="24"/>
              </w:rPr>
            </w:pPr>
            <w:r>
              <w:rPr>
                <w:rFonts w:hint="eastAsia" w:ascii="宋体" w:hAnsi="宋体"/>
                <w:b/>
                <w:sz w:val="24"/>
              </w:rPr>
              <w:t>资产总计</w:t>
            </w:r>
          </w:p>
        </w:tc>
        <w:tc>
          <w:tcPr>
            <w:tcW w:w="1677" w:type="dxa"/>
            <w:tcBorders>
              <w:top w:val="single" w:color="auto" w:sz="6" w:space="0"/>
              <w:bottom w:val="single" w:color="auto" w:sz="6" w:space="0"/>
            </w:tcBorders>
            <w:vAlign w:val="center"/>
          </w:tcPr>
          <w:p>
            <w:pPr>
              <w:ind w:firstLine="0" w:firstLineChars="0"/>
              <w:jc w:val="center"/>
              <w:rPr>
                <w:rFonts w:ascii="宋体" w:hAnsi="宋体"/>
                <w:b/>
                <w:sz w:val="24"/>
              </w:rPr>
            </w:pPr>
            <w:r>
              <w:rPr>
                <w:rFonts w:hint="eastAsia" w:ascii="宋体" w:hAnsi="宋体"/>
                <w:b/>
                <w:sz w:val="24"/>
              </w:rPr>
              <w:t>负债总计</w:t>
            </w:r>
          </w:p>
        </w:tc>
        <w:tc>
          <w:tcPr>
            <w:tcW w:w="1478" w:type="dxa"/>
            <w:tcBorders>
              <w:top w:val="single" w:color="auto" w:sz="6" w:space="0"/>
              <w:bottom w:val="single" w:color="auto" w:sz="6" w:space="0"/>
            </w:tcBorders>
            <w:vAlign w:val="center"/>
          </w:tcPr>
          <w:p>
            <w:pPr>
              <w:ind w:firstLine="0" w:firstLineChars="0"/>
              <w:jc w:val="center"/>
              <w:rPr>
                <w:rFonts w:ascii="宋体" w:hAnsi="宋体"/>
                <w:b/>
                <w:sz w:val="24"/>
              </w:rPr>
            </w:pPr>
            <w:r>
              <w:rPr>
                <w:rFonts w:hint="eastAsia" w:ascii="宋体" w:hAnsi="宋体"/>
                <w:b/>
                <w:sz w:val="24"/>
              </w:rPr>
              <w:t>所有者权益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vAlign w:val="center"/>
          </w:tcPr>
          <w:p>
            <w:pPr>
              <w:ind w:firstLine="482"/>
              <w:jc w:val="center"/>
              <w:rPr>
                <w:rFonts w:ascii="宋体" w:hAnsi="宋体"/>
                <w:b/>
                <w:sz w:val="24"/>
              </w:rPr>
            </w:pPr>
          </w:p>
        </w:tc>
        <w:tc>
          <w:tcPr>
            <w:tcW w:w="1840" w:type="dxa"/>
            <w:vMerge w:val="restart"/>
            <w:tcBorders>
              <w:top w:val="single" w:color="auto" w:sz="6" w:space="0"/>
              <w:bottom w:val="single" w:color="auto" w:sz="6" w:space="0"/>
            </w:tcBorders>
            <w:vAlign w:val="center"/>
          </w:tcPr>
          <w:p>
            <w:pPr>
              <w:ind w:firstLine="0" w:firstLineChars="0"/>
              <w:jc w:val="center"/>
              <w:rPr>
                <w:rFonts w:ascii="宋体" w:hAnsi="宋体"/>
                <w:sz w:val="24"/>
                <w:u w:val="single"/>
              </w:rPr>
            </w:pPr>
            <w:r>
              <w:rPr>
                <w:rFonts w:hint="eastAsia" w:ascii="宋体" w:hAnsi="宋体"/>
                <w:sz w:val="24"/>
              </w:rPr>
              <w:t>201</w:t>
            </w:r>
            <w:r>
              <w:rPr>
                <w:rFonts w:ascii="宋体" w:hAnsi="宋体"/>
                <w:sz w:val="24"/>
              </w:rPr>
              <w:t>8</w:t>
            </w:r>
            <w:r>
              <w:rPr>
                <w:rFonts w:hint="eastAsia" w:ascii="宋体" w:hAnsi="宋体"/>
                <w:sz w:val="24"/>
              </w:rPr>
              <w:t>年</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tcBorders>
              <w:top w:val="single" w:color="auto" w:sz="6" w:space="0"/>
              <w:bottom w:val="single" w:color="auto" w:sz="6" w:space="0"/>
            </w:tcBorders>
            <w:vAlign w:val="center"/>
          </w:tcPr>
          <w:p>
            <w:pPr>
              <w:ind w:firstLine="0" w:firstLineChars="0"/>
              <w:jc w:val="center"/>
              <w:rPr>
                <w:rFonts w:ascii="宋体" w:hAnsi="宋体"/>
                <w:bCs/>
                <w:sz w:val="24"/>
              </w:rPr>
            </w:pPr>
            <w:r>
              <w:rPr>
                <w:rFonts w:ascii="宋体" w:hAnsi="宋体" w:cs="宋体"/>
                <w:sz w:val="20"/>
                <w:szCs w:val="18"/>
              </w:rPr>
              <w:t>66,937.65</w:t>
            </w:r>
          </w:p>
        </w:tc>
        <w:tc>
          <w:tcPr>
            <w:tcW w:w="1677" w:type="dxa"/>
            <w:tcBorders>
              <w:top w:val="single" w:color="auto" w:sz="6" w:space="0"/>
              <w:bottom w:val="single" w:color="auto" w:sz="6" w:space="0"/>
            </w:tcBorders>
            <w:vAlign w:val="center"/>
          </w:tcPr>
          <w:p>
            <w:pPr>
              <w:ind w:firstLine="0" w:firstLineChars="0"/>
              <w:jc w:val="center"/>
              <w:rPr>
                <w:rFonts w:ascii="宋体" w:hAnsi="宋体"/>
                <w:bCs/>
                <w:sz w:val="24"/>
              </w:rPr>
            </w:pPr>
            <w:r>
              <w:rPr>
                <w:rFonts w:ascii="宋体" w:hAnsi="宋体" w:cs="宋体"/>
                <w:sz w:val="20"/>
                <w:szCs w:val="18"/>
              </w:rPr>
              <w:t>8,118.22</w:t>
            </w:r>
          </w:p>
        </w:tc>
        <w:tc>
          <w:tcPr>
            <w:tcW w:w="1478" w:type="dxa"/>
            <w:tcBorders>
              <w:top w:val="single" w:color="auto" w:sz="6" w:space="0"/>
              <w:bottom w:val="single" w:color="auto" w:sz="6" w:space="0"/>
            </w:tcBorders>
            <w:vAlign w:val="center"/>
          </w:tcPr>
          <w:p>
            <w:pPr>
              <w:ind w:firstLine="0" w:firstLineChars="0"/>
              <w:jc w:val="center"/>
              <w:rPr>
                <w:rFonts w:ascii="宋体" w:hAnsi="宋体"/>
                <w:bCs/>
                <w:sz w:val="24"/>
              </w:rPr>
            </w:pPr>
            <w:r>
              <w:rPr>
                <w:rFonts w:ascii="宋体" w:hAnsi="宋体" w:cs="宋体"/>
                <w:sz w:val="20"/>
                <w:szCs w:val="18"/>
              </w:rPr>
              <w:t>58,819.43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2"/>
              <w:jc w:val="center"/>
              <w:rPr>
                <w:rFonts w:ascii="宋体" w:hAnsi="宋体"/>
                <w:b/>
                <w:sz w:val="24"/>
              </w:rPr>
            </w:pPr>
          </w:p>
        </w:tc>
        <w:tc>
          <w:tcPr>
            <w:tcW w:w="1840" w:type="dxa"/>
            <w:vMerge w:val="continue"/>
            <w:tcBorders>
              <w:top w:val="single" w:color="auto" w:sz="6" w:space="0"/>
              <w:bottom w:val="single" w:color="auto" w:sz="6" w:space="0"/>
            </w:tcBorders>
            <w:shd w:val="clear" w:color="auto" w:fill="auto"/>
            <w:vAlign w:val="center"/>
          </w:tcPr>
          <w:p>
            <w:pPr>
              <w:ind w:firstLine="0" w:firstLineChars="0"/>
              <w:jc w:val="center"/>
              <w:rPr>
                <w:rFonts w:ascii="宋体" w:hAnsi="宋体"/>
                <w:sz w:val="24"/>
                <w:u w:val="single"/>
              </w:rPr>
            </w:pP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营业收入</w:t>
            </w:r>
          </w:p>
        </w:tc>
        <w:tc>
          <w:tcPr>
            <w:tcW w:w="1677"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利润总额</w:t>
            </w:r>
          </w:p>
        </w:tc>
        <w:tc>
          <w:tcPr>
            <w:tcW w:w="1478"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净利润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2"/>
              <w:jc w:val="center"/>
              <w:rPr>
                <w:rFonts w:ascii="宋体" w:hAnsi="宋体"/>
                <w:b/>
                <w:sz w:val="24"/>
              </w:rPr>
            </w:pPr>
          </w:p>
        </w:tc>
        <w:tc>
          <w:tcPr>
            <w:tcW w:w="1840" w:type="dxa"/>
            <w:vMerge w:val="continue"/>
            <w:tcBorders>
              <w:top w:val="single" w:color="auto" w:sz="6" w:space="0"/>
              <w:bottom w:val="single" w:color="auto" w:sz="6" w:space="0"/>
            </w:tcBorders>
            <w:shd w:val="clear" w:color="auto" w:fill="auto"/>
            <w:vAlign w:val="center"/>
          </w:tcPr>
          <w:p>
            <w:pPr>
              <w:ind w:firstLine="0" w:firstLineChars="0"/>
              <w:jc w:val="center"/>
              <w:rPr>
                <w:rFonts w:ascii="宋体" w:hAnsi="宋体"/>
                <w:sz w:val="24"/>
                <w:u w:val="single"/>
              </w:rPr>
            </w:pP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sz w:val="24"/>
              </w:rPr>
            </w:pPr>
          </w:p>
        </w:tc>
        <w:tc>
          <w:tcPr>
            <w:tcW w:w="1677" w:type="dxa"/>
            <w:tcBorders>
              <w:top w:val="single" w:color="auto" w:sz="6" w:space="0"/>
              <w:bottom w:val="single" w:color="auto" w:sz="6" w:space="0"/>
            </w:tcBorders>
            <w:shd w:val="clear" w:color="auto" w:fill="FFFFFF"/>
          </w:tcPr>
          <w:p>
            <w:pPr>
              <w:ind w:firstLine="0" w:firstLineChars="0"/>
              <w:jc w:val="center"/>
              <w:rPr>
                <w:rFonts w:ascii="宋体" w:hAnsi="宋体"/>
                <w:sz w:val="24"/>
              </w:rPr>
            </w:pPr>
            <w:r>
              <w:rPr>
                <w:rFonts w:ascii="宋体" w:hAnsi="宋体" w:cs="宋体"/>
                <w:sz w:val="20"/>
                <w:szCs w:val="18"/>
              </w:rPr>
              <w:t>-9.96</w:t>
            </w:r>
          </w:p>
        </w:tc>
        <w:tc>
          <w:tcPr>
            <w:tcW w:w="1478" w:type="dxa"/>
            <w:tcBorders>
              <w:top w:val="single" w:color="auto" w:sz="6" w:space="0"/>
              <w:bottom w:val="single" w:color="auto" w:sz="6" w:space="0"/>
            </w:tcBorders>
            <w:shd w:val="clear" w:color="auto" w:fill="FFFFFF"/>
          </w:tcPr>
          <w:p>
            <w:pPr>
              <w:ind w:firstLine="0" w:firstLineChars="0"/>
              <w:jc w:val="center"/>
              <w:rPr>
                <w:rFonts w:ascii="宋体" w:hAnsi="宋体"/>
                <w:sz w:val="24"/>
              </w:rPr>
            </w:pPr>
            <w:r>
              <w:rPr>
                <w:rFonts w:ascii="宋体" w:hAnsi="宋体" w:cs="宋体"/>
                <w:sz w:val="20"/>
                <w:szCs w:val="18"/>
              </w:rPr>
              <w:t>-9.96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2"/>
              <w:jc w:val="center"/>
              <w:rPr>
                <w:rFonts w:ascii="宋体" w:hAnsi="宋体"/>
                <w:b/>
                <w:sz w:val="24"/>
              </w:rPr>
            </w:pPr>
          </w:p>
        </w:tc>
        <w:tc>
          <w:tcPr>
            <w:tcW w:w="184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审计机构</w:t>
            </w:r>
          </w:p>
        </w:tc>
        <w:tc>
          <w:tcPr>
            <w:tcW w:w="5255" w:type="dxa"/>
            <w:gridSpan w:val="3"/>
            <w:tcBorders>
              <w:top w:val="single" w:color="auto" w:sz="6" w:space="0"/>
              <w:bottom w:val="single" w:color="auto" w:sz="6" w:space="0"/>
            </w:tcBorders>
            <w:shd w:val="clear" w:color="auto" w:fill="FFFFFF"/>
            <w:vAlign w:val="center"/>
          </w:tcPr>
          <w:p>
            <w:pPr>
              <w:ind w:firstLine="0" w:firstLineChars="0"/>
              <w:jc w:val="center"/>
              <w:rPr>
                <w:rFonts w:ascii="宋体" w:hAnsi="宋体"/>
                <w:sz w:val="24"/>
              </w:rPr>
            </w:pPr>
            <w:r>
              <w:rPr>
                <w:rFonts w:hint="eastAsia" w:ascii="宋体" w:hAnsi="宋体"/>
                <w:sz w:val="24"/>
              </w:rPr>
              <w:t>天健会计师事务所（特殊普通合伙）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2"/>
              <w:jc w:val="center"/>
              <w:rPr>
                <w:rFonts w:ascii="宋体" w:hAnsi="宋体"/>
                <w:b/>
                <w:sz w:val="24"/>
              </w:rPr>
            </w:pPr>
          </w:p>
        </w:tc>
        <w:tc>
          <w:tcPr>
            <w:tcW w:w="7095" w:type="dxa"/>
            <w:gridSpan w:val="4"/>
            <w:tcBorders>
              <w:top w:val="single" w:color="auto" w:sz="6" w:space="0"/>
              <w:bottom w:val="single" w:color="auto" w:sz="6" w:space="0"/>
            </w:tcBorders>
            <w:shd w:val="clear" w:color="auto" w:fill="FFFFFF"/>
            <w:vAlign w:val="center"/>
          </w:tcPr>
          <w:p>
            <w:pPr>
              <w:ind w:firstLine="0" w:firstLineChars="0"/>
              <w:jc w:val="center"/>
              <w:rPr>
                <w:rFonts w:ascii="宋体" w:hAnsi="宋体"/>
                <w:sz w:val="24"/>
              </w:rPr>
            </w:pPr>
            <w:r>
              <w:rPr>
                <w:rFonts w:hint="eastAsia" w:ascii="宋体" w:hAnsi="宋体"/>
                <w:sz w:val="24"/>
              </w:rPr>
              <w:t>以下数据出自企业财务报表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0"/>
              <w:jc w:val="center"/>
              <w:rPr>
                <w:rFonts w:ascii="宋体" w:hAnsi="宋体"/>
                <w:sz w:val="24"/>
              </w:rPr>
            </w:pPr>
          </w:p>
        </w:tc>
        <w:tc>
          <w:tcPr>
            <w:tcW w:w="184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报表日期</w:t>
            </w: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资产总计</w:t>
            </w:r>
          </w:p>
        </w:tc>
        <w:tc>
          <w:tcPr>
            <w:tcW w:w="1677"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负债总计</w:t>
            </w:r>
          </w:p>
        </w:tc>
        <w:tc>
          <w:tcPr>
            <w:tcW w:w="1478"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所有者权益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1" w:hRule="exact"/>
          <w:jc w:val="center"/>
        </w:trPr>
        <w:tc>
          <w:tcPr>
            <w:tcW w:w="1745" w:type="dxa"/>
            <w:vMerge w:val="continue"/>
            <w:tcBorders>
              <w:top w:val="single" w:color="auto" w:sz="6" w:space="0"/>
              <w:bottom w:val="single" w:color="auto" w:sz="6" w:space="0"/>
            </w:tcBorders>
            <w:shd w:val="clear" w:color="auto" w:fill="auto"/>
            <w:vAlign w:val="center"/>
          </w:tcPr>
          <w:p>
            <w:pPr>
              <w:ind w:firstLine="480"/>
              <w:rPr>
                <w:rFonts w:ascii="宋体" w:hAnsi="宋体"/>
                <w:sz w:val="24"/>
              </w:rPr>
            </w:pPr>
          </w:p>
        </w:tc>
        <w:tc>
          <w:tcPr>
            <w:tcW w:w="1840" w:type="dxa"/>
            <w:tcBorders>
              <w:top w:val="single" w:color="auto" w:sz="6" w:space="0"/>
              <w:bottom w:val="single" w:color="auto" w:sz="6" w:space="0"/>
            </w:tcBorders>
            <w:shd w:val="clear" w:color="auto" w:fill="auto"/>
            <w:vAlign w:val="center"/>
          </w:tcPr>
          <w:p>
            <w:pPr>
              <w:ind w:firstLine="0" w:firstLineChars="0"/>
              <w:jc w:val="center"/>
              <w:rPr>
                <w:rFonts w:ascii="宋体" w:hAnsi="宋体"/>
                <w:sz w:val="24"/>
              </w:rPr>
            </w:pPr>
            <w:r>
              <w:rPr>
                <w:rFonts w:hint="eastAsia" w:ascii="宋体" w:hAnsi="宋体"/>
                <w:sz w:val="24"/>
              </w:rPr>
              <w:t xml:space="preserve">2018 年 </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bCs/>
                <w:sz w:val="20"/>
              </w:rPr>
            </w:pPr>
            <w:r>
              <w:rPr>
                <w:rFonts w:ascii="宋体" w:hAnsi="宋体" w:cs="宋体"/>
                <w:sz w:val="20"/>
                <w:szCs w:val="18"/>
              </w:rPr>
              <w:t>66,937.65</w:t>
            </w:r>
          </w:p>
        </w:tc>
        <w:tc>
          <w:tcPr>
            <w:tcW w:w="1677" w:type="dxa"/>
            <w:tcBorders>
              <w:top w:val="single" w:color="auto" w:sz="6" w:space="0"/>
              <w:bottom w:val="single" w:color="auto" w:sz="6" w:space="0"/>
            </w:tcBorders>
            <w:shd w:val="clear" w:color="auto" w:fill="FFFFFF"/>
            <w:vAlign w:val="center"/>
          </w:tcPr>
          <w:p>
            <w:pPr>
              <w:ind w:firstLine="0" w:firstLineChars="0"/>
              <w:jc w:val="center"/>
              <w:rPr>
                <w:rFonts w:ascii="宋体" w:hAnsi="宋体"/>
                <w:bCs/>
                <w:sz w:val="20"/>
              </w:rPr>
            </w:pPr>
            <w:r>
              <w:rPr>
                <w:rFonts w:ascii="宋体" w:hAnsi="宋体" w:cs="宋体"/>
                <w:sz w:val="20"/>
                <w:szCs w:val="18"/>
              </w:rPr>
              <w:t>8,118.22</w:t>
            </w:r>
          </w:p>
        </w:tc>
        <w:tc>
          <w:tcPr>
            <w:tcW w:w="1478" w:type="dxa"/>
            <w:tcBorders>
              <w:top w:val="single" w:color="auto" w:sz="6" w:space="0"/>
              <w:bottom w:val="single" w:color="auto" w:sz="6" w:space="0"/>
            </w:tcBorders>
            <w:shd w:val="clear" w:color="auto" w:fill="FFFFFF"/>
            <w:vAlign w:val="center"/>
          </w:tcPr>
          <w:p>
            <w:pPr>
              <w:ind w:firstLine="0" w:firstLineChars="0"/>
              <w:jc w:val="center"/>
              <w:rPr>
                <w:rFonts w:ascii="宋体" w:hAnsi="宋体"/>
                <w:bCs/>
                <w:sz w:val="20"/>
              </w:rPr>
            </w:pPr>
            <w:r>
              <w:rPr>
                <w:rFonts w:ascii="宋体" w:hAnsi="宋体" w:cs="宋体"/>
                <w:sz w:val="20"/>
                <w:szCs w:val="18"/>
              </w:rPr>
              <w:t>58,819.43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0"/>
              <w:rPr>
                <w:rFonts w:ascii="宋体" w:hAnsi="宋体"/>
                <w:sz w:val="24"/>
              </w:rPr>
            </w:pPr>
          </w:p>
        </w:tc>
        <w:tc>
          <w:tcPr>
            <w:tcW w:w="184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报表类型</w:t>
            </w: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b/>
                <w:sz w:val="24"/>
              </w:rPr>
            </w:pPr>
            <w:r>
              <w:rPr>
                <w:rFonts w:hint="eastAsia" w:ascii="宋体" w:hAnsi="宋体"/>
                <w:b/>
                <w:sz w:val="24"/>
              </w:rPr>
              <w:t>营业收入</w:t>
            </w:r>
          </w:p>
        </w:tc>
        <w:tc>
          <w:tcPr>
            <w:tcW w:w="1677"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利润总额</w:t>
            </w:r>
          </w:p>
        </w:tc>
        <w:tc>
          <w:tcPr>
            <w:tcW w:w="1478" w:type="dxa"/>
            <w:tcBorders>
              <w:top w:val="single" w:color="auto" w:sz="6" w:space="0"/>
              <w:bottom w:val="single" w:color="auto" w:sz="6" w:space="0"/>
            </w:tcBorders>
            <w:shd w:val="clear" w:color="auto" w:fill="FFFFFF"/>
            <w:vAlign w:val="center"/>
          </w:tcPr>
          <w:p>
            <w:pPr>
              <w:ind w:firstLine="0" w:firstLineChars="0"/>
              <w:jc w:val="center"/>
              <w:rPr>
                <w:rFonts w:ascii="宋体" w:hAnsi="宋体"/>
                <w:b/>
                <w:sz w:val="24"/>
              </w:rPr>
            </w:pPr>
            <w:r>
              <w:rPr>
                <w:rFonts w:hint="eastAsia" w:ascii="宋体" w:hAnsi="宋体"/>
                <w:b/>
                <w:sz w:val="24"/>
              </w:rPr>
              <w:t>净利润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exact"/>
          <w:jc w:val="center"/>
        </w:trPr>
        <w:tc>
          <w:tcPr>
            <w:tcW w:w="1745" w:type="dxa"/>
            <w:vMerge w:val="continue"/>
            <w:tcBorders>
              <w:top w:val="single" w:color="auto" w:sz="6" w:space="0"/>
              <w:bottom w:val="single" w:color="auto" w:sz="6" w:space="0"/>
            </w:tcBorders>
            <w:shd w:val="clear" w:color="auto" w:fill="auto"/>
            <w:vAlign w:val="center"/>
          </w:tcPr>
          <w:p>
            <w:pPr>
              <w:ind w:firstLine="480"/>
              <w:rPr>
                <w:rFonts w:ascii="宋体" w:hAnsi="宋体"/>
                <w:sz w:val="24"/>
              </w:rPr>
            </w:pPr>
          </w:p>
        </w:tc>
        <w:tc>
          <w:tcPr>
            <w:tcW w:w="1840" w:type="dxa"/>
            <w:tcBorders>
              <w:top w:val="single" w:color="auto" w:sz="6" w:space="0"/>
              <w:bottom w:val="single" w:color="auto" w:sz="6" w:space="0"/>
            </w:tcBorders>
            <w:shd w:val="clear" w:color="auto" w:fill="auto"/>
            <w:vAlign w:val="center"/>
          </w:tcPr>
          <w:p>
            <w:pPr>
              <w:ind w:firstLine="0" w:firstLineChars="0"/>
              <w:jc w:val="center"/>
              <w:rPr>
                <w:rFonts w:ascii="宋体" w:hAnsi="宋体"/>
                <w:sz w:val="24"/>
              </w:rPr>
            </w:pPr>
            <w:r>
              <w:rPr>
                <w:rFonts w:hint="eastAsia" w:ascii="宋体" w:hAnsi="宋体"/>
                <w:sz w:val="24"/>
              </w:rPr>
              <w:t>月报</w:t>
            </w:r>
            <w:r>
              <w:rPr>
                <w:rFonts w:hint="eastAsia" w:ascii="宋体" w:hAnsi="宋体"/>
              </w:rPr>
              <w:t>表</w:t>
            </w:r>
          </w:p>
        </w:tc>
        <w:tc>
          <w:tcPr>
            <w:tcW w:w="2100" w:type="dxa"/>
            <w:tcBorders>
              <w:top w:val="single" w:color="auto" w:sz="6" w:space="0"/>
              <w:bottom w:val="single" w:color="auto" w:sz="6" w:space="0"/>
            </w:tcBorders>
            <w:shd w:val="clear" w:color="auto" w:fill="auto"/>
            <w:vAlign w:val="center"/>
          </w:tcPr>
          <w:p>
            <w:pPr>
              <w:ind w:firstLine="0" w:firstLineChars="0"/>
              <w:jc w:val="center"/>
              <w:rPr>
                <w:rFonts w:ascii="宋体" w:hAnsi="宋体"/>
                <w:sz w:val="24"/>
              </w:rPr>
            </w:pPr>
          </w:p>
        </w:tc>
        <w:tc>
          <w:tcPr>
            <w:tcW w:w="1677" w:type="dxa"/>
            <w:tcBorders>
              <w:top w:val="single" w:color="auto" w:sz="6" w:space="0"/>
              <w:bottom w:val="single" w:color="auto" w:sz="6" w:space="0"/>
            </w:tcBorders>
            <w:shd w:val="clear" w:color="auto" w:fill="FFFFFF"/>
          </w:tcPr>
          <w:p>
            <w:pPr>
              <w:ind w:firstLine="0" w:firstLineChars="0"/>
              <w:jc w:val="center"/>
              <w:rPr>
                <w:rFonts w:ascii="宋体" w:hAnsi="宋体"/>
                <w:sz w:val="20"/>
              </w:rPr>
            </w:pPr>
            <w:r>
              <w:rPr>
                <w:rFonts w:ascii="宋体" w:hAnsi="宋体" w:cs="宋体"/>
                <w:sz w:val="20"/>
                <w:szCs w:val="18"/>
              </w:rPr>
              <w:t>-9.96</w:t>
            </w:r>
          </w:p>
        </w:tc>
        <w:tc>
          <w:tcPr>
            <w:tcW w:w="1478" w:type="dxa"/>
            <w:tcBorders>
              <w:top w:val="single" w:color="auto" w:sz="6" w:space="0"/>
              <w:bottom w:val="single" w:color="auto" w:sz="6" w:space="0"/>
            </w:tcBorders>
            <w:shd w:val="clear" w:color="auto" w:fill="FFFFFF"/>
          </w:tcPr>
          <w:p>
            <w:pPr>
              <w:ind w:firstLine="0" w:firstLineChars="0"/>
              <w:jc w:val="center"/>
              <w:rPr>
                <w:rFonts w:ascii="宋体" w:hAnsi="宋体"/>
                <w:sz w:val="20"/>
              </w:rPr>
            </w:pPr>
            <w:r>
              <w:rPr>
                <w:rFonts w:ascii="宋体" w:hAnsi="宋体" w:cs="宋体"/>
                <w:sz w:val="20"/>
                <w:szCs w:val="18"/>
              </w:rPr>
              <w:t>-9.96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79" w:hRule="exact"/>
          <w:jc w:val="center"/>
        </w:trPr>
        <w:tc>
          <w:tcPr>
            <w:tcW w:w="1745" w:type="dxa"/>
            <w:tcBorders>
              <w:top w:val="single" w:color="auto" w:sz="6" w:space="0"/>
            </w:tcBorders>
            <w:shd w:val="clear" w:color="auto" w:fill="FFFFFF"/>
            <w:vAlign w:val="center"/>
          </w:tcPr>
          <w:p>
            <w:pPr>
              <w:ind w:firstLine="0" w:firstLineChars="0"/>
              <w:jc w:val="center"/>
              <w:rPr>
                <w:rFonts w:ascii="宋体" w:hAnsi="宋体"/>
                <w:sz w:val="24"/>
              </w:rPr>
            </w:pPr>
            <w:r>
              <w:rPr>
                <w:rFonts w:hint="eastAsia" w:ascii="宋体" w:hAnsi="宋体"/>
                <w:b/>
                <w:sz w:val="24"/>
              </w:rPr>
              <w:t>其他披露内容</w:t>
            </w:r>
          </w:p>
        </w:tc>
        <w:tc>
          <w:tcPr>
            <w:tcW w:w="7095" w:type="dxa"/>
            <w:gridSpan w:val="4"/>
            <w:tcBorders>
              <w:top w:val="single" w:color="auto" w:sz="6" w:space="0"/>
              <w:bottom w:val="single" w:color="auto" w:sz="12" w:space="0"/>
            </w:tcBorders>
            <w:shd w:val="clear" w:color="auto" w:fill="FFFFFF"/>
            <w:vAlign w:val="center"/>
          </w:tcPr>
          <w:p>
            <w:pPr>
              <w:ind w:firstLine="420"/>
              <w:rPr>
                <w:rFonts w:ascii="宋体" w:hAnsi="宋体"/>
              </w:rPr>
            </w:pPr>
          </w:p>
        </w:tc>
      </w:tr>
    </w:tbl>
    <w:p>
      <w:pPr>
        <w:ind w:firstLine="422"/>
        <w:rPr>
          <w:rFonts w:ascii="仿宋_GB2312" w:eastAsia="仿宋_GB2312"/>
          <w:b/>
          <w:szCs w:val="21"/>
        </w:rPr>
      </w:pPr>
    </w:p>
    <w:p>
      <w:pPr>
        <w:ind w:firstLine="422"/>
        <w:rPr>
          <w:rFonts w:ascii="仿宋_GB2312" w:eastAsia="仿宋_GB2312"/>
          <w:b/>
          <w:szCs w:val="21"/>
        </w:rPr>
      </w:pPr>
    </w:p>
    <w:tbl>
      <w:tblPr>
        <w:tblStyle w:val="21"/>
        <w:tblW w:w="8835" w:type="dxa"/>
        <w:tblInd w:w="11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trPr>
        <w:tc>
          <w:tcPr>
            <w:tcW w:w="1740" w:type="dxa"/>
            <w:vMerge w:val="restart"/>
            <w:vAlign w:val="center"/>
          </w:tcPr>
          <w:p>
            <w:pPr>
              <w:ind w:firstLine="0" w:firstLineChars="0"/>
              <w:jc w:val="center"/>
              <w:rPr>
                <w:rFonts w:ascii="仿宋_GB2312" w:eastAsia="仿宋_GB2312"/>
                <w:b/>
                <w:szCs w:val="21"/>
              </w:rPr>
            </w:pPr>
            <w:r>
              <w:rPr>
                <w:rFonts w:hint="eastAsia" w:ascii="宋体" w:hAnsi="宋体" w:cs="宋体"/>
                <w:b/>
                <w:sz w:val="24"/>
              </w:rPr>
              <w:t>中介机构</w:t>
            </w:r>
          </w:p>
        </w:tc>
        <w:tc>
          <w:tcPr>
            <w:tcW w:w="2820" w:type="dxa"/>
            <w:vAlign w:val="center"/>
          </w:tcPr>
          <w:p>
            <w:pPr>
              <w:ind w:firstLine="0" w:firstLineChars="0"/>
              <w:jc w:val="center"/>
              <w:rPr>
                <w:rFonts w:ascii="仿宋_GB2312" w:eastAsia="仿宋_GB2312"/>
                <w:b/>
                <w:szCs w:val="21"/>
              </w:rPr>
            </w:pPr>
            <w:r>
              <w:rPr>
                <w:rFonts w:hint="eastAsia" w:ascii="宋体" w:hAnsi="宋体" w:cs="宋体"/>
                <w:b/>
                <w:sz w:val="24"/>
              </w:rPr>
              <w:t>律 师 事 务 所</w:t>
            </w:r>
          </w:p>
        </w:tc>
        <w:tc>
          <w:tcPr>
            <w:tcW w:w="4275" w:type="dxa"/>
            <w:vAlign w:val="center"/>
          </w:tcPr>
          <w:p>
            <w:pPr>
              <w:ind w:firstLine="0" w:firstLineChars="0"/>
              <w:jc w:val="center"/>
              <w:rPr>
                <w:rFonts w:ascii="仿宋_GB2312" w:eastAsia="仿宋_GB2312"/>
                <w:b/>
                <w:szCs w:val="21"/>
              </w:rPr>
            </w:pPr>
            <w:r>
              <w:rPr>
                <w:rFonts w:hint="eastAsia" w:ascii="宋体" w:hAnsi="宋体" w:cs="宋体"/>
                <w:sz w:val="24"/>
              </w:rPr>
              <w:t>锦天城律师事务所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trPr>
        <w:tc>
          <w:tcPr>
            <w:tcW w:w="1740" w:type="dxa"/>
            <w:vMerge w:val="continue"/>
            <w:vAlign w:val="center"/>
          </w:tcPr>
          <w:p>
            <w:pPr>
              <w:ind w:firstLine="0" w:firstLineChars="0"/>
              <w:jc w:val="center"/>
              <w:rPr>
                <w:rFonts w:ascii="仿宋_GB2312" w:eastAsia="仿宋_GB2312"/>
                <w:b/>
                <w:szCs w:val="21"/>
              </w:rPr>
            </w:pPr>
          </w:p>
        </w:tc>
        <w:tc>
          <w:tcPr>
            <w:tcW w:w="2820" w:type="dxa"/>
            <w:vAlign w:val="center"/>
          </w:tcPr>
          <w:p>
            <w:pPr>
              <w:ind w:firstLine="0" w:firstLineChars="0"/>
              <w:jc w:val="center"/>
              <w:rPr>
                <w:rFonts w:ascii="仿宋_GB2312" w:eastAsia="仿宋_GB2312"/>
                <w:b/>
                <w:szCs w:val="21"/>
              </w:rPr>
            </w:pPr>
            <w:r>
              <w:rPr>
                <w:rFonts w:hint="eastAsia" w:ascii="宋体" w:hAnsi="宋体" w:cs="宋体"/>
                <w:b/>
                <w:sz w:val="24"/>
              </w:rPr>
              <w:t>会 计 师 事 务 所</w:t>
            </w:r>
          </w:p>
        </w:tc>
        <w:tc>
          <w:tcPr>
            <w:tcW w:w="4275" w:type="dxa"/>
            <w:vAlign w:val="center"/>
          </w:tcPr>
          <w:p>
            <w:pPr>
              <w:ind w:firstLine="0" w:firstLineChars="0"/>
              <w:jc w:val="center"/>
              <w:rPr>
                <w:rFonts w:ascii="仿宋_GB2312" w:eastAsia="仿宋_GB2312"/>
                <w:b/>
                <w:szCs w:val="21"/>
              </w:rPr>
            </w:pPr>
            <w:r>
              <w:rPr>
                <w:rFonts w:hint="eastAsia" w:ascii="宋体" w:hAnsi="宋体" w:cs="宋体"/>
                <w:sz w:val="24"/>
              </w:rPr>
              <w:t>天健会计师事务所（特殊普通合伙）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2" w:hRule="atLeast"/>
        </w:trPr>
        <w:tc>
          <w:tcPr>
            <w:tcW w:w="1740" w:type="dxa"/>
            <w:vMerge w:val="continue"/>
            <w:vAlign w:val="center"/>
          </w:tcPr>
          <w:p>
            <w:pPr>
              <w:ind w:firstLine="0" w:firstLineChars="0"/>
              <w:jc w:val="center"/>
              <w:rPr>
                <w:rFonts w:ascii="仿宋_GB2312" w:eastAsia="仿宋_GB2312"/>
                <w:b/>
                <w:szCs w:val="21"/>
              </w:rPr>
            </w:pPr>
          </w:p>
        </w:tc>
        <w:tc>
          <w:tcPr>
            <w:tcW w:w="2820" w:type="dxa"/>
            <w:vAlign w:val="center"/>
          </w:tcPr>
          <w:p>
            <w:pPr>
              <w:ind w:firstLine="0" w:firstLineChars="0"/>
              <w:jc w:val="center"/>
              <w:rPr>
                <w:rFonts w:ascii="仿宋_GB2312" w:eastAsia="仿宋_GB2312"/>
                <w:b/>
                <w:szCs w:val="21"/>
              </w:rPr>
            </w:pPr>
            <w:r>
              <w:rPr>
                <w:rFonts w:hint="eastAsia" w:ascii="宋体" w:hAnsi="宋体" w:cs="宋体"/>
                <w:b/>
                <w:sz w:val="24"/>
              </w:rPr>
              <w:t>评 估 事 务 所</w:t>
            </w:r>
          </w:p>
        </w:tc>
        <w:tc>
          <w:tcPr>
            <w:tcW w:w="4275" w:type="dxa"/>
            <w:vAlign w:val="center"/>
          </w:tcPr>
          <w:p>
            <w:pPr>
              <w:ind w:firstLine="0" w:firstLineChars="0"/>
              <w:jc w:val="center"/>
              <w:rPr>
                <w:rFonts w:ascii="仿宋_GB2312" w:eastAsia="仿宋_GB2312"/>
                <w:b/>
                <w:szCs w:val="21"/>
              </w:rPr>
            </w:pPr>
            <w:r>
              <w:rPr>
                <w:rFonts w:hint="eastAsia" w:ascii="宋体" w:hAnsi="宋体" w:cs="宋体"/>
                <w:sz w:val="24"/>
              </w:rPr>
              <w:t>中京民信（北京）资产评估有限公司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trPr>
        <w:tc>
          <w:tcPr>
            <w:tcW w:w="1740" w:type="dxa"/>
            <w:vMerge w:val="restart"/>
            <w:vAlign w:val="center"/>
          </w:tcPr>
          <w:p>
            <w:pPr>
              <w:ind w:firstLine="0" w:firstLineChars="0"/>
              <w:jc w:val="center"/>
              <w:rPr>
                <w:rFonts w:ascii="宋体" w:hAnsi="宋体" w:cs="宋体"/>
                <w:b/>
                <w:sz w:val="24"/>
              </w:rPr>
            </w:pPr>
            <w:r>
              <w:rPr>
                <w:rFonts w:hint="eastAsia" w:ascii="宋体" w:hAnsi="宋体" w:cs="宋体"/>
                <w:b/>
                <w:sz w:val="24"/>
              </w:rPr>
              <w:t>资产评估核准</w:t>
            </w:r>
          </w:p>
          <w:p>
            <w:pPr>
              <w:ind w:firstLine="0" w:firstLineChars="0"/>
              <w:jc w:val="center"/>
              <w:rPr>
                <w:rFonts w:ascii="仿宋_GB2312" w:eastAsia="仿宋_GB2312"/>
                <w:b/>
                <w:szCs w:val="21"/>
              </w:rPr>
            </w:pPr>
            <w:r>
              <w:rPr>
                <w:rFonts w:hint="eastAsia" w:ascii="宋体" w:hAnsi="宋体" w:cs="宋体"/>
                <w:b/>
                <w:sz w:val="24"/>
              </w:rPr>
              <w:t>或备案情况</w:t>
            </w:r>
          </w:p>
        </w:tc>
        <w:tc>
          <w:tcPr>
            <w:tcW w:w="2820" w:type="dxa"/>
            <w:vAlign w:val="center"/>
          </w:tcPr>
          <w:p>
            <w:pPr>
              <w:ind w:firstLine="0" w:firstLineChars="0"/>
              <w:jc w:val="center"/>
              <w:rPr>
                <w:rFonts w:ascii="仿宋_GB2312" w:eastAsia="仿宋_GB2312"/>
                <w:b/>
                <w:szCs w:val="21"/>
              </w:rPr>
            </w:pPr>
            <w:r>
              <w:rPr>
                <w:rFonts w:hint="eastAsia" w:ascii="宋体" w:hAnsi="宋体" w:cs="宋体"/>
                <w:b/>
                <w:sz w:val="24"/>
              </w:rPr>
              <w:t>评 估 基 准 日</w:t>
            </w:r>
          </w:p>
        </w:tc>
        <w:tc>
          <w:tcPr>
            <w:tcW w:w="4275" w:type="dxa"/>
            <w:vAlign w:val="center"/>
          </w:tcPr>
          <w:p>
            <w:pPr>
              <w:ind w:firstLine="0" w:firstLineChars="0"/>
              <w:jc w:val="center"/>
              <w:rPr>
                <w:rFonts w:ascii="仿宋_GB2312" w:eastAsia="仿宋_GB2312"/>
                <w:b/>
                <w:szCs w:val="21"/>
              </w:rPr>
            </w:pPr>
            <w:r>
              <w:rPr>
                <w:rFonts w:hint="eastAsia" w:ascii="宋体" w:hAnsi="宋体" w:cs="宋体"/>
                <w:sz w:val="24"/>
              </w:rPr>
              <w:t>201</w:t>
            </w:r>
            <w:r>
              <w:rPr>
                <w:rFonts w:ascii="宋体" w:hAnsi="宋体" w:cs="宋体"/>
                <w:sz w:val="24"/>
              </w:rPr>
              <w:t>8</w:t>
            </w:r>
            <w:r>
              <w:rPr>
                <w:rFonts w:hint="eastAsia" w:ascii="宋体" w:hAnsi="宋体" w:cs="宋体"/>
                <w:sz w:val="24"/>
              </w:rPr>
              <w:t>年</w:t>
            </w:r>
            <w:r>
              <w:rPr>
                <w:rFonts w:ascii="宋体" w:hAnsi="宋体" w:cs="宋体"/>
                <w:sz w:val="24"/>
              </w:rPr>
              <w:t>4</w:t>
            </w:r>
            <w:r>
              <w:rPr>
                <w:rFonts w:hint="eastAsia" w:ascii="宋体" w:hAnsi="宋体" w:cs="宋体"/>
                <w:sz w:val="24"/>
              </w:rPr>
              <w:t>月</w:t>
            </w:r>
            <w:r>
              <w:rPr>
                <w:rFonts w:ascii="宋体" w:hAnsi="宋体" w:cs="宋体"/>
                <w:sz w:val="24"/>
              </w:rPr>
              <w:t>30</w:t>
            </w:r>
            <w:r>
              <w:rPr>
                <w:rFonts w:hint="eastAsia" w:ascii="宋体" w:hAnsi="宋体" w:cs="宋体"/>
                <w:sz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77" w:hRule="atLeast"/>
        </w:trPr>
        <w:tc>
          <w:tcPr>
            <w:tcW w:w="1740" w:type="dxa"/>
            <w:vMerge w:val="continue"/>
            <w:vAlign w:val="center"/>
          </w:tcPr>
          <w:p>
            <w:pPr>
              <w:ind w:firstLine="0" w:firstLineChars="0"/>
              <w:jc w:val="center"/>
              <w:rPr>
                <w:rFonts w:ascii="仿宋_GB2312" w:eastAsia="仿宋_GB2312"/>
                <w:b/>
                <w:szCs w:val="21"/>
              </w:rPr>
            </w:pPr>
          </w:p>
        </w:tc>
        <w:tc>
          <w:tcPr>
            <w:tcW w:w="2820" w:type="dxa"/>
            <w:vAlign w:val="center"/>
          </w:tcPr>
          <w:p>
            <w:pPr>
              <w:ind w:firstLine="0" w:firstLineChars="0"/>
              <w:jc w:val="center"/>
              <w:rPr>
                <w:rFonts w:ascii="仿宋_GB2312" w:eastAsia="仿宋_GB2312"/>
                <w:b/>
                <w:szCs w:val="21"/>
              </w:rPr>
            </w:pPr>
            <w:r>
              <w:rPr>
                <w:rFonts w:hint="eastAsia" w:ascii="宋体" w:hAnsi="宋体" w:cs="宋体"/>
                <w:b/>
                <w:sz w:val="24"/>
              </w:rPr>
              <w:t>评估核准（备案）机构</w:t>
            </w:r>
          </w:p>
        </w:tc>
        <w:tc>
          <w:tcPr>
            <w:tcW w:w="4275" w:type="dxa"/>
            <w:vAlign w:val="center"/>
          </w:tcPr>
          <w:p>
            <w:pPr>
              <w:ind w:firstLine="0" w:firstLineChars="0"/>
              <w:jc w:val="center"/>
              <w:rPr>
                <w:rFonts w:ascii="宋体" w:hAnsi="宋体" w:cs="宋体"/>
                <w:sz w:val="24"/>
              </w:rPr>
            </w:pPr>
            <w:r>
              <w:rPr>
                <w:rFonts w:hint="eastAsia" w:ascii="宋体" w:hAnsi="宋体" w:cs="宋体"/>
                <w:sz w:val="24"/>
              </w:rPr>
              <w:t>椒江区国资局</w:t>
            </w:r>
          </w:p>
          <w:p>
            <w:pPr>
              <w:ind w:firstLine="0" w:firstLineChars="0"/>
              <w:jc w:val="center"/>
              <w:rPr>
                <w:rFonts w:ascii="仿宋_GB2312" w:eastAsia="仿宋_GB2312"/>
                <w:b/>
                <w:szCs w:val="21"/>
              </w:rPr>
            </w:pPr>
            <w:r>
              <w:rPr>
                <w:rFonts w:hint="eastAsia" w:ascii="宋体" w:hAnsi="宋体" w:cs="宋体"/>
                <w:sz w:val="24"/>
              </w:rPr>
              <w:t>核准□ 备案</w:t>
            </w:r>
            <w:r>
              <w:rPr>
                <w:rFonts w:hint="eastAsia" w:ascii="宋体" w:hAnsi="宋体" w:cs="宋体"/>
                <w:sz w:val="24"/>
              </w:rPr>
              <w:sym w:font="Wingdings 2" w:char="0052"/>
            </w:r>
          </w:p>
        </w:tc>
      </w:tr>
    </w:tbl>
    <w:p>
      <w:pPr>
        <w:ind w:firstLine="422"/>
        <w:rPr>
          <w:rFonts w:ascii="仿宋_GB2312" w:eastAsia="仿宋_GB2312"/>
          <w:b/>
          <w:szCs w:val="21"/>
        </w:rPr>
      </w:pPr>
    </w:p>
    <w:p>
      <w:pPr>
        <w:spacing w:line="360" w:lineRule="auto"/>
        <w:ind w:firstLine="560"/>
        <w:rPr>
          <w:rFonts w:ascii="宋体" w:hAnsi="宋体"/>
          <w:sz w:val="28"/>
          <w:szCs w:val="28"/>
        </w:rPr>
      </w:pPr>
      <w:r>
        <w:rPr>
          <w:rFonts w:hint="eastAsia" w:ascii="宋体" w:hAnsi="宋体"/>
          <w:sz w:val="28"/>
          <w:szCs w:val="28"/>
        </w:rPr>
        <w:t>五、职工安置</w:t>
      </w:r>
    </w:p>
    <w:p>
      <w:pPr>
        <w:spacing w:line="360" w:lineRule="auto"/>
        <w:ind w:firstLine="560"/>
        <w:rPr>
          <w:rFonts w:ascii="宋体" w:hAnsi="宋体"/>
          <w:sz w:val="28"/>
          <w:szCs w:val="28"/>
        </w:rPr>
      </w:pPr>
      <w:r>
        <w:rPr>
          <w:rFonts w:hint="eastAsia" w:ascii="宋体" w:hAnsi="宋体"/>
          <w:sz w:val="28"/>
          <w:szCs w:val="28"/>
        </w:rPr>
        <w:t>本次股权转让完成后，职工的劳动合同继续有效，其劳动关系、社会保险及住房公积金关系保持不变。</w:t>
      </w:r>
    </w:p>
    <w:p>
      <w:pPr>
        <w:spacing w:line="360" w:lineRule="auto"/>
        <w:ind w:firstLine="560"/>
        <w:rPr>
          <w:rFonts w:ascii="宋体" w:hAnsi="宋体"/>
          <w:sz w:val="28"/>
          <w:szCs w:val="28"/>
        </w:rPr>
      </w:pPr>
      <w:r>
        <w:rPr>
          <w:rFonts w:hint="eastAsia" w:ascii="宋体" w:hAnsi="宋体"/>
          <w:sz w:val="28"/>
          <w:szCs w:val="28"/>
        </w:rPr>
        <w:t>六、债权债务处置</w:t>
      </w:r>
    </w:p>
    <w:p>
      <w:pPr>
        <w:spacing w:line="360" w:lineRule="auto"/>
        <w:ind w:firstLine="560"/>
        <w:rPr>
          <w:rFonts w:ascii="宋体" w:hAnsi="宋体"/>
          <w:sz w:val="28"/>
          <w:szCs w:val="28"/>
        </w:rPr>
      </w:pPr>
      <w:r>
        <w:rPr>
          <w:rFonts w:hint="eastAsia" w:ascii="宋体" w:hAnsi="宋体"/>
          <w:sz w:val="28"/>
          <w:szCs w:val="28"/>
        </w:rPr>
        <w:t>本次股权转让完成后，浙江海晟药业有限公司的法人主体未发生变化，为依法存续的有限责任公司。故此，其所有债权、债务依然由浙江海晟药业有限公司承继。</w:t>
      </w:r>
    </w:p>
    <w:p>
      <w:pPr>
        <w:spacing w:line="360" w:lineRule="auto"/>
        <w:ind w:firstLine="560"/>
        <w:rPr>
          <w:rFonts w:ascii="宋体" w:hAnsi="宋体"/>
          <w:sz w:val="28"/>
          <w:szCs w:val="28"/>
        </w:rPr>
      </w:pPr>
      <w:r>
        <w:rPr>
          <w:rFonts w:hint="eastAsia" w:ascii="宋体" w:hAnsi="宋体"/>
          <w:sz w:val="28"/>
          <w:szCs w:val="28"/>
        </w:rPr>
        <w:t>七、竞买人条件</w:t>
      </w:r>
    </w:p>
    <w:p>
      <w:pPr>
        <w:spacing w:line="360" w:lineRule="auto"/>
        <w:ind w:firstLine="560"/>
        <w:rPr>
          <w:rFonts w:ascii="宋体" w:hAnsi="宋体"/>
          <w:bCs/>
          <w:sz w:val="28"/>
          <w:szCs w:val="28"/>
        </w:rPr>
      </w:pPr>
      <w:bookmarkStart w:id="11" w:name="待定04"/>
      <w:r>
        <w:rPr>
          <w:rFonts w:hint="eastAsia" w:ascii="宋体" w:hAnsi="宋体"/>
          <w:bCs/>
          <w:sz w:val="28"/>
          <w:szCs w:val="28"/>
        </w:rPr>
        <w:t>受让方资格条件、交易条件、与转让相关的其他条件以增资公告为准，转让项目不单独接受意向受让人办理受让意向登记手续，意向受让人须满足“浙江海晟药业有限公司增资项目”的资格条件，并承诺接受所有增资条件。</w:t>
      </w:r>
      <w:bookmarkEnd w:id="11"/>
    </w:p>
    <w:p>
      <w:pPr>
        <w:spacing w:line="360" w:lineRule="auto"/>
        <w:ind w:firstLine="560"/>
        <w:rPr>
          <w:rFonts w:ascii="宋体" w:hAnsi="宋体"/>
          <w:sz w:val="28"/>
          <w:szCs w:val="28"/>
        </w:rPr>
      </w:pPr>
      <w:r>
        <w:rPr>
          <w:rFonts w:hint="eastAsia" w:ascii="宋体" w:hAnsi="宋体"/>
          <w:sz w:val="28"/>
          <w:szCs w:val="28"/>
        </w:rPr>
        <w:t>八、竞买保证金缴纳、使用、退还</w:t>
      </w:r>
    </w:p>
    <w:p>
      <w:pPr>
        <w:spacing w:line="360" w:lineRule="auto"/>
        <w:ind w:firstLine="560"/>
        <w:rPr>
          <w:rFonts w:ascii="宋体" w:hAnsi="宋体"/>
          <w:sz w:val="28"/>
          <w:szCs w:val="28"/>
        </w:rPr>
      </w:pPr>
      <w:r>
        <w:rPr>
          <w:rFonts w:hint="eastAsia" w:ascii="宋体" w:hAnsi="宋体"/>
          <w:sz w:val="28"/>
          <w:szCs w:val="28"/>
        </w:rPr>
        <w:t>1、竞买保证金缴纳：竞买人缴付的竞买保证金应在报名截止日前以转账方式缴入。</w:t>
      </w:r>
    </w:p>
    <w:p>
      <w:pPr>
        <w:spacing w:line="360" w:lineRule="auto"/>
        <w:ind w:firstLine="562"/>
        <w:rPr>
          <w:rFonts w:ascii="宋体" w:hAnsi="宋体"/>
          <w:b/>
          <w:sz w:val="28"/>
          <w:szCs w:val="28"/>
        </w:rPr>
      </w:pPr>
      <w:r>
        <w:rPr>
          <w:rFonts w:hint="eastAsia" w:ascii="宋体" w:hAnsi="宋体"/>
          <w:b/>
          <w:sz w:val="28"/>
          <w:szCs w:val="28"/>
        </w:rPr>
        <w:t>单位名称</w:t>
      </w:r>
      <w:r>
        <w:rPr>
          <w:rFonts w:hint="eastAsia" w:ascii="宋体" w:hAnsi="宋体"/>
          <w:b/>
          <w:bCs/>
          <w:sz w:val="28"/>
          <w:szCs w:val="28"/>
        </w:rPr>
        <w:t>：台州市产权交易所有限公司</w:t>
      </w:r>
    </w:p>
    <w:p>
      <w:pPr>
        <w:spacing w:line="360" w:lineRule="auto"/>
        <w:ind w:firstLine="562"/>
        <w:rPr>
          <w:rFonts w:ascii="宋体" w:hAnsi="宋体"/>
          <w:b/>
          <w:bCs/>
          <w:sz w:val="28"/>
          <w:szCs w:val="28"/>
        </w:rPr>
      </w:pPr>
      <w:r>
        <w:rPr>
          <w:rFonts w:hint="eastAsia" w:ascii="宋体" w:hAnsi="宋体"/>
          <w:b/>
          <w:bCs/>
          <w:sz w:val="28"/>
          <w:szCs w:val="28"/>
        </w:rPr>
        <w:t>开户行：</w:t>
      </w:r>
      <w:r>
        <w:rPr>
          <w:rFonts w:ascii="宋体" w:hAnsi="宋体"/>
          <w:b/>
          <w:bCs/>
          <w:sz w:val="28"/>
          <w:szCs w:val="28"/>
        </w:rPr>
        <w:t>浙江民泰商业银行台州椒江支行</w:t>
      </w:r>
    </w:p>
    <w:p>
      <w:pPr>
        <w:spacing w:line="360" w:lineRule="auto"/>
        <w:ind w:firstLine="562"/>
        <w:rPr>
          <w:rFonts w:ascii="宋体" w:hAnsi="宋体"/>
          <w:b/>
          <w:bCs/>
          <w:sz w:val="28"/>
          <w:szCs w:val="28"/>
        </w:rPr>
      </w:pPr>
      <w:r>
        <w:rPr>
          <w:rFonts w:hint="eastAsia" w:ascii="宋体" w:hAnsi="宋体"/>
          <w:b/>
          <w:bCs/>
          <w:sz w:val="28"/>
          <w:szCs w:val="28"/>
        </w:rPr>
        <w:t>帐号：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00015</w:t>
      </w:r>
    </w:p>
    <w:p>
      <w:pPr>
        <w:spacing w:line="360" w:lineRule="auto"/>
        <w:ind w:firstLine="560"/>
        <w:rPr>
          <w:rFonts w:ascii="宋体" w:hAnsi="宋体"/>
          <w:sz w:val="28"/>
          <w:szCs w:val="28"/>
        </w:rPr>
      </w:pPr>
      <w:r>
        <w:rPr>
          <w:rFonts w:hint="eastAsia" w:ascii="宋体" w:hAnsi="宋体"/>
          <w:sz w:val="28"/>
          <w:szCs w:val="28"/>
        </w:rPr>
        <w:t>2、竞买保证金使用：竞买人竞得标的后，竞买保证金转为履约保证金，该保证金可抵作应支付部分转让款项。</w:t>
      </w:r>
    </w:p>
    <w:p>
      <w:pPr>
        <w:spacing w:line="360" w:lineRule="auto"/>
        <w:ind w:firstLine="560"/>
        <w:rPr>
          <w:rFonts w:ascii="宋体" w:hAnsi="宋体"/>
          <w:sz w:val="28"/>
          <w:szCs w:val="28"/>
        </w:rPr>
      </w:pPr>
      <w:r>
        <w:rPr>
          <w:rFonts w:hint="eastAsia" w:ascii="宋体" w:hAnsi="宋体"/>
          <w:sz w:val="28"/>
          <w:szCs w:val="28"/>
        </w:rPr>
        <w:t>3、出现下列情形竞买人保证金可在五个工作日内退还（不计息）：</w:t>
      </w:r>
    </w:p>
    <w:p>
      <w:pPr>
        <w:spacing w:line="360" w:lineRule="auto"/>
        <w:ind w:firstLine="565" w:firstLineChars="202"/>
        <w:rPr>
          <w:rFonts w:ascii="宋体" w:hAnsi="宋体"/>
          <w:sz w:val="28"/>
          <w:szCs w:val="28"/>
        </w:rPr>
      </w:pPr>
      <w:r>
        <w:rPr>
          <w:rFonts w:hint="eastAsia" w:ascii="宋体" w:hAnsi="宋体"/>
          <w:sz w:val="28"/>
          <w:szCs w:val="28"/>
        </w:rPr>
        <w:t>（1）经资格审核，不符合竞买资格的；</w:t>
      </w:r>
    </w:p>
    <w:p>
      <w:pPr>
        <w:spacing w:line="360" w:lineRule="auto"/>
        <w:ind w:firstLine="560"/>
        <w:rPr>
          <w:rFonts w:ascii="宋体" w:hAnsi="宋体"/>
          <w:sz w:val="28"/>
          <w:szCs w:val="28"/>
        </w:rPr>
      </w:pPr>
      <w:r>
        <w:rPr>
          <w:rFonts w:hint="eastAsia" w:ascii="宋体" w:hAnsi="宋体"/>
          <w:sz w:val="28"/>
          <w:szCs w:val="28"/>
        </w:rPr>
        <w:t>（2）参加竞价并应价但未能竞得标的者；</w:t>
      </w:r>
    </w:p>
    <w:p>
      <w:pPr>
        <w:spacing w:line="360" w:lineRule="auto"/>
        <w:ind w:firstLine="560"/>
        <w:rPr>
          <w:rFonts w:ascii="宋体" w:hAnsi="宋体"/>
          <w:sz w:val="28"/>
          <w:szCs w:val="28"/>
        </w:rPr>
      </w:pPr>
      <w:r>
        <w:rPr>
          <w:rFonts w:hint="eastAsia" w:ascii="宋体" w:hAnsi="宋体"/>
          <w:sz w:val="28"/>
          <w:szCs w:val="28"/>
        </w:rPr>
        <w:t>（3）竞价转让前，因政策等正当理由取消竞价转让的。</w:t>
      </w:r>
    </w:p>
    <w:p>
      <w:pPr>
        <w:tabs>
          <w:tab w:val="left" w:pos="6360"/>
        </w:tabs>
        <w:spacing w:line="360" w:lineRule="auto"/>
        <w:ind w:firstLine="560"/>
        <w:rPr>
          <w:rFonts w:ascii="宋体" w:hAnsi="宋体"/>
          <w:sz w:val="28"/>
          <w:szCs w:val="28"/>
        </w:rPr>
      </w:pPr>
      <w:r>
        <w:rPr>
          <w:rFonts w:hint="eastAsia" w:ascii="宋体" w:hAnsi="宋体"/>
          <w:sz w:val="28"/>
          <w:szCs w:val="28"/>
        </w:rPr>
        <w:t>4、出现下列情形竞买人保证金不予退还：</w:t>
      </w:r>
      <w:r>
        <w:rPr>
          <w:rFonts w:ascii="宋体" w:hAnsi="宋体"/>
          <w:sz w:val="28"/>
          <w:szCs w:val="28"/>
        </w:rPr>
        <w:tab/>
      </w:r>
    </w:p>
    <w:p>
      <w:pPr>
        <w:tabs>
          <w:tab w:val="left" w:pos="6360"/>
        </w:tabs>
        <w:spacing w:line="360" w:lineRule="auto"/>
        <w:ind w:firstLine="560"/>
        <w:rPr>
          <w:rFonts w:ascii="宋体" w:hAnsi="宋体"/>
          <w:sz w:val="28"/>
          <w:szCs w:val="28"/>
        </w:rPr>
      </w:pPr>
      <w:r>
        <w:rPr>
          <w:rFonts w:hint="eastAsia" w:ascii="宋体" w:hAnsi="宋体"/>
          <w:sz w:val="28"/>
          <w:szCs w:val="28"/>
        </w:rPr>
        <w:t>（1）竞买人存在不当行为，包括但不限于：竞买人提供的资料和信息存在虚假、不真实、不具有效力等情形。</w:t>
      </w:r>
    </w:p>
    <w:p>
      <w:pPr>
        <w:tabs>
          <w:tab w:val="left" w:pos="6360"/>
        </w:tabs>
        <w:spacing w:line="360" w:lineRule="auto"/>
        <w:ind w:firstLine="560"/>
        <w:rPr>
          <w:rFonts w:ascii="宋体" w:hAnsi="宋体"/>
          <w:sz w:val="28"/>
          <w:szCs w:val="28"/>
        </w:rPr>
      </w:pPr>
      <w:r>
        <w:rPr>
          <w:rFonts w:hint="eastAsia" w:ascii="宋体" w:hAnsi="宋体"/>
          <w:sz w:val="28"/>
          <w:szCs w:val="28"/>
        </w:rPr>
        <w:t>（2）竞买人交纳保证金后单方撤回竞买申请的；</w:t>
      </w:r>
    </w:p>
    <w:p>
      <w:pPr>
        <w:spacing w:line="360" w:lineRule="auto"/>
        <w:ind w:firstLine="560"/>
        <w:rPr>
          <w:rFonts w:ascii="宋体" w:hAnsi="宋体"/>
          <w:sz w:val="28"/>
          <w:szCs w:val="28"/>
        </w:rPr>
      </w:pPr>
      <w:r>
        <w:rPr>
          <w:rFonts w:hint="eastAsia" w:ascii="宋体" w:hAnsi="宋体"/>
          <w:sz w:val="28"/>
          <w:szCs w:val="28"/>
        </w:rPr>
        <w:t>（3）公告期满，产生两个或两个以上符合条件的竞买人时，竞买人交纳保证金后未参加后续竞价程序的；</w:t>
      </w:r>
    </w:p>
    <w:p>
      <w:pPr>
        <w:spacing w:line="360" w:lineRule="auto"/>
        <w:ind w:firstLine="560"/>
        <w:rPr>
          <w:rFonts w:ascii="宋体" w:hAnsi="宋体"/>
          <w:sz w:val="28"/>
          <w:szCs w:val="28"/>
        </w:rPr>
      </w:pPr>
      <w:r>
        <w:rPr>
          <w:rFonts w:hint="eastAsia" w:ascii="宋体" w:hAnsi="宋体"/>
          <w:sz w:val="28"/>
          <w:szCs w:val="28"/>
        </w:rPr>
        <w:t>（4）在竞价过程中以浙江海晟药业有限公司同步发布增资项目公告（台交所挂〔2018〕30号）增资底价为起始价格，各竞买人均不应价的；</w:t>
      </w:r>
    </w:p>
    <w:p>
      <w:pPr>
        <w:spacing w:line="360" w:lineRule="auto"/>
        <w:ind w:firstLine="560"/>
        <w:rPr>
          <w:rFonts w:ascii="宋体" w:hAnsi="宋体"/>
          <w:sz w:val="28"/>
          <w:szCs w:val="28"/>
        </w:rPr>
      </w:pPr>
      <w:r>
        <w:rPr>
          <w:rFonts w:hint="eastAsia" w:ascii="宋体" w:hAnsi="宋体"/>
          <w:sz w:val="28"/>
          <w:szCs w:val="28"/>
        </w:rPr>
        <w:t>（5）被确定为最终受让方后，未按期支付成交款项的；</w:t>
      </w:r>
    </w:p>
    <w:p>
      <w:pPr>
        <w:spacing w:line="360" w:lineRule="auto"/>
        <w:ind w:firstLine="560"/>
        <w:rPr>
          <w:rFonts w:ascii="宋体" w:hAnsi="宋体"/>
          <w:sz w:val="28"/>
          <w:szCs w:val="28"/>
        </w:rPr>
      </w:pPr>
      <w:r>
        <w:rPr>
          <w:rFonts w:hint="eastAsia" w:ascii="宋体" w:hAnsi="宋体"/>
          <w:sz w:val="28"/>
          <w:szCs w:val="28"/>
        </w:rPr>
        <w:t>（6）未按期与出让方签订《成交确定书》和《转让合同》的；</w:t>
      </w:r>
    </w:p>
    <w:p>
      <w:pPr>
        <w:spacing w:line="360" w:lineRule="auto"/>
        <w:ind w:firstLine="560"/>
        <w:rPr>
          <w:rFonts w:ascii="宋体" w:hAnsi="宋体"/>
          <w:sz w:val="28"/>
          <w:szCs w:val="28"/>
        </w:rPr>
      </w:pPr>
      <w:r>
        <w:rPr>
          <w:rFonts w:hint="eastAsia" w:ascii="宋体" w:hAnsi="宋体"/>
          <w:sz w:val="28"/>
          <w:szCs w:val="28"/>
        </w:rPr>
        <w:t>（7）竞买人存在影响标的正常转让、竞价公正性或其他竞价程序要求的情形的；</w:t>
      </w:r>
    </w:p>
    <w:p>
      <w:pPr>
        <w:spacing w:line="360" w:lineRule="auto"/>
        <w:ind w:firstLine="560"/>
        <w:rPr>
          <w:rFonts w:ascii="宋体" w:hAnsi="宋体"/>
          <w:sz w:val="28"/>
          <w:szCs w:val="28"/>
        </w:rPr>
      </w:pPr>
      <w:r>
        <w:rPr>
          <w:rFonts w:hint="eastAsia" w:ascii="宋体" w:hAnsi="宋体"/>
          <w:sz w:val="28"/>
          <w:szCs w:val="28"/>
        </w:rPr>
        <w:t>九、报名受理</w:t>
      </w:r>
    </w:p>
    <w:p>
      <w:pPr>
        <w:spacing w:line="360" w:lineRule="auto"/>
        <w:ind w:firstLine="560"/>
        <w:rPr>
          <w:rFonts w:ascii="宋体" w:hAnsi="宋体"/>
          <w:sz w:val="28"/>
          <w:szCs w:val="28"/>
        </w:rPr>
      </w:pPr>
      <w:bookmarkStart w:id="12" w:name="待定05"/>
      <w:r>
        <w:rPr>
          <w:rFonts w:hint="eastAsia" w:ascii="宋体" w:hAnsi="宋体"/>
          <w:bCs/>
          <w:sz w:val="28"/>
          <w:szCs w:val="28"/>
        </w:rPr>
        <w:t>受让方资格条件、交易条件、与转让相关的其他条件以增资公告为准，转让项目不单独接受意向受让人办理受让意向登记手续，意向受让人须满足“浙江海晟药业有限公司增资项目”的资格条件，并承诺接受所有增资条件。</w:t>
      </w:r>
      <w:bookmarkEnd w:id="12"/>
    </w:p>
    <w:p>
      <w:pPr>
        <w:widowControl/>
        <w:shd w:val="clear" w:color="auto" w:fill="FFFFFF"/>
        <w:spacing w:line="360" w:lineRule="auto"/>
        <w:ind w:firstLine="562"/>
        <w:jc w:val="left"/>
        <w:rPr>
          <w:rFonts w:ascii="宋体" w:hAnsi="宋体" w:cs="宋体"/>
          <w:kern w:val="0"/>
          <w:sz w:val="28"/>
          <w:szCs w:val="28"/>
        </w:rPr>
      </w:pPr>
      <w:r>
        <w:rPr>
          <w:rFonts w:hint="eastAsia" w:ascii="宋体" w:hAnsi="宋体" w:cs="宋体"/>
          <w:b/>
          <w:kern w:val="0"/>
          <w:sz w:val="28"/>
          <w:szCs w:val="28"/>
        </w:rPr>
        <w:t>资格确认（报名）时间</w:t>
      </w:r>
      <w:r>
        <w:rPr>
          <w:rFonts w:hint="eastAsia" w:ascii="宋体" w:hAnsi="宋体" w:cs="宋体"/>
          <w:kern w:val="0"/>
          <w:sz w:val="28"/>
          <w:szCs w:val="28"/>
        </w:rPr>
        <w:t>：2018年 11 月 29 日至2018年 12 月 26 日下午4：00前（上午8：30－11：30，下午14：00－16：30时，双休日及法定节假日除外）。</w:t>
      </w:r>
    </w:p>
    <w:p>
      <w:pPr>
        <w:widowControl/>
        <w:shd w:val="clear" w:color="auto" w:fill="FFFFFF"/>
        <w:spacing w:line="360" w:lineRule="auto"/>
        <w:ind w:firstLine="562"/>
        <w:jc w:val="left"/>
        <w:rPr>
          <w:rFonts w:ascii="宋体" w:hAnsi="宋体" w:cs="宋体"/>
          <w:kern w:val="0"/>
          <w:sz w:val="28"/>
          <w:szCs w:val="28"/>
        </w:rPr>
      </w:pPr>
      <w:r>
        <w:rPr>
          <w:rFonts w:hint="eastAsia" w:ascii="宋体" w:hAnsi="宋体" w:cs="宋体"/>
          <w:b/>
          <w:kern w:val="0"/>
          <w:sz w:val="28"/>
          <w:szCs w:val="28"/>
        </w:rPr>
        <w:t>资格确认地址</w:t>
      </w:r>
      <w:r>
        <w:rPr>
          <w:rFonts w:hint="eastAsia" w:ascii="宋体" w:hAnsi="宋体" w:cs="宋体"/>
          <w:kern w:val="0"/>
          <w:sz w:val="28"/>
          <w:szCs w:val="28"/>
        </w:rPr>
        <w:t>：台州市产权交易所（台州市市府大道777号浙江民泰商业银行五楼511室）。</w:t>
      </w:r>
    </w:p>
    <w:p>
      <w:pPr>
        <w:spacing w:line="360" w:lineRule="auto"/>
        <w:ind w:firstLine="560"/>
        <w:rPr>
          <w:rFonts w:ascii="宋体" w:hAnsi="宋体"/>
          <w:sz w:val="28"/>
          <w:szCs w:val="28"/>
        </w:rPr>
      </w:pPr>
      <w:r>
        <w:rPr>
          <w:rFonts w:hint="eastAsia" w:ascii="宋体" w:hAnsi="宋体"/>
          <w:sz w:val="28"/>
          <w:szCs w:val="28"/>
        </w:rPr>
        <w:t>十、竞买资格审核</w:t>
      </w:r>
    </w:p>
    <w:p>
      <w:pPr>
        <w:spacing w:line="360" w:lineRule="auto"/>
        <w:ind w:firstLine="560"/>
        <w:rPr>
          <w:rFonts w:ascii="宋体" w:hAnsi="宋体"/>
          <w:sz w:val="28"/>
          <w:szCs w:val="28"/>
        </w:rPr>
      </w:pPr>
      <w:r>
        <w:rPr>
          <w:rFonts w:hint="eastAsia" w:ascii="宋体" w:hAnsi="宋体"/>
          <w:sz w:val="28"/>
          <w:szCs w:val="28"/>
        </w:rPr>
        <w:t>根据竞买人提供的上述资料，产交所在本次股权转让报名截止时间后当日对竞买资格进行审核，并将审核意见书面告知转让方进行征询、确认。</w:t>
      </w:r>
    </w:p>
    <w:p>
      <w:pPr>
        <w:spacing w:line="360" w:lineRule="auto"/>
        <w:ind w:firstLine="560"/>
        <w:rPr>
          <w:rFonts w:ascii="宋体" w:hAnsi="宋体"/>
          <w:sz w:val="28"/>
          <w:szCs w:val="28"/>
        </w:rPr>
      </w:pPr>
      <w:r>
        <w:rPr>
          <w:rFonts w:hint="eastAsia" w:ascii="宋体" w:hAnsi="宋体"/>
          <w:sz w:val="28"/>
          <w:szCs w:val="28"/>
        </w:rPr>
        <w:t>十一、竞买资格确认</w:t>
      </w:r>
    </w:p>
    <w:p>
      <w:pPr>
        <w:spacing w:line="360" w:lineRule="auto"/>
        <w:ind w:firstLine="560"/>
        <w:rPr>
          <w:rFonts w:ascii="宋体" w:hAnsi="宋体"/>
          <w:sz w:val="28"/>
          <w:szCs w:val="28"/>
        </w:rPr>
      </w:pPr>
      <w:r>
        <w:rPr>
          <w:rFonts w:hint="eastAsia" w:ascii="宋体" w:hAnsi="宋体"/>
          <w:sz w:val="28"/>
          <w:szCs w:val="28"/>
        </w:rPr>
        <w:t>竞买人的竞买资格经审核后，产交所将审核确认意见即时通知竞买人。</w:t>
      </w:r>
    </w:p>
    <w:p>
      <w:pPr>
        <w:spacing w:line="360" w:lineRule="auto"/>
        <w:ind w:firstLine="560"/>
        <w:rPr>
          <w:rFonts w:ascii="宋体" w:hAnsi="宋体"/>
          <w:sz w:val="28"/>
          <w:szCs w:val="28"/>
        </w:rPr>
      </w:pPr>
      <w:r>
        <w:rPr>
          <w:rFonts w:hint="eastAsia" w:ascii="宋体" w:hAnsi="宋体"/>
          <w:sz w:val="28"/>
          <w:szCs w:val="28"/>
        </w:rPr>
        <w:t>十二、本次股权挂牌转让按照下列情况确定是否成交</w:t>
      </w:r>
    </w:p>
    <w:p>
      <w:pPr>
        <w:spacing w:line="360" w:lineRule="auto"/>
        <w:ind w:firstLine="560"/>
        <w:rPr>
          <w:rFonts w:ascii="宋体" w:hAnsi="宋体"/>
          <w:sz w:val="28"/>
          <w:szCs w:val="28"/>
        </w:rPr>
      </w:pPr>
      <w:bookmarkStart w:id="13" w:name="待定06"/>
      <w:r>
        <w:rPr>
          <w:rFonts w:ascii="宋体" w:hAnsi="宋体"/>
          <w:sz w:val="28"/>
          <w:szCs w:val="28"/>
        </w:rPr>
        <w:t>1、</w:t>
      </w:r>
      <w:r>
        <w:rPr>
          <w:rFonts w:hint="eastAsia" w:ascii="宋体" w:hAnsi="宋体"/>
          <w:sz w:val="28"/>
          <w:szCs w:val="28"/>
        </w:rPr>
        <w:t>本次股权转让公告发布的同时，标的公司浙江海晟药业有限公司同步发布增资项目公告（台交所挂〔</w:t>
      </w:r>
      <w:r>
        <w:rPr>
          <w:rFonts w:ascii="宋体" w:hAnsi="宋体"/>
          <w:sz w:val="28"/>
          <w:szCs w:val="28"/>
        </w:rPr>
        <w:t>2018〕30号）,本</w:t>
      </w:r>
      <w:r>
        <w:rPr>
          <w:rFonts w:hint="eastAsia" w:ascii="宋体" w:hAnsi="宋体"/>
          <w:sz w:val="28"/>
          <w:szCs w:val="28"/>
        </w:rPr>
        <w:t>项目不单独接受意向投资人办理受让意向登记手续，意向投资人应在增资项目公告有效期内办理投资意向登记手续，意向投资人应符合本项目的全部资格条件、并承诺接受所有增资条件。意向投资人在获得资格确认并按时缴纳足额保证金后，同时获得本项目的受让资格，且意向投资人必须参与该股权份额受让。</w:t>
      </w:r>
    </w:p>
    <w:p>
      <w:pPr>
        <w:spacing w:line="360" w:lineRule="auto"/>
        <w:ind w:firstLine="560"/>
        <w:rPr>
          <w:rFonts w:ascii="宋体" w:hAnsi="宋体"/>
          <w:sz w:val="28"/>
          <w:szCs w:val="28"/>
        </w:rPr>
      </w:pPr>
      <w:r>
        <w:rPr>
          <w:rFonts w:ascii="宋体" w:hAnsi="宋体"/>
          <w:sz w:val="28"/>
          <w:szCs w:val="28"/>
        </w:rPr>
        <w:t>2、</w:t>
      </w:r>
      <w:r>
        <w:rPr>
          <w:rFonts w:hint="eastAsia" w:ascii="宋体" w:hAnsi="宋体"/>
          <w:sz w:val="28"/>
          <w:szCs w:val="28"/>
        </w:rPr>
        <w:t>增资项目确定最终投资人、确定增资价格、确定原股东转让增资人部分股权的成交价格，本意向投资人与其他股东共同签署《股权转让协议》和《增资协议》。</w:t>
      </w:r>
    </w:p>
    <w:bookmarkEnd w:id="13"/>
    <w:p>
      <w:pPr>
        <w:spacing w:line="360" w:lineRule="auto"/>
        <w:ind w:firstLine="560"/>
        <w:rPr>
          <w:rFonts w:ascii="宋体" w:hAnsi="宋体"/>
          <w:sz w:val="28"/>
          <w:szCs w:val="28"/>
        </w:rPr>
      </w:pPr>
      <w:r>
        <w:rPr>
          <w:rFonts w:hint="eastAsia" w:ascii="宋体" w:hAnsi="宋体"/>
          <w:sz w:val="28"/>
          <w:szCs w:val="28"/>
        </w:rPr>
        <w:t>十三、挂牌转让成交后，受让方须二个工作日内到产权交易所签署《成交确认书》，并在签署《成交确认书》当天与转让方签订《股权转让合同》。</w:t>
      </w:r>
    </w:p>
    <w:p>
      <w:pPr>
        <w:spacing w:line="360" w:lineRule="auto"/>
        <w:ind w:firstLine="560"/>
        <w:rPr>
          <w:rFonts w:ascii="宋体" w:hAnsi="宋体"/>
          <w:sz w:val="28"/>
          <w:szCs w:val="28"/>
        </w:rPr>
      </w:pPr>
      <w:r>
        <w:rPr>
          <w:rFonts w:hint="eastAsia" w:ascii="宋体" w:hAnsi="宋体"/>
          <w:sz w:val="28"/>
          <w:szCs w:val="28"/>
        </w:rPr>
        <w:t>十四、交易佣金</w:t>
      </w:r>
    </w:p>
    <w:p>
      <w:pPr>
        <w:spacing w:line="360" w:lineRule="auto"/>
        <w:ind w:firstLine="560"/>
        <w:rPr>
          <w:rFonts w:ascii="宋体" w:hAnsi="宋体"/>
          <w:sz w:val="28"/>
          <w:szCs w:val="28"/>
        </w:rPr>
      </w:pPr>
      <w:r>
        <w:rPr>
          <w:rFonts w:hint="eastAsia" w:ascii="宋体" w:hAnsi="宋体"/>
          <w:sz w:val="28"/>
          <w:szCs w:val="28"/>
        </w:rPr>
        <w:t>交易佣金按标的成交额0.2%计算收取，由受让方在与转让方签订《股权转让合同》生效日后二个工作日内一次性付清。</w:t>
      </w:r>
    </w:p>
    <w:p>
      <w:pPr>
        <w:spacing w:line="360" w:lineRule="auto"/>
        <w:ind w:firstLine="560"/>
        <w:rPr>
          <w:rFonts w:ascii="宋体" w:hAnsi="宋体"/>
          <w:sz w:val="28"/>
          <w:szCs w:val="28"/>
        </w:rPr>
      </w:pPr>
      <w:r>
        <w:rPr>
          <w:rFonts w:hint="eastAsia" w:ascii="宋体" w:hAnsi="宋体"/>
          <w:sz w:val="28"/>
          <w:szCs w:val="28"/>
        </w:rPr>
        <w:t>十五、付款方式</w:t>
      </w:r>
    </w:p>
    <w:p>
      <w:pPr>
        <w:spacing w:line="360" w:lineRule="auto"/>
        <w:ind w:firstLine="560"/>
        <w:rPr>
          <w:rFonts w:ascii="宋体" w:hAnsi="宋体"/>
          <w:sz w:val="28"/>
          <w:szCs w:val="28"/>
        </w:rPr>
      </w:pPr>
      <w:r>
        <w:rPr>
          <w:rFonts w:hint="eastAsia" w:ascii="宋体" w:hAnsi="宋体"/>
          <w:sz w:val="28"/>
          <w:szCs w:val="28"/>
        </w:rPr>
        <w:t>股权转让成交后，买受人在签署本《成交确认书》当天签署《股权转让合同》。首期价款（含交易保证金）为产权标的成交金额的60%，受让方应在《股权转让合同》签订之日起二个工作日内支付至产权交易机构指定账户，其余价款应在产权交易合同生效后1年内付清，且提供银行保函或符合转让方要求的合法有效担保，并按同期银行贷款利率支付首次付款日至分期付款日期间的利息，受让方先期缴纳的竞买保证金转为履约保证金并可抵作部分转让价款。上述款项缴入台州市产权交易所有限公司（</w:t>
      </w:r>
      <w:r>
        <w:rPr>
          <w:rFonts w:hint="eastAsia" w:ascii="宋体" w:hAnsi="宋体"/>
          <w:b/>
          <w:bCs/>
          <w:sz w:val="28"/>
          <w:szCs w:val="28"/>
        </w:rPr>
        <w:t>开户行：</w:t>
      </w:r>
      <w:r>
        <w:rPr>
          <w:rFonts w:ascii="宋体" w:hAnsi="宋体"/>
          <w:b/>
          <w:bCs/>
          <w:sz w:val="28"/>
          <w:szCs w:val="28"/>
        </w:rPr>
        <w:t>浙江民泰商业银行台州椒江支行</w:t>
      </w:r>
      <w:r>
        <w:rPr>
          <w:rFonts w:hint="eastAsia" w:ascii="宋体" w:hAnsi="宋体"/>
          <w:b/>
          <w:bCs/>
          <w:sz w:val="28"/>
          <w:szCs w:val="28"/>
        </w:rPr>
        <w:t>，帐号：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w:t>
      </w:r>
      <w:r>
        <w:rPr>
          <w:rFonts w:hint="eastAsia" w:ascii="宋体" w:hAnsi="宋体"/>
          <w:sz w:val="28"/>
          <w:szCs w:val="28"/>
        </w:rPr>
        <w:t>）。</w:t>
      </w:r>
    </w:p>
    <w:p>
      <w:pPr>
        <w:spacing w:line="360" w:lineRule="auto"/>
        <w:ind w:firstLine="560"/>
        <w:rPr>
          <w:rFonts w:ascii="宋体" w:hAnsi="宋体"/>
          <w:bCs/>
          <w:sz w:val="28"/>
          <w:szCs w:val="28"/>
        </w:rPr>
      </w:pPr>
      <w:r>
        <w:rPr>
          <w:rFonts w:hint="eastAsia" w:ascii="宋体" w:hAnsi="宋体"/>
          <w:sz w:val="28"/>
          <w:szCs w:val="28"/>
        </w:rPr>
        <w:t>十六、</w:t>
      </w:r>
      <w:r>
        <w:rPr>
          <w:rFonts w:hint="eastAsia" w:ascii="宋体" w:hAnsi="宋体"/>
          <w:bCs/>
          <w:sz w:val="28"/>
          <w:szCs w:val="28"/>
        </w:rPr>
        <w:t>股权转让的移交、交割与清算</w:t>
      </w:r>
    </w:p>
    <w:p>
      <w:pPr>
        <w:spacing w:line="360" w:lineRule="auto"/>
        <w:ind w:firstLine="560"/>
        <w:rPr>
          <w:rFonts w:ascii="宋体" w:hAnsi="宋体"/>
          <w:bCs/>
          <w:sz w:val="28"/>
          <w:szCs w:val="28"/>
        </w:rPr>
      </w:pPr>
      <w:r>
        <w:rPr>
          <w:rFonts w:hint="eastAsia" w:ascii="宋体" w:hAnsi="宋体"/>
          <w:bCs/>
          <w:sz w:val="28"/>
          <w:szCs w:val="28"/>
        </w:rPr>
        <w:t>1、本次股权转让的交接，在出让方与受让方之间进行。受让方负责付清本次股权转让首期成交款及全部佣金后，产交所审核后向受让方出具本次股权转让的《产权交易凭证》，受让方方能要求与出让方办理股权挂牌转让标的交接手续。</w:t>
      </w:r>
    </w:p>
    <w:p>
      <w:pPr>
        <w:spacing w:line="360" w:lineRule="auto"/>
        <w:ind w:firstLine="560"/>
        <w:rPr>
          <w:rFonts w:ascii="宋体" w:hAnsi="宋体"/>
          <w:bCs/>
          <w:sz w:val="28"/>
          <w:szCs w:val="28"/>
        </w:rPr>
      </w:pPr>
      <w:r>
        <w:rPr>
          <w:rFonts w:hint="eastAsia" w:ascii="宋体" w:hAnsi="宋体"/>
          <w:bCs/>
          <w:sz w:val="28"/>
          <w:szCs w:val="28"/>
        </w:rPr>
        <w:t>2、股权转让交割日：工商变更登记之日为股权转让交割日，表示本次股权转让交割完毕。</w:t>
      </w:r>
    </w:p>
    <w:p>
      <w:pPr>
        <w:spacing w:line="360" w:lineRule="auto"/>
        <w:ind w:firstLine="560"/>
        <w:rPr>
          <w:rFonts w:ascii="宋体" w:hAnsi="宋体"/>
          <w:bCs/>
          <w:sz w:val="28"/>
          <w:szCs w:val="28"/>
        </w:rPr>
      </w:pPr>
      <w:r>
        <w:rPr>
          <w:rFonts w:hint="eastAsia" w:ascii="宋体" w:hAnsi="宋体"/>
          <w:bCs/>
          <w:sz w:val="28"/>
          <w:szCs w:val="28"/>
        </w:rPr>
        <w:t>3、股权转让评估基准日（2018年4月30日）至股权转让交割日期间，标的企业经营损益不再进行审计清算，相关权利和义务由受让方享有或承担。</w:t>
      </w:r>
    </w:p>
    <w:p>
      <w:pPr>
        <w:spacing w:line="360" w:lineRule="auto"/>
        <w:ind w:firstLine="560"/>
        <w:rPr>
          <w:rFonts w:ascii="宋体" w:hAnsi="宋体"/>
          <w:bCs/>
          <w:sz w:val="28"/>
          <w:szCs w:val="28"/>
        </w:rPr>
      </w:pPr>
      <w:r>
        <w:rPr>
          <w:rFonts w:hint="eastAsia" w:ascii="宋体" w:hAnsi="宋体"/>
          <w:sz w:val="28"/>
          <w:szCs w:val="28"/>
        </w:rPr>
        <w:t>十七</w:t>
      </w:r>
      <w:r>
        <w:rPr>
          <w:rFonts w:hint="eastAsia" w:ascii="宋体" w:hAnsi="宋体"/>
          <w:bCs/>
          <w:sz w:val="28"/>
          <w:szCs w:val="28"/>
        </w:rPr>
        <w:t>、股权变更登记</w:t>
      </w:r>
    </w:p>
    <w:p>
      <w:pPr>
        <w:spacing w:line="360" w:lineRule="auto"/>
        <w:ind w:firstLine="560"/>
        <w:rPr>
          <w:rFonts w:ascii="宋体" w:hAnsi="宋体"/>
          <w:bCs/>
          <w:sz w:val="28"/>
          <w:szCs w:val="28"/>
        </w:rPr>
      </w:pPr>
      <w:r>
        <w:rPr>
          <w:rFonts w:hint="eastAsia" w:ascii="宋体" w:hAnsi="宋体"/>
          <w:bCs/>
          <w:sz w:val="28"/>
          <w:szCs w:val="28"/>
        </w:rPr>
        <w:t>受让方取得产交所出具的《产权交易凭证》后，应在出让方配合协助下自行办妥股权转让法律程序必备的文件资料，并上报有关部门进行股权变更登记申请手续。股权变更所发生的费用（除法律、法规规定应由转让方承担的税金外）由受让方承担。如果由于受让方的原因导致无法获准变更登记的，由受让方承担违约责任，出让方与产交所不承担任何责任。</w:t>
      </w:r>
    </w:p>
    <w:p>
      <w:pPr>
        <w:spacing w:line="360" w:lineRule="auto"/>
        <w:ind w:firstLine="560"/>
        <w:rPr>
          <w:rFonts w:ascii="宋体" w:hAnsi="宋体"/>
          <w:bCs/>
          <w:sz w:val="28"/>
          <w:szCs w:val="28"/>
        </w:rPr>
      </w:pPr>
      <w:r>
        <w:rPr>
          <w:rFonts w:hint="eastAsia" w:ascii="宋体" w:hAnsi="宋体"/>
          <w:bCs/>
          <w:sz w:val="28"/>
          <w:szCs w:val="28"/>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line="360" w:lineRule="auto"/>
        <w:ind w:firstLine="560"/>
        <w:rPr>
          <w:rFonts w:ascii="宋体" w:hAnsi="宋体"/>
          <w:bCs/>
          <w:sz w:val="28"/>
          <w:szCs w:val="28"/>
        </w:rPr>
      </w:pPr>
      <w:r>
        <w:rPr>
          <w:rFonts w:hint="eastAsia" w:ascii="宋体" w:hAnsi="宋体"/>
          <w:bCs/>
          <w:sz w:val="28"/>
          <w:szCs w:val="28"/>
        </w:rPr>
        <w:t>十九、违约责任</w:t>
      </w:r>
    </w:p>
    <w:p>
      <w:pPr>
        <w:spacing w:line="360" w:lineRule="auto"/>
        <w:ind w:firstLine="560"/>
        <w:rPr>
          <w:rFonts w:ascii="宋体" w:hAnsi="宋体"/>
          <w:bCs/>
          <w:sz w:val="28"/>
          <w:szCs w:val="28"/>
          <w:u w:val="single"/>
        </w:rPr>
      </w:pPr>
      <w:r>
        <w:rPr>
          <w:rFonts w:hint="eastAsia" w:ascii="宋体" w:hAnsi="宋体"/>
          <w:bCs/>
          <w:sz w:val="28"/>
          <w:szCs w:val="28"/>
        </w:rPr>
        <w:t>竞买人撤回报价或成交后拒绝签署《成交确认书》、《股权转让合同》，视为其毁约，产交所有权追究其违约责任；受让方逾期支付股权转让成交款项的，视为受让方根本违约；出让方有权解除《股权转让合同》，产权交易所有权解除《成交确认书》，保证金不予退还。</w:t>
      </w:r>
    </w:p>
    <w:p>
      <w:pPr>
        <w:spacing w:line="360" w:lineRule="auto"/>
        <w:ind w:firstLine="560"/>
        <w:rPr>
          <w:rFonts w:ascii="宋体" w:hAnsi="宋体"/>
          <w:bCs/>
          <w:sz w:val="28"/>
          <w:szCs w:val="28"/>
        </w:rPr>
      </w:pPr>
      <w:r>
        <w:rPr>
          <w:rFonts w:hint="eastAsia" w:ascii="宋体" w:hAnsi="宋体"/>
          <w:bCs/>
          <w:sz w:val="28"/>
          <w:szCs w:val="28"/>
        </w:rPr>
        <w:t>受让方毁约或根本违约情况下，产交所经委托人同意对该项标的再行挂牌转让，原受让方承担再行挂牌转让所产生的费用，再行挂牌转让成交总价低于原挂牌转让成交总价的，原受让方应当补足差额。</w:t>
      </w:r>
    </w:p>
    <w:p>
      <w:pPr>
        <w:spacing w:line="360" w:lineRule="auto"/>
        <w:ind w:firstLine="560"/>
        <w:rPr>
          <w:rFonts w:ascii="宋体" w:hAnsi="宋体"/>
          <w:bCs/>
          <w:sz w:val="28"/>
          <w:szCs w:val="28"/>
        </w:rPr>
      </w:pPr>
      <w:r>
        <w:rPr>
          <w:rFonts w:hint="eastAsia" w:ascii="宋体" w:hAnsi="宋体"/>
          <w:bCs/>
          <w:sz w:val="28"/>
          <w:szCs w:val="28"/>
        </w:rPr>
        <w:t>二十、竞买人应仔细分析投资风险。请竞买人自行对标的企业的资产、负债、经营以及相关政策等情况进行全面考察和了解。一旦报名，即表明竞买人自愿承担投资风险和责任。</w:t>
      </w:r>
    </w:p>
    <w:p>
      <w:pPr>
        <w:spacing w:line="360" w:lineRule="auto"/>
        <w:ind w:firstLine="560"/>
        <w:rPr>
          <w:rFonts w:ascii="宋体" w:hAnsi="宋体"/>
          <w:bCs/>
          <w:sz w:val="28"/>
          <w:szCs w:val="28"/>
        </w:rPr>
      </w:pPr>
      <w:r>
        <w:rPr>
          <w:rFonts w:hint="eastAsia" w:ascii="宋体" w:hAnsi="宋体"/>
          <w:bCs/>
          <w:sz w:val="28"/>
          <w:szCs w:val="28"/>
        </w:rPr>
        <w:t>二十一、本次挂牌转让是经公告后才举行的，挂牌转让标的涉及的相关资产、负债以现状为准。故产交所对本次挂牌转让标的涉及的相关资产、负债的状态及品质不作担保，也不承担瑕疵的担保责任。</w:t>
      </w:r>
    </w:p>
    <w:p>
      <w:pPr>
        <w:spacing w:line="360" w:lineRule="auto"/>
        <w:ind w:firstLine="560"/>
        <w:rPr>
          <w:rFonts w:ascii="宋体" w:hAnsi="宋体"/>
          <w:bCs/>
          <w:sz w:val="28"/>
          <w:szCs w:val="28"/>
        </w:rPr>
      </w:pPr>
      <w:r>
        <w:rPr>
          <w:rFonts w:hint="eastAsia" w:ascii="宋体" w:hAnsi="宋体"/>
          <w:bCs/>
          <w:sz w:val="28"/>
          <w:szCs w:val="28"/>
        </w:rPr>
        <w:t>二十二、凡参加本次挂牌转让的竞买人，即表明已全部了解《浙江海晟药业有限公司股权转让文件》所涉及的相关资料，并愿意履行有关的义务；表明对转让标的已充分了解，并愿意承担投资风险和责任。</w:t>
      </w:r>
    </w:p>
    <w:p>
      <w:pPr>
        <w:spacing w:line="360" w:lineRule="auto"/>
        <w:ind w:firstLine="560"/>
        <w:rPr>
          <w:rFonts w:ascii="宋体" w:hAnsi="宋体"/>
          <w:bCs/>
          <w:sz w:val="28"/>
          <w:szCs w:val="28"/>
        </w:rPr>
      </w:pPr>
      <w:r>
        <w:rPr>
          <w:rFonts w:hint="eastAsia" w:ascii="宋体" w:hAnsi="宋体"/>
          <w:bCs/>
          <w:sz w:val="28"/>
          <w:szCs w:val="28"/>
        </w:rPr>
        <w:t>二十三、本次转让文件的最终解释权归委托方和台州市产权交易所。</w:t>
      </w:r>
    </w:p>
    <w:p>
      <w:pPr>
        <w:spacing w:line="360" w:lineRule="auto"/>
        <w:ind w:firstLine="560"/>
        <w:rPr>
          <w:rFonts w:ascii="宋体" w:hAnsi="宋体"/>
          <w:bCs/>
          <w:sz w:val="28"/>
          <w:szCs w:val="28"/>
        </w:rPr>
      </w:pPr>
    </w:p>
    <w:p>
      <w:pPr>
        <w:spacing w:line="360" w:lineRule="auto"/>
        <w:ind w:firstLine="560"/>
        <w:jc w:val="right"/>
        <w:rPr>
          <w:rFonts w:ascii="宋体" w:hAnsi="宋体"/>
          <w:bCs/>
          <w:sz w:val="28"/>
          <w:szCs w:val="28"/>
        </w:rPr>
      </w:pPr>
      <w:r>
        <w:rPr>
          <w:rFonts w:hint="eastAsia" w:ascii="宋体" w:hAnsi="宋体"/>
          <w:bCs/>
          <w:sz w:val="28"/>
          <w:szCs w:val="28"/>
        </w:rPr>
        <w:t>台州市产权交易所有限公司</w:t>
      </w:r>
    </w:p>
    <w:p>
      <w:pPr>
        <w:spacing w:line="360" w:lineRule="auto"/>
        <w:ind w:firstLine="560"/>
        <w:jc w:val="center"/>
      </w:pPr>
      <w:r>
        <w:rPr>
          <w:rFonts w:hint="eastAsia" w:ascii="宋体" w:hAnsi="宋体"/>
          <w:bCs/>
          <w:sz w:val="28"/>
          <w:szCs w:val="28"/>
        </w:rPr>
        <w:t xml:space="preserve">                                二○一八年 十一 月 </w:t>
      </w:r>
      <w:r>
        <w:rPr>
          <w:rFonts w:hint="eastAsia" w:ascii="宋体" w:hAnsi="宋体"/>
          <w:bCs/>
          <w:sz w:val="28"/>
          <w:szCs w:val="28"/>
          <w:lang w:val="en-US" w:eastAsia="zh-CN"/>
        </w:rPr>
        <w:t>二十九</w:t>
      </w:r>
      <w:r>
        <w:rPr>
          <w:rFonts w:hint="eastAsia" w:ascii="宋体" w:hAnsi="宋体"/>
          <w:bCs/>
          <w:sz w:val="28"/>
          <w:szCs w:val="28"/>
        </w:rPr>
        <w:t>日</w:t>
      </w:r>
      <w:r>
        <w:rPr>
          <w:rFonts w:hint="eastAsia" w:ascii="宋体" w:hAnsi="宋体"/>
          <w:bCs/>
          <w:sz w:val="28"/>
          <w:szCs w:val="28"/>
        </w:rPr>
        <w:br w:type="page"/>
      </w:r>
    </w:p>
    <w:p>
      <w:pPr>
        <w:pStyle w:val="2"/>
        <w:spacing w:before="100" w:beforeAutospacing="1" w:after="100" w:afterAutospacing="1" w:line="360" w:lineRule="auto"/>
        <w:jc w:val="center"/>
        <w:rPr>
          <w:sz w:val="36"/>
        </w:rPr>
      </w:pPr>
      <w:bookmarkStart w:id="14" w:name="_Toc528773692"/>
      <w:r>
        <w:rPr>
          <w:rFonts w:hint="eastAsia"/>
          <w:sz w:val="36"/>
        </w:rPr>
        <w:t>竞买申请书</w:t>
      </w:r>
      <w:bookmarkEnd w:id="14"/>
    </w:p>
    <w:p>
      <w:pPr>
        <w:spacing w:line="360" w:lineRule="auto"/>
        <w:ind w:firstLine="0" w:firstLineChars="0"/>
        <w:rPr>
          <w:rFonts w:ascii="宋体" w:hAnsi="宋体"/>
          <w:sz w:val="28"/>
          <w:szCs w:val="28"/>
        </w:rPr>
      </w:pPr>
      <w:r>
        <w:rPr>
          <w:rFonts w:hint="eastAsia" w:ascii="宋体" w:hAnsi="宋体"/>
          <w:sz w:val="28"/>
          <w:szCs w:val="28"/>
        </w:rPr>
        <w:t>台州市产权交易所有限公司：</w:t>
      </w:r>
    </w:p>
    <w:p>
      <w:pPr>
        <w:spacing w:line="530" w:lineRule="exact"/>
        <w:ind w:firstLine="560"/>
        <w:rPr>
          <w:rFonts w:ascii="宋体" w:hAnsi="宋体"/>
          <w:sz w:val="28"/>
          <w:szCs w:val="28"/>
        </w:rPr>
      </w:pPr>
      <w:r>
        <w:rPr>
          <w:rFonts w:hint="eastAsia" w:ascii="宋体" w:hAnsi="宋体"/>
          <w:sz w:val="28"/>
          <w:szCs w:val="28"/>
        </w:rPr>
        <w:t>经认真阅读《浙江海晟药业有限公司股权转让文件》，对该转让文件无异议，对转让标的已作详细了解并对己方所作承诺负法律责任。特申请参加浙江海晟药业有限公司股权竞买，遵守履行贵公司提出的浙江海晟药业有限公司股权转让文件及其他有关程序、事项，并保证遵守我方所承诺的要求与规定履行。</w:t>
      </w:r>
    </w:p>
    <w:p>
      <w:pPr>
        <w:spacing w:line="530" w:lineRule="exact"/>
        <w:ind w:firstLine="560"/>
        <w:rPr>
          <w:rFonts w:ascii="宋体" w:hAnsi="宋体"/>
          <w:sz w:val="28"/>
          <w:szCs w:val="28"/>
        </w:rPr>
      </w:pPr>
      <w:bookmarkStart w:id="15" w:name="待定07"/>
      <w:r>
        <w:rPr>
          <w:rFonts w:hint="eastAsia" w:ascii="宋体" w:hAnsi="宋体"/>
          <w:sz w:val="28"/>
          <w:szCs w:val="28"/>
        </w:rPr>
        <w:t xml:space="preserve"> 我方同意对竞买标的的意向报价按照</w:t>
      </w:r>
      <w:r>
        <w:rPr>
          <w:rFonts w:hint="eastAsia" w:ascii="宋体" w:hAnsi="宋体"/>
          <w:sz w:val="28"/>
          <w:szCs w:val="28"/>
          <w:u w:val="single"/>
        </w:rPr>
        <w:t>浙江海晟药业有限公司增资项目（台交所挂〔2018〕30号）确定的交易价格执行。</w:t>
      </w:r>
      <w:r>
        <w:rPr>
          <w:rFonts w:hint="eastAsia" w:ascii="宋体" w:hAnsi="宋体"/>
          <w:sz w:val="28"/>
          <w:szCs w:val="28"/>
        </w:rPr>
        <w:t xml:space="preserve">  </w:t>
      </w:r>
    </w:p>
    <w:bookmarkEnd w:id="15"/>
    <w:p>
      <w:pPr>
        <w:spacing w:line="480" w:lineRule="exact"/>
        <w:ind w:firstLine="560"/>
        <w:rPr>
          <w:rFonts w:ascii="宋体" w:hAnsi="宋体"/>
          <w:sz w:val="28"/>
          <w:szCs w:val="28"/>
        </w:rPr>
      </w:pPr>
    </w:p>
    <w:p>
      <w:pPr>
        <w:spacing w:line="580" w:lineRule="exact"/>
        <w:ind w:firstLine="560"/>
        <w:rPr>
          <w:rFonts w:ascii="宋体" w:hAnsi="宋体"/>
          <w:sz w:val="28"/>
          <w:szCs w:val="28"/>
        </w:rPr>
      </w:pPr>
      <w:r>
        <w:rPr>
          <w:rFonts w:hint="eastAsia" w:ascii="宋体" w:hAnsi="宋体"/>
          <w:sz w:val="28"/>
          <w:szCs w:val="28"/>
        </w:rPr>
        <w:t>竞买申请人（盖章）：</w:t>
      </w:r>
    </w:p>
    <w:p>
      <w:pPr>
        <w:spacing w:line="580" w:lineRule="exact"/>
        <w:ind w:firstLine="560"/>
        <w:rPr>
          <w:rFonts w:ascii="宋体" w:hAnsi="宋体"/>
          <w:sz w:val="28"/>
          <w:szCs w:val="28"/>
        </w:rPr>
      </w:pPr>
      <w:r>
        <w:rPr>
          <w:rFonts w:hint="eastAsia" w:ascii="宋体" w:hAnsi="宋体"/>
          <w:sz w:val="28"/>
          <w:szCs w:val="28"/>
        </w:rPr>
        <w:t>法定代表人：                     身份证号：</w:t>
      </w:r>
    </w:p>
    <w:p>
      <w:pPr>
        <w:spacing w:line="580" w:lineRule="exact"/>
        <w:ind w:firstLine="560"/>
        <w:rPr>
          <w:rFonts w:ascii="宋体" w:hAnsi="宋体"/>
          <w:sz w:val="28"/>
          <w:szCs w:val="28"/>
        </w:rPr>
      </w:pPr>
      <w:r>
        <w:rPr>
          <w:rFonts w:hint="eastAsia" w:ascii="宋体" w:hAnsi="宋体"/>
          <w:sz w:val="28"/>
          <w:szCs w:val="28"/>
        </w:rPr>
        <w:t>委托代理人：                     身份证号：</w:t>
      </w:r>
    </w:p>
    <w:p>
      <w:pPr>
        <w:spacing w:line="580" w:lineRule="exact"/>
        <w:ind w:firstLine="637" w:firstLineChars="177"/>
        <w:rPr>
          <w:rFonts w:ascii="宋体" w:hAnsi="宋体"/>
          <w:sz w:val="28"/>
          <w:szCs w:val="28"/>
        </w:rPr>
      </w:pPr>
      <w:r>
        <w:rPr>
          <w:rFonts w:hint="eastAsia" w:ascii="宋体" w:hAnsi="宋体"/>
          <w:spacing w:val="40"/>
          <w:sz w:val="28"/>
          <w:szCs w:val="28"/>
        </w:rPr>
        <w:t>联系地址：</w:t>
      </w:r>
      <w:r>
        <w:rPr>
          <w:rFonts w:hint="eastAsia" w:ascii="宋体" w:hAnsi="宋体"/>
          <w:sz w:val="28"/>
          <w:szCs w:val="28"/>
        </w:rPr>
        <w:t xml:space="preserve">                    邮政编码：</w:t>
      </w:r>
    </w:p>
    <w:p>
      <w:pPr>
        <w:spacing w:line="580" w:lineRule="exact"/>
        <w:ind w:firstLine="637" w:firstLineChars="177"/>
        <w:rPr>
          <w:rFonts w:ascii="宋体" w:hAnsi="宋体"/>
          <w:sz w:val="28"/>
          <w:szCs w:val="28"/>
        </w:rPr>
      </w:pPr>
      <w:r>
        <w:rPr>
          <w:rFonts w:hint="eastAsia" w:ascii="宋体" w:hAnsi="宋体"/>
          <w:spacing w:val="40"/>
          <w:sz w:val="28"/>
          <w:szCs w:val="28"/>
        </w:rPr>
        <w:t>联系电话：</w:t>
      </w:r>
      <w:r>
        <w:rPr>
          <w:rFonts w:hint="eastAsia" w:ascii="宋体" w:hAnsi="宋体"/>
          <w:sz w:val="28"/>
          <w:szCs w:val="28"/>
        </w:rPr>
        <w:t xml:space="preserve">                    传    真：</w:t>
      </w:r>
    </w:p>
    <w:p>
      <w:pPr>
        <w:spacing w:line="580" w:lineRule="exact"/>
        <w:ind w:firstLine="840" w:firstLineChars="300"/>
        <w:rPr>
          <w:rFonts w:ascii="宋体" w:hAnsi="宋体"/>
          <w:sz w:val="28"/>
          <w:szCs w:val="28"/>
        </w:rPr>
      </w:pPr>
      <w:r>
        <w:rPr>
          <w:rFonts w:hint="eastAsia" w:ascii="宋体" w:hAnsi="宋体"/>
          <w:sz w:val="28"/>
          <w:szCs w:val="28"/>
        </w:rPr>
        <w:t>E-mail：</w:t>
      </w:r>
      <w:r>
        <w:rPr>
          <w:rFonts w:ascii="宋体" w:hAnsi="宋体"/>
          <w:sz w:val="28"/>
          <w:szCs w:val="28"/>
        </w:rPr>
        <w:br w:type="textWrapping"/>
      </w:r>
      <w:r>
        <w:rPr>
          <w:rFonts w:hint="eastAsia" w:ascii="宋体" w:hAnsi="宋体"/>
          <w:sz w:val="28"/>
          <w:szCs w:val="28"/>
        </w:rPr>
        <w:t xml:space="preserve">                                     年   月   日</w:t>
      </w:r>
    </w:p>
    <w:p>
      <w:pPr>
        <w:spacing w:line="500" w:lineRule="exact"/>
        <w:ind w:firstLine="560"/>
        <w:rPr>
          <w:rFonts w:ascii="宋体" w:hAnsi="宋体"/>
          <w:sz w:val="28"/>
          <w:szCs w:val="28"/>
        </w:rPr>
      </w:pPr>
    </w:p>
    <w:p>
      <w:pPr>
        <w:spacing w:line="500" w:lineRule="exact"/>
        <w:ind w:firstLine="560"/>
        <w:rPr>
          <w:rFonts w:ascii="宋体" w:hAnsi="宋体"/>
          <w:sz w:val="28"/>
          <w:szCs w:val="28"/>
        </w:rPr>
      </w:pPr>
      <w:r>
        <w:rPr>
          <w:rFonts w:hint="eastAsia" w:ascii="宋体" w:hAnsi="宋体"/>
          <w:sz w:val="28"/>
          <w:szCs w:val="28"/>
        </w:rPr>
        <w:t xml:space="preserve">附件：                                    </w:t>
      </w:r>
    </w:p>
    <w:p>
      <w:pPr>
        <w:spacing w:line="500" w:lineRule="exact"/>
        <w:ind w:firstLine="560"/>
        <w:rPr>
          <w:rFonts w:ascii="宋体" w:hAnsi="宋体"/>
          <w:sz w:val="28"/>
          <w:szCs w:val="28"/>
        </w:rPr>
      </w:pPr>
      <w:r>
        <w:rPr>
          <w:rFonts w:hint="eastAsia" w:ascii="宋体" w:hAnsi="宋体"/>
          <w:sz w:val="28"/>
          <w:szCs w:val="28"/>
        </w:rPr>
        <w:t>□ 企业（公司）法人主体资格证明文件，包含企业法人营业执照副本的复印件，法定代表人及授权委托人的身份证明及授权委托书、公司章程、相关决议。</w:t>
      </w:r>
    </w:p>
    <w:p>
      <w:pPr>
        <w:spacing w:line="500" w:lineRule="exact"/>
        <w:ind w:firstLine="560"/>
        <w:rPr>
          <w:rFonts w:ascii="宋体" w:hAnsi="宋体"/>
          <w:sz w:val="28"/>
          <w:szCs w:val="28"/>
        </w:rPr>
      </w:pPr>
      <w:r>
        <w:rPr>
          <w:rFonts w:hint="eastAsia" w:ascii="宋体" w:hAnsi="宋体"/>
          <w:sz w:val="28"/>
          <w:szCs w:val="28"/>
        </w:rPr>
        <w:t>□符合受让条件的有关证明及资料；</w:t>
      </w:r>
    </w:p>
    <w:p>
      <w:pPr>
        <w:spacing w:line="500" w:lineRule="exact"/>
        <w:ind w:firstLine="560"/>
        <w:rPr>
          <w:rFonts w:ascii="宋体" w:hAnsi="宋体"/>
          <w:sz w:val="28"/>
          <w:szCs w:val="28"/>
        </w:rPr>
      </w:pPr>
      <w:r>
        <w:rPr>
          <w:rFonts w:hint="eastAsia" w:ascii="宋体" w:hAnsi="宋体"/>
          <w:sz w:val="28"/>
          <w:szCs w:val="28"/>
        </w:rPr>
        <w:t>□ 竞买保证金</w:t>
      </w:r>
      <w:r>
        <w:rPr>
          <w:rFonts w:hint="eastAsia" w:ascii="宋体" w:hAnsi="宋体"/>
          <w:sz w:val="28"/>
          <w:szCs w:val="28"/>
          <w:u w:val="single"/>
        </w:rPr>
        <w:t>6850万元</w:t>
      </w:r>
      <w:r>
        <w:rPr>
          <w:rFonts w:hint="eastAsia" w:ascii="宋体" w:hAnsi="宋体"/>
          <w:sz w:val="28"/>
          <w:szCs w:val="28"/>
        </w:rPr>
        <w:t>人民币（汇单）</w:t>
      </w:r>
    </w:p>
    <w:p>
      <w:pPr>
        <w:spacing w:line="500" w:lineRule="exact"/>
        <w:ind w:firstLine="560"/>
        <w:rPr>
          <w:rFonts w:ascii="宋体" w:hAnsi="宋体"/>
          <w:sz w:val="28"/>
          <w:szCs w:val="28"/>
        </w:rPr>
      </w:pPr>
      <w:r>
        <w:rPr>
          <w:rFonts w:hint="eastAsia" w:ascii="宋体" w:hAnsi="宋体"/>
          <w:sz w:val="28"/>
          <w:szCs w:val="28"/>
        </w:rPr>
        <w:t>备注：以上附件如非原件为复印件的应加盖公章或签名。</w:t>
      </w:r>
    </w:p>
    <w:p>
      <w:pPr>
        <w:pStyle w:val="2"/>
        <w:spacing w:before="100" w:beforeAutospacing="1" w:after="100" w:afterAutospacing="1" w:line="360" w:lineRule="auto"/>
        <w:jc w:val="center"/>
        <w:rPr>
          <w:sz w:val="36"/>
        </w:rPr>
      </w:pPr>
      <w:r>
        <w:rPr>
          <w:rFonts w:hint="eastAsia" w:ascii="宋体" w:hAnsi="宋体"/>
          <w:b w:val="0"/>
          <w:sz w:val="36"/>
          <w:szCs w:val="36"/>
        </w:rPr>
        <w:br w:type="page"/>
      </w:r>
      <w:bookmarkStart w:id="16" w:name="_Toc528773693"/>
      <w:r>
        <w:rPr>
          <w:rFonts w:hint="eastAsia"/>
          <w:sz w:val="36"/>
        </w:rPr>
        <w:t>竞买人承诺函</w:t>
      </w:r>
      <w:bookmarkEnd w:id="16"/>
    </w:p>
    <w:p>
      <w:pPr>
        <w:ind w:firstLine="0" w:firstLineChars="0"/>
        <w:rPr>
          <w:rFonts w:ascii="宋体" w:hAnsi="宋体"/>
          <w:b/>
          <w:sz w:val="28"/>
          <w:szCs w:val="28"/>
        </w:rPr>
      </w:pPr>
      <w:r>
        <w:rPr>
          <w:rFonts w:hint="eastAsia" w:ascii="宋体" w:hAnsi="宋体"/>
          <w:sz w:val="28"/>
          <w:szCs w:val="28"/>
        </w:rPr>
        <w:t>台州市产权交易所有限公司：</w:t>
      </w:r>
    </w:p>
    <w:p>
      <w:pPr>
        <w:spacing w:line="360" w:lineRule="auto"/>
        <w:ind w:firstLine="560"/>
        <w:rPr>
          <w:rFonts w:ascii="宋体" w:hAnsi="宋体"/>
          <w:sz w:val="28"/>
          <w:szCs w:val="28"/>
        </w:rPr>
      </w:pPr>
      <w:r>
        <w:rPr>
          <w:rFonts w:hint="eastAsia" w:ascii="宋体" w:hAnsi="宋体"/>
          <w:sz w:val="28"/>
          <w:szCs w:val="28"/>
        </w:rPr>
        <w:t>经认真阅读贵公司所提供的“浙江海晟药业有限公司股权转让文件”以及贵公司提出的转让须知与网络竞价规则等，我方愿意接受转让方提出的竞价条件及“浙江海晟药业有限公司股权转让文件”中涉及的相关事项，现我方将有关事项承诺如下：</w:t>
      </w:r>
    </w:p>
    <w:p>
      <w:pPr>
        <w:ind w:firstLine="560"/>
        <w:rPr>
          <w:rFonts w:ascii="宋体" w:hAnsi="宋体"/>
          <w:sz w:val="28"/>
          <w:szCs w:val="28"/>
        </w:rPr>
      </w:pPr>
      <w:r>
        <w:rPr>
          <w:rFonts w:hint="eastAsia" w:ascii="宋体" w:hAnsi="宋体"/>
          <w:sz w:val="28"/>
          <w:szCs w:val="28"/>
        </w:rPr>
        <w:t xml:space="preserve"> 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sz w:val="28"/>
          <w:szCs w:val="28"/>
        </w:rPr>
      </w:pPr>
      <w:r>
        <w:rPr>
          <w:rFonts w:hint="eastAsia" w:ascii="宋体" w:hAnsi="宋体"/>
          <w:sz w:val="28"/>
          <w:szCs w:val="28"/>
        </w:rPr>
        <w:t>二、我方已详实了解本次转让标的有关情况，并保证成交后所支付的资金来源合法。</w:t>
      </w:r>
    </w:p>
    <w:p>
      <w:pPr>
        <w:ind w:firstLine="560"/>
        <w:rPr>
          <w:rFonts w:ascii="宋体" w:hAnsi="宋体"/>
          <w:sz w:val="28"/>
          <w:szCs w:val="28"/>
        </w:rPr>
      </w:pPr>
      <w:r>
        <w:rPr>
          <w:rFonts w:hint="eastAsia" w:ascii="宋体" w:hAnsi="宋体"/>
          <w:sz w:val="28"/>
          <w:szCs w:val="28"/>
        </w:rPr>
        <w:t>三、我方已阅读并了解《成交确认书》、《股权转让合同》及“浙江海晟药业有限公司股权转让文件”并不持异议，成交后按上述条款履行义务。</w:t>
      </w:r>
    </w:p>
    <w:p>
      <w:pPr>
        <w:ind w:firstLine="560"/>
        <w:rPr>
          <w:rFonts w:ascii="宋体" w:hAnsi="宋体"/>
          <w:sz w:val="28"/>
          <w:szCs w:val="28"/>
        </w:rPr>
      </w:pPr>
      <w:bookmarkStart w:id="17" w:name="待定08"/>
      <w:r>
        <w:rPr>
          <w:rFonts w:hint="eastAsia" w:ascii="宋体" w:hAnsi="宋体"/>
          <w:sz w:val="28"/>
          <w:szCs w:val="28"/>
        </w:rPr>
        <w:t>四、作为该项目的竞买人，我方承诺：同意按照</w:t>
      </w:r>
      <w:r>
        <w:rPr>
          <w:rFonts w:hint="eastAsia" w:ascii="宋体" w:hAnsi="宋体"/>
          <w:sz w:val="28"/>
          <w:szCs w:val="28"/>
          <w:u w:val="single"/>
        </w:rPr>
        <w:t>浙江海晟药业有限公司增资项目</w:t>
      </w:r>
      <w:r>
        <w:rPr>
          <w:rFonts w:hint="eastAsia" w:ascii="宋体" w:hAnsi="宋体"/>
          <w:sz w:val="28"/>
          <w:szCs w:val="28"/>
        </w:rPr>
        <w:t>（台交所挂〔2018〕30号）</w:t>
      </w:r>
      <w:r>
        <w:rPr>
          <w:rFonts w:hint="eastAsia" w:ascii="宋体" w:hAnsi="宋体"/>
          <w:sz w:val="28"/>
          <w:szCs w:val="28"/>
          <w:u w:val="single"/>
        </w:rPr>
        <w:t>确定的增资价格为本次股权转让的价格，在竞得后二个工作日内签订《成交确认书》、《股权转让合同》并履行相关义务。</w:t>
      </w:r>
    </w:p>
    <w:bookmarkEnd w:id="17"/>
    <w:p>
      <w:pPr>
        <w:ind w:firstLine="560"/>
        <w:rPr>
          <w:rFonts w:ascii="宋体" w:hAnsi="宋体"/>
          <w:sz w:val="28"/>
          <w:szCs w:val="28"/>
        </w:rPr>
      </w:pPr>
      <w:r>
        <w:rPr>
          <w:rFonts w:hint="eastAsia" w:ascii="宋体" w:hAnsi="宋体"/>
          <w:sz w:val="28"/>
          <w:szCs w:val="28"/>
        </w:rPr>
        <w:t>五、若我方竞得，所缴纳的竞买保证金全部转为履约保证金，并根据合同的约定可抵作成交价款的支付，交易佣金按标的成交额0.2%计算支付。</w:t>
      </w:r>
    </w:p>
    <w:p>
      <w:pPr>
        <w:ind w:firstLine="560"/>
        <w:rPr>
          <w:rFonts w:ascii="宋体" w:hAnsi="宋体"/>
          <w:sz w:val="28"/>
          <w:szCs w:val="28"/>
        </w:rPr>
      </w:pPr>
      <w:r>
        <w:rPr>
          <w:rFonts w:hint="eastAsia" w:ascii="宋体" w:hAnsi="宋体"/>
          <w:sz w:val="28"/>
          <w:szCs w:val="28"/>
        </w:rPr>
        <w:t>六、如因正当理由在增资项目竞价会开始前撤回转让标的的，我方愿意接受该事实，并配合贵公司办理退还保证金等手续，不再向贵公司追索保证金利息及其他任何费用与责任。</w:t>
      </w:r>
    </w:p>
    <w:p>
      <w:pPr>
        <w:ind w:firstLine="560"/>
        <w:rPr>
          <w:rFonts w:ascii="宋体" w:hAnsi="宋体"/>
          <w:sz w:val="28"/>
          <w:szCs w:val="28"/>
        </w:rPr>
      </w:pPr>
      <w:r>
        <w:rPr>
          <w:rFonts w:hint="eastAsia" w:ascii="宋体" w:hAnsi="宋体"/>
          <w:sz w:val="28"/>
          <w:szCs w:val="28"/>
        </w:rPr>
        <w:t>七、如在竞价该项目的过程中发生争议需提起诉讼或仲裁，除贵公司存在重大过错、故意行为之外，我方承诺不将贵公司列为相关诉讼、仲裁的被告，被申请人和第三人。</w:t>
      </w:r>
    </w:p>
    <w:p>
      <w:pPr>
        <w:ind w:right="1200" w:firstLine="560"/>
        <w:jc w:val="right"/>
        <w:rPr>
          <w:rFonts w:ascii="宋体" w:hAnsi="宋体"/>
          <w:sz w:val="28"/>
          <w:szCs w:val="28"/>
        </w:rPr>
      </w:pPr>
    </w:p>
    <w:p>
      <w:pPr>
        <w:ind w:right="1200" w:firstLine="560"/>
        <w:jc w:val="right"/>
        <w:rPr>
          <w:rFonts w:ascii="宋体" w:hAnsi="宋体"/>
          <w:sz w:val="28"/>
          <w:szCs w:val="28"/>
        </w:rPr>
      </w:pPr>
    </w:p>
    <w:p>
      <w:pPr>
        <w:ind w:right="1200" w:firstLine="560"/>
        <w:jc w:val="right"/>
        <w:rPr>
          <w:rFonts w:ascii="宋体" w:hAnsi="宋体"/>
          <w:sz w:val="28"/>
          <w:szCs w:val="28"/>
        </w:rPr>
      </w:pPr>
      <w:r>
        <w:rPr>
          <w:rFonts w:hint="eastAsia" w:ascii="宋体" w:hAnsi="宋体"/>
          <w:sz w:val="28"/>
          <w:szCs w:val="28"/>
        </w:rPr>
        <w:t>承诺人（签章）</w:t>
      </w:r>
    </w:p>
    <w:p>
      <w:pPr>
        <w:ind w:firstLine="560"/>
        <w:jc w:val="right"/>
        <w:rPr>
          <w:rFonts w:ascii="宋体" w:hAnsi="宋体"/>
          <w:sz w:val="28"/>
          <w:szCs w:val="28"/>
        </w:rPr>
      </w:pPr>
      <w:r>
        <w:rPr>
          <w:rFonts w:hint="eastAsia" w:ascii="宋体" w:hAnsi="宋体"/>
          <w:sz w:val="28"/>
          <w:szCs w:val="28"/>
        </w:rPr>
        <w:t>二○一八年    月    日</w:t>
      </w:r>
    </w:p>
    <w:p>
      <w:pPr>
        <w:pStyle w:val="2"/>
        <w:spacing w:before="100" w:beforeAutospacing="1" w:after="100" w:afterAutospacing="1" w:line="360" w:lineRule="auto"/>
        <w:jc w:val="center"/>
        <w:rPr>
          <w:sz w:val="36"/>
        </w:rPr>
      </w:pPr>
      <w:r>
        <w:rPr>
          <w:rFonts w:hint="eastAsia" w:ascii="宋体" w:hAnsi="宋体"/>
          <w:sz w:val="28"/>
          <w:szCs w:val="28"/>
        </w:rPr>
        <w:br w:type="page"/>
      </w:r>
      <w:bookmarkStart w:id="18" w:name="_Toc528773694"/>
      <w:r>
        <w:rPr>
          <w:rFonts w:hint="eastAsia"/>
          <w:sz w:val="36"/>
        </w:rPr>
        <w:t>成交确认书</w:t>
      </w:r>
      <w:bookmarkEnd w:id="18"/>
    </w:p>
    <w:p>
      <w:pPr>
        <w:spacing w:line="360" w:lineRule="auto"/>
        <w:ind w:firstLine="0" w:firstLineChars="0"/>
        <w:rPr>
          <w:rFonts w:ascii="宋体" w:hAnsi="宋体"/>
          <w:b/>
          <w:sz w:val="28"/>
          <w:szCs w:val="28"/>
        </w:rPr>
      </w:pPr>
      <w:r>
        <w:rPr>
          <w:rFonts w:hint="eastAsia" w:ascii="宋体" w:hAnsi="宋体"/>
          <w:b/>
          <w:sz w:val="28"/>
          <w:szCs w:val="28"/>
        </w:rPr>
        <w:t>挂牌方：台州市产权交易所有限公司</w:t>
      </w:r>
    </w:p>
    <w:p>
      <w:pPr>
        <w:spacing w:line="360" w:lineRule="auto"/>
        <w:ind w:firstLine="0" w:firstLineChars="0"/>
        <w:rPr>
          <w:rFonts w:ascii="宋体" w:hAnsi="宋体"/>
          <w:sz w:val="28"/>
          <w:szCs w:val="28"/>
        </w:rPr>
      </w:pPr>
      <w:r>
        <w:rPr>
          <w:rFonts w:hint="eastAsia" w:ascii="宋体" w:hAnsi="宋体"/>
          <w:sz w:val="28"/>
          <w:szCs w:val="28"/>
        </w:rPr>
        <w:t xml:space="preserve">受让方：                         联系电话：  </w:t>
      </w:r>
    </w:p>
    <w:p>
      <w:pPr>
        <w:spacing w:line="360" w:lineRule="auto"/>
        <w:ind w:firstLine="560"/>
        <w:rPr>
          <w:rFonts w:ascii="宋体" w:hAnsi="宋体"/>
          <w:sz w:val="28"/>
          <w:szCs w:val="28"/>
        </w:rPr>
      </w:pPr>
      <w:r>
        <w:rPr>
          <w:rFonts w:hint="eastAsia" w:ascii="宋体" w:hAnsi="宋体"/>
          <w:sz w:val="28"/>
          <w:szCs w:val="28"/>
        </w:rPr>
        <w:t>受让方于2018年 12月27日（星期四）上午9:30时在举行的(台交所挂〔2018〕 29号) 浙江海晟药业有限公司股权出让竞价活动中，受让以下股权，根据国务院《企业国有资产交易监督管理办法》和相关法律法规规定，双方签订成交确认书如下：</w:t>
      </w:r>
    </w:p>
    <w:p>
      <w:pPr>
        <w:spacing w:line="360" w:lineRule="auto"/>
        <w:ind w:firstLine="560"/>
        <w:rPr>
          <w:rFonts w:ascii="宋体" w:hAnsi="宋体"/>
          <w:sz w:val="28"/>
          <w:szCs w:val="28"/>
        </w:rPr>
      </w:pPr>
      <w:r>
        <w:rPr>
          <w:rFonts w:hint="eastAsia" w:ascii="宋体" w:hAnsi="宋体"/>
          <w:sz w:val="28"/>
          <w:szCs w:val="28"/>
        </w:rPr>
        <w:t>一、买受人受让标的：海正药业（杭州）有限公司持有的浙江海晟药业有限公司股权</w:t>
      </w:r>
      <w:r>
        <w:rPr>
          <w:rFonts w:hint="eastAsia" w:ascii="宋体" w:hAnsi="宋体"/>
          <w:sz w:val="28"/>
          <w:szCs w:val="28"/>
          <w:lang w:val="ms-MY"/>
        </w:rPr>
        <w:t>。</w:t>
      </w:r>
    </w:p>
    <w:p>
      <w:pPr>
        <w:spacing w:line="360" w:lineRule="auto"/>
        <w:ind w:firstLine="560"/>
        <w:rPr>
          <w:rFonts w:ascii="宋体" w:hAnsi="宋体"/>
          <w:sz w:val="28"/>
          <w:szCs w:val="28"/>
        </w:rPr>
      </w:pPr>
      <w:r>
        <w:rPr>
          <w:rFonts w:hint="eastAsia" w:ascii="宋体" w:hAnsi="宋体"/>
          <w:sz w:val="28"/>
          <w:szCs w:val="28"/>
        </w:rPr>
        <w:t>二、成交金额及佣金：本转让标的成交总金额为</w:t>
      </w:r>
      <w:r>
        <w:rPr>
          <w:rFonts w:hint="eastAsia" w:ascii="宋体" w:hAnsi="宋体"/>
          <w:sz w:val="28"/>
          <w:szCs w:val="28"/>
          <w:u w:val="single"/>
        </w:rPr>
        <w:t>　　　</w:t>
      </w:r>
      <w:r>
        <w:rPr>
          <w:rFonts w:hint="eastAsia" w:ascii="宋体" w:hAnsi="宋体"/>
          <w:sz w:val="28"/>
          <w:szCs w:val="28"/>
        </w:rPr>
        <w:t>万元（大写：</w:t>
      </w:r>
    </w:p>
    <w:p>
      <w:pPr>
        <w:spacing w:line="360" w:lineRule="auto"/>
        <w:ind w:firstLine="0" w:firstLineChars="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元整），佣金为</w:t>
      </w:r>
      <w:r>
        <w:rPr>
          <w:rFonts w:hint="eastAsia" w:ascii="宋体" w:hAnsi="宋体"/>
          <w:sz w:val="28"/>
          <w:szCs w:val="28"/>
          <w:u w:val="single"/>
        </w:rPr>
        <w:t>　　　　　</w:t>
      </w:r>
      <w:r>
        <w:rPr>
          <w:rFonts w:hint="eastAsia" w:ascii="宋体" w:hAnsi="宋体"/>
          <w:sz w:val="28"/>
          <w:szCs w:val="28"/>
        </w:rPr>
        <w:t>万元（大写：　  元整）。</w:t>
      </w:r>
    </w:p>
    <w:p>
      <w:pPr>
        <w:spacing w:line="360" w:lineRule="auto"/>
        <w:ind w:firstLine="560"/>
        <w:rPr>
          <w:rFonts w:ascii="宋体" w:hAnsi="宋体"/>
          <w:sz w:val="28"/>
          <w:szCs w:val="28"/>
        </w:rPr>
      </w:pPr>
      <w:r>
        <w:rPr>
          <w:rFonts w:hint="eastAsia" w:ascii="宋体" w:hAnsi="宋体"/>
          <w:sz w:val="28"/>
          <w:szCs w:val="28"/>
        </w:rPr>
        <w:t>三、付款方式：股权转让成交后，买受人在签署本《成交确认书》当天签署《股权转让合同》。首期价款（含交易保证金）为产权标的成交金额的60%，受让方应在《股权转让合同》签订之日起二个工作日内支付至产权交易机构指定账户，其余价款应在产权交易合同生效后1年内付清，且提供银行保函或符合转让方要求的合法有效担保，并按同期银行贷款利率支付首次付款日至分期付款日期间的利息，受让方先期缴纳的竞买保证金转为履约保证金并可抵作部分转让价款。上述款项缴入台州市产权交易所有限公司（</w:t>
      </w:r>
      <w:r>
        <w:rPr>
          <w:rFonts w:hint="eastAsia" w:ascii="宋体" w:hAnsi="宋体"/>
          <w:b/>
          <w:bCs/>
          <w:sz w:val="28"/>
          <w:szCs w:val="28"/>
        </w:rPr>
        <w:t>开户行：</w:t>
      </w:r>
      <w:r>
        <w:rPr>
          <w:rFonts w:ascii="宋体" w:hAnsi="宋体"/>
          <w:b/>
          <w:bCs/>
          <w:sz w:val="28"/>
          <w:szCs w:val="28"/>
        </w:rPr>
        <w:t>浙江民泰商业银行台州椒江支行</w:t>
      </w:r>
      <w:r>
        <w:rPr>
          <w:rFonts w:hint="eastAsia" w:ascii="宋体" w:hAnsi="宋体"/>
          <w:b/>
          <w:bCs/>
          <w:sz w:val="28"/>
          <w:szCs w:val="28"/>
        </w:rPr>
        <w:t>，帐号：</w:t>
      </w:r>
      <w:r>
        <w:rPr>
          <w:rFonts w:ascii="宋体" w:hAnsi="宋体"/>
          <w:b/>
          <w:bCs/>
          <w:sz w:val="28"/>
          <w:szCs w:val="28"/>
        </w:rPr>
        <w:t>583016260</w:t>
      </w:r>
      <w:r>
        <w:rPr>
          <w:rFonts w:hint="eastAsia" w:ascii="宋体" w:hAnsi="宋体"/>
          <w:b/>
          <w:bCs/>
          <w:sz w:val="28"/>
          <w:szCs w:val="28"/>
        </w:rPr>
        <w:t>8</w:t>
      </w:r>
      <w:r>
        <w:rPr>
          <w:rFonts w:ascii="宋体" w:hAnsi="宋体"/>
          <w:b/>
          <w:bCs/>
          <w:sz w:val="28"/>
          <w:szCs w:val="28"/>
        </w:rPr>
        <w:t>000</w:t>
      </w:r>
      <w:r>
        <w:rPr>
          <w:rFonts w:hint="eastAsia" w:ascii="宋体" w:hAnsi="宋体"/>
          <w:b/>
          <w:bCs/>
          <w:sz w:val="28"/>
          <w:szCs w:val="28"/>
        </w:rPr>
        <w:t>28</w:t>
      </w:r>
      <w:r>
        <w:rPr>
          <w:rFonts w:hint="eastAsia" w:ascii="宋体" w:hAnsi="宋体"/>
          <w:sz w:val="28"/>
          <w:szCs w:val="28"/>
        </w:rPr>
        <w:t>）。</w:t>
      </w:r>
    </w:p>
    <w:p>
      <w:pPr>
        <w:spacing w:line="360" w:lineRule="auto"/>
        <w:ind w:firstLine="560"/>
        <w:rPr>
          <w:rFonts w:ascii="宋体" w:hAnsi="宋体"/>
          <w:bCs/>
          <w:sz w:val="28"/>
          <w:szCs w:val="28"/>
        </w:rPr>
      </w:pPr>
      <w:r>
        <w:rPr>
          <w:rFonts w:hint="eastAsia" w:ascii="宋体" w:hAnsi="宋体"/>
          <w:sz w:val="28"/>
          <w:szCs w:val="28"/>
        </w:rPr>
        <w:t>四、买受人成交后拒绝签署《成交确认书》、《股权转让合同》</w:t>
      </w:r>
      <w:r>
        <w:rPr>
          <w:rFonts w:hint="eastAsia" w:ascii="宋体" w:hAnsi="宋体"/>
          <w:bCs/>
          <w:sz w:val="28"/>
          <w:szCs w:val="28"/>
        </w:rPr>
        <w:t>，视为其毁约，产交所有权追究其违约责任；受让方逾期支付股权转让成交款项的，视为受让方根本违约；出让方有权解除《股权转让合同》，产权交易所有权解除《成交确认书》，保证金不予退还。</w:t>
      </w:r>
    </w:p>
    <w:p>
      <w:pPr>
        <w:spacing w:line="360" w:lineRule="auto"/>
        <w:ind w:firstLine="560"/>
        <w:rPr>
          <w:rFonts w:ascii="宋体" w:hAnsi="宋体"/>
          <w:bCs/>
          <w:sz w:val="28"/>
          <w:szCs w:val="28"/>
        </w:rPr>
      </w:pPr>
      <w:r>
        <w:rPr>
          <w:rFonts w:hint="eastAsia" w:ascii="宋体" w:hAnsi="宋体"/>
          <w:bCs/>
          <w:sz w:val="28"/>
          <w:szCs w:val="28"/>
        </w:rPr>
        <w:t>买受人毁约或根本违约情况下，产交所经委托人同意对该项标的再行挂牌转让，原买受人承担再行挂牌转让所产生的费用，再行挂牌转让成交总价低于原挂牌转让成交总价的，原买受人应当补足差额。</w:t>
      </w:r>
    </w:p>
    <w:p>
      <w:pPr>
        <w:spacing w:line="360" w:lineRule="auto"/>
        <w:ind w:firstLine="560"/>
        <w:rPr>
          <w:rFonts w:ascii="宋体" w:hAnsi="宋体"/>
          <w:sz w:val="28"/>
          <w:szCs w:val="28"/>
        </w:rPr>
      </w:pPr>
      <w:r>
        <w:rPr>
          <w:rFonts w:hint="eastAsia" w:ascii="宋体" w:hAnsi="宋体"/>
          <w:sz w:val="28"/>
          <w:szCs w:val="28"/>
        </w:rPr>
        <w:t>五、买受人凭本《成交确认书》当天与转让方签订《股权转让合同》，并按股权转让合同进行履约。</w:t>
      </w:r>
    </w:p>
    <w:p>
      <w:pPr>
        <w:spacing w:line="360" w:lineRule="auto"/>
        <w:ind w:firstLine="560"/>
        <w:rPr>
          <w:rFonts w:ascii="宋体" w:hAnsi="宋体"/>
          <w:sz w:val="28"/>
          <w:szCs w:val="28"/>
        </w:rPr>
      </w:pPr>
      <w:r>
        <w:rPr>
          <w:rFonts w:hint="eastAsia" w:ascii="宋体" w:hAnsi="宋体"/>
          <w:sz w:val="28"/>
          <w:szCs w:val="28"/>
        </w:rPr>
        <w:t>六、确定本次挂牌转让活动各方当事人权利义务的依据：</w:t>
      </w:r>
    </w:p>
    <w:p>
      <w:pPr>
        <w:spacing w:line="360" w:lineRule="auto"/>
        <w:ind w:firstLine="560"/>
        <w:rPr>
          <w:rFonts w:ascii="宋体" w:hAnsi="宋体"/>
          <w:sz w:val="28"/>
          <w:szCs w:val="28"/>
        </w:rPr>
      </w:pPr>
      <w:r>
        <w:rPr>
          <w:rFonts w:hint="eastAsia" w:ascii="宋体" w:hAnsi="宋体"/>
          <w:sz w:val="28"/>
          <w:szCs w:val="28"/>
        </w:rPr>
        <w:t>1、《产权转让委托协议书》；</w:t>
      </w:r>
    </w:p>
    <w:p>
      <w:pPr>
        <w:spacing w:line="360" w:lineRule="auto"/>
        <w:ind w:firstLine="560"/>
        <w:rPr>
          <w:rFonts w:ascii="宋体" w:hAnsi="宋体"/>
          <w:sz w:val="28"/>
          <w:szCs w:val="28"/>
        </w:rPr>
      </w:pPr>
      <w:r>
        <w:rPr>
          <w:rFonts w:hint="eastAsia" w:ascii="宋体" w:hAnsi="宋体"/>
          <w:sz w:val="28"/>
          <w:szCs w:val="28"/>
        </w:rPr>
        <w:t>2、《股权转让合同》；</w:t>
      </w:r>
    </w:p>
    <w:p>
      <w:pPr>
        <w:spacing w:line="360" w:lineRule="auto"/>
        <w:ind w:firstLine="560"/>
        <w:rPr>
          <w:rFonts w:ascii="宋体" w:hAnsi="宋体"/>
          <w:sz w:val="28"/>
          <w:szCs w:val="28"/>
        </w:rPr>
      </w:pPr>
      <w:r>
        <w:rPr>
          <w:rFonts w:hint="eastAsia" w:ascii="宋体" w:hAnsi="宋体"/>
          <w:sz w:val="28"/>
          <w:szCs w:val="28"/>
        </w:rPr>
        <w:t>3、《转让须知》；</w:t>
      </w:r>
    </w:p>
    <w:p>
      <w:pPr>
        <w:spacing w:line="360" w:lineRule="auto"/>
        <w:ind w:firstLine="560"/>
        <w:rPr>
          <w:rFonts w:ascii="宋体" w:hAnsi="宋体"/>
          <w:sz w:val="28"/>
          <w:szCs w:val="28"/>
        </w:rPr>
      </w:pPr>
      <w:r>
        <w:rPr>
          <w:rFonts w:hint="eastAsia" w:ascii="宋体" w:hAnsi="宋体"/>
          <w:sz w:val="28"/>
          <w:szCs w:val="28"/>
        </w:rPr>
        <w:t>4、买受人办理的竞买申请手续及提供的有关文件和资料；</w:t>
      </w:r>
    </w:p>
    <w:p>
      <w:pPr>
        <w:spacing w:line="360" w:lineRule="auto"/>
        <w:ind w:firstLine="560"/>
        <w:rPr>
          <w:rFonts w:ascii="宋体" w:hAnsi="宋体"/>
          <w:sz w:val="28"/>
          <w:szCs w:val="28"/>
        </w:rPr>
      </w:pPr>
      <w:r>
        <w:rPr>
          <w:rFonts w:hint="eastAsia" w:ascii="宋体" w:hAnsi="宋体"/>
          <w:sz w:val="28"/>
          <w:szCs w:val="28"/>
        </w:rPr>
        <w:t>5、其他本次挂牌转让文件中的有关内容。</w:t>
      </w:r>
    </w:p>
    <w:p>
      <w:pPr>
        <w:spacing w:line="360" w:lineRule="auto"/>
        <w:ind w:firstLine="420" w:firstLineChars="150"/>
        <w:rPr>
          <w:rFonts w:ascii="宋体" w:hAnsi="宋体"/>
          <w:sz w:val="28"/>
          <w:szCs w:val="28"/>
        </w:rPr>
      </w:pPr>
      <w:r>
        <w:rPr>
          <w:rFonts w:hint="eastAsia" w:ascii="宋体" w:hAnsi="宋体"/>
          <w:sz w:val="28"/>
          <w:szCs w:val="28"/>
        </w:rPr>
        <w:t>七、本确认书在履行中若发生争议，双方应协商解决，协商不成的，可向人民法院以起诉方式解决。</w:t>
      </w:r>
    </w:p>
    <w:p>
      <w:pPr>
        <w:spacing w:line="360" w:lineRule="auto"/>
        <w:ind w:firstLine="560"/>
        <w:rPr>
          <w:rFonts w:ascii="宋体" w:hAnsi="宋体"/>
          <w:sz w:val="28"/>
          <w:szCs w:val="28"/>
        </w:rPr>
      </w:pPr>
      <w:r>
        <w:rPr>
          <w:rFonts w:hint="eastAsia" w:ascii="宋体" w:hAnsi="宋体"/>
          <w:sz w:val="28"/>
          <w:szCs w:val="28"/>
        </w:rPr>
        <w:t>八、本《成交确认书》一式陆份。主持人、买受人各执二份，委托人、监管部门各执一份。</w:t>
      </w:r>
    </w:p>
    <w:p>
      <w:pPr>
        <w:spacing w:line="360" w:lineRule="auto"/>
        <w:ind w:firstLine="560"/>
        <w:rPr>
          <w:rFonts w:ascii="宋体" w:hAnsi="宋体"/>
          <w:sz w:val="28"/>
          <w:szCs w:val="28"/>
        </w:rPr>
      </w:pPr>
    </w:p>
    <w:p>
      <w:pPr>
        <w:spacing w:line="360" w:lineRule="auto"/>
        <w:ind w:firstLine="560"/>
        <w:rPr>
          <w:rFonts w:ascii="宋体" w:hAnsi="宋体"/>
          <w:sz w:val="28"/>
          <w:szCs w:val="28"/>
        </w:rPr>
      </w:pPr>
      <w:r>
        <w:rPr>
          <w:rFonts w:hint="eastAsia" w:ascii="宋体" w:hAnsi="宋体"/>
          <w:sz w:val="28"/>
          <w:szCs w:val="28"/>
        </w:rPr>
        <w:t>挂牌方（盖章）：     　　　　　　 买受人（盖章）：</w:t>
      </w:r>
    </w:p>
    <w:p>
      <w:pPr>
        <w:tabs>
          <w:tab w:val="left" w:pos="5210"/>
        </w:tabs>
        <w:spacing w:line="360" w:lineRule="auto"/>
        <w:ind w:firstLine="560"/>
        <w:rPr>
          <w:rFonts w:ascii="宋体" w:hAnsi="宋体"/>
          <w:sz w:val="28"/>
          <w:szCs w:val="28"/>
        </w:rPr>
      </w:pPr>
      <w:r>
        <w:rPr>
          <w:rFonts w:hint="eastAsia" w:ascii="宋体" w:hAnsi="宋体"/>
          <w:sz w:val="28"/>
          <w:szCs w:val="28"/>
        </w:rPr>
        <w:t>法定代表人：</w:t>
      </w:r>
      <w:r>
        <w:rPr>
          <w:rFonts w:ascii="宋体" w:hAnsi="宋体"/>
          <w:sz w:val="28"/>
          <w:szCs w:val="28"/>
        </w:rPr>
        <w:tab/>
      </w:r>
      <w:r>
        <w:rPr>
          <w:rFonts w:hint="eastAsia" w:ascii="宋体" w:hAnsi="宋体"/>
          <w:sz w:val="28"/>
          <w:szCs w:val="28"/>
        </w:rPr>
        <w:t>法定代表人：</w:t>
      </w:r>
    </w:p>
    <w:p>
      <w:pPr>
        <w:tabs>
          <w:tab w:val="left" w:pos="5210"/>
        </w:tabs>
        <w:spacing w:line="360" w:lineRule="auto"/>
        <w:ind w:firstLine="560"/>
        <w:rPr>
          <w:rFonts w:ascii="宋体" w:hAnsi="宋体"/>
          <w:sz w:val="28"/>
          <w:szCs w:val="28"/>
        </w:rPr>
      </w:pPr>
      <w:r>
        <w:rPr>
          <w:rFonts w:hint="eastAsia" w:ascii="宋体" w:hAnsi="宋体"/>
          <w:sz w:val="28"/>
          <w:szCs w:val="28"/>
        </w:rPr>
        <w:t>委托代理人：</w:t>
      </w:r>
      <w:r>
        <w:rPr>
          <w:rFonts w:ascii="宋体" w:hAnsi="宋体"/>
          <w:sz w:val="28"/>
          <w:szCs w:val="28"/>
        </w:rPr>
        <w:tab/>
      </w:r>
      <w:r>
        <w:rPr>
          <w:rFonts w:hint="eastAsia" w:ascii="宋体" w:hAnsi="宋体"/>
          <w:sz w:val="28"/>
          <w:szCs w:val="28"/>
        </w:rPr>
        <w:t>委托代理人：</w:t>
      </w:r>
    </w:p>
    <w:p>
      <w:pPr>
        <w:tabs>
          <w:tab w:val="left" w:pos="5210"/>
        </w:tabs>
        <w:spacing w:line="360" w:lineRule="auto"/>
        <w:ind w:firstLine="560"/>
        <w:rPr>
          <w:rFonts w:ascii="宋体" w:hAnsi="宋体"/>
          <w:sz w:val="28"/>
          <w:szCs w:val="28"/>
        </w:rPr>
      </w:pPr>
      <w:r>
        <w:rPr>
          <w:rFonts w:hint="eastAsia" w:ascii="宋体" w:hAnsi="宋体"/>
          <w:sz w:val="28"/>
          <w:szCs w:val="28"/>
        </w:rPr>
        <w:t>签订日期：    年   月  日        签订日期：    年   月  日</w:t>
      </w:r>
    </w:p>
    <w:p>
      <w:pPr>
        <w:spacing w:line="360" w:lineRule="auto"/>
        <w:ind w:right="-395" w:rightChars="-188" w:firstLine="0" w:firstLineChars="0"/>
        <w:jc w:val="center"/>
        <w:rPr>
          <w:rFonts w:ascii="宋体" w:hAnsi="宋体"/>
          <w:b/>
          <w:sz w:val="48"/>
          <w:szCs w:val="48"/>
        </w:rPr>
      </w:pPr>
      <w:r>
        <w:rPr>
          <w:rFonts w:hint="eastAsia" w:ascii="宋体" w:hAnsi="宋体"/>
          <w:b/>
          <w:sz w:val="48"/>
          <w:szCs w:val="48"/>
        </w:rPr>
        <w:br w:type="page"/>
      </w:r>
    </w:p>
    <w:p>
      <w:pPr>
        <w:spacing w:line="360" w:lineRule="auto"/>
        <w:ind w:right="-395" w:rightChars="-188" w:firstLine="0" w:firstLineChars="0"/>
        <w:jc w:val="center"/>
        <w:rPr>
          <w:rFonts w:ascii="宋体" w:hAnsi="宋体"/>
          <w:b/>
          <w:sz w:val="48"/>
          <w:szCs w:val="48"/>
        </w:rPr>
      </w:pPr>
    </w:p>
    <w:p>
      <w:pPr>
        <w:spacing w:line="360" w:lineRule="auto"/>
        <w:ind w:right="-395" w:rightChars="-188" w:firstLine="0" w:firstLineChars="0"/>
        <w:jc w:val="center"/>
        <w:rPr>
          <w:rFonts w:ascii="宋体" w:hAnsi="宋体"/>
          <w:b/>
          <w:sz w:val="48"/>
          <w:szCs w:val="48"/>
        </w:rPr>
      </w:pPr>
    </w:p>
    <w:p>
      <w:pPr>
        <w:spacing w:line="360" w:lineRule="auto"/>
        <w:ind w:right="-395" w:rightChars="-188" w:firstLine="0" w:firstLineChars="0"/>
        <w:jc w:val="center"/>
        <w:rPr>
          <w:rFonts w:ascii="宋体" w:hAnsi="宋体"/>
          <w:b/>
          <w:sz w:val="48"/>
          <w:szCs w:val="48"/>
        </w:rPr>
      </w:pPr>
    </w:p>
    <w:p>
      <w:pPr>
        <w:spacing w:line="360" w:lineRule="auto"/>
        <w:ind w:right="-395" w:rightChars="-188" w:firstLine="0" w:firstLineChars="0"/>
        <w:jc w:val="center"/>
        <w:rPr>
          <w:rFonts w:ascii="宋体" w:hAnsi="宋体"/>
          <w:b/>
          <w:sz w:val="48"/>
          <w:szCs w:val="48"/>
        </w:rPr>
      </w:pPr>
    </w:p>
    <w:p>
      <w:pPr>
        <w:spacing w:line="360" w:lineRule="auto"/>
        <w:ind w:left="4" w:leftChars="-200" w:right="-615" w:rightChars="-293" w:hanging="424" w:hangingChars="88"/>
        <w:jc w:val="center"/>
        <w:rPr>
          <w:rFonts w:ascii="宋体" w:hAnsi="宋体"/>
          <w:b/>
          <w:sz w:val="48"/>
          <w:szCs w:val="48"/>
        </w:rPr>
      </w:pPr>
      <w:r>
        <w:rPr>
          <w:rFonts w:hint="eastAsia" w:ascii="宋体" w:hAnsi="宋体"/>
          <w:b/>
          <w:sz w:val="48"/>
          <w:szCs w:val="48"/>
        </w:rPr>
        <w:t>浙江海晟药业有限公司股权</w:t>
      </w:r>
    </w:p>
    <w:p>
      <w:pPr>
        <w:spacing w:line="360" w:lineRule="auto"/>
        <w:ind w:firstLine="723"/>
        <w:jc w:val="center"/>
        <w:rPr>
          <w:rFonts w:ascii="宋体" w:hAnsi="宋体"/>
          <w:b/>
          <w:sz w:val="36"/>
          <w:szCs w:val="36"/>
        </w:rPr>
      </w:pPr>
    </w:p>
    <w:p>
      <w:pPr>
        <w:pStyle w:val="2"/>
        <w:spacing w:before="100" w:beforeAutospacing="1" w:after="100" w:afterAutospacing="1" w:line="360" w:lineRule="auto"/>
        <w:jc w:val="center"/>
        <w:rPr>
          <w:sz w:val="36"/>
        </w:rPr>
      </w:pPr>
      <w:bookmarkStart w:id="19" w:name="_Toc528773695"/>
      <w:r>
        <w:rPr>
          <w:rFonts w:hint="eastAsia"/>
          <w:sz w:val="36"/>
        </w:rPr>
        <w:t>转让合同</w:t>
      </w:r>
      <w:bookmarkEnd w:id="19"/>
    </w:p>
    <w:p>
      <w:pPr>
        <w:spacing w:line="360" w:lineRule="auto"/>
        <w:ind w:firstLine="0" w:firstLineChars="0"/>
        <w:jc w:val="center"/>
        <w:rPr>
          <w:rFonts w:ascii="宋体" w:hAnsi="宋体"/>
          <w:b/>
          <w:sz w:val="70"/>
          <w:szCs w:val="70"/>
        </w:rPr>
      </w:pPr>
    </w:p>
    <w:p>
      <w:pPr>
        <w:spacing w:line="360" w:lineRule="auto"/>
        <w:ind w:firstLine="0" w:firstLineChars="0"/>
        <w:jc w:val="center"/>
        <w:rPr>
          <w:rFonts w:ascii="宋体" w:hAnsi="宋体"/>
          <w:b/>
          <w:sz w:val="56"/>
          <w:szCs w:val="56"/>
        </w:rPr>
      </w:pPr>
      <w:r>
        <w:rPr>
          <w:rFonts w:hint="eastAsia" w:ascii="宋体" w:hAnsi="宋体"/>
          <w:b/>
          <w:sz w:val="56"/>
          <w:szCs w:val="56"/>
        </w:rPr>
        <w:t>（样稿）</w:t>
      </w:r>
    </w:p>
    <w:p>
      <w:pPr>
        <w:spacing w:line="360" w:lineRule="auto"/>
        <w:ind w:firstLine="720"/>
        <w:rPr>
          <w:rFonts w:ascii="宋体" w:hAnsi="宋体"/>
          <w:sz w:val="36"/>
          <w:szCs w:val="36"/>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560"/>
        <w:rPr>
          <w:rFonts w:ascii="宋体" w:hAnsi="宋体"/>
          <w:sz w:val="28"/>
          <w:szCs w:val="28"/>
        </w:rPr>
      </w:pPr>
    </w:p>
    <w:p>
      <w:pPr>
        <w:ind w:firstLine="2800" w:firstLineChars="1000"/>
        <w:rPr>
          <w:rFonts w:ascii="宋体" w:hAnsi="宋体"/>
          <w:sz w:val="28"/>
          <w:szCs w:val="28"/>
        </w:rPr>
      </w:pPr>
      <w:r>
        <w:rPr>
          <w:rFonts w:hint="eastAsia" w:ascii="宋体" w:hAnsi="宋体"/>
          <w:sz w:val="28"/>
          <w:szCs w:val="28"/>
        </w:rPr>
        <w:t>台州市产权交易所有限公司   编制</w:t>
      </w:r>
    </w:p>
    <w:p>
      <w:pPr>
        <w:spacing w:line="360" w:lineRule="auto"/>
        <w:ind w:firstLine="562"/>
        <w:jc w:val="center"/>
        <w:outlineLvl w:val="0"/>
        <w:rPr>
          <w:rFonts w:ascii="宋体" w:hAnsi="宋体"/>
          <w:b/>
          <w:sz w:val="28"/>
          <w:szCs w:val="28"/>
        </w:rPr>
      </w:pPr>
    </w:p>
    <w:p>
      <w:pPr>
        <w:pStyle w:val="6"/>
        <w:jc w:val="center"/>
        <w:rPr>
          <w:b/>
          <w:sz w:val="28"/>
          <w:szCs w:val="28"/>
        </w:rPr>
      </w:pPr>
    </w:p>
    <w:p>
      <w:pPr>
        <w:pStyle w:val="6"/>
        <w:jc w:val="center"/>
        <w:rPr>
          <w:b/>
          <w:sz w:val="28"/>
          <w:szCs w:val="28"/>
        </w:rPr>
      </w:pPr>
      <w:r>
        <w:rPr>
          <w:rFonts w:hint="eastAsia"/>
          <w:b/>
          <w:sz w:val="28"/>
          <w:szCs w:val="28"/>
        </w:rPr>
        <w:t>本合同的当事人</w:t>
      </w:r>
    </w:p>
    <w:p>
      <w:pPr>
        <w:spacing w:line="560" w:lineRule="exact"/>
        <w:ind w:firstLine="560"/>
        <w:rPr>
          <w:rFonts w:ascii="宋体" w:hAnsi="宋体"/>
          <w:sz w:val="28"/>
          <w:szCs w:val="28"/>
        </w:rPr>
      </w:pPr>
    </w:p>
    <w:p>
      <w:pPr>
        <w:spacing w:line="432" w:lineRule="auto"/>
        <w:ind w:firstLine="560"/>
        <w:rPr>
          <w:rFonts w:ascii="宋体" w:hAnsi="宋体"/>
          <w:bCs/>
          <w:sz w:val="28"/>
          <w:szCs w:val="28"/>
        </w:rPr>
      </w:pPr>
      <w:r>
        <w:rPr>
          <w:rFonts w:hint="eastAsia" w:ascii="宋体" w:hAnsi="宋体"/>
          <w:sz w:val="28"/>
          <w:szCs w:val="28"/>
        </w:rPr>
        <w:t>出让人（以下简称甲方）：</w:t>
      </w:r>
      <w:r>
        <w:rPr>
          <w:rFonts w:hint="eastAsia" w:ascii="宋体" w:hAnsi="宋体"/>
          <w:bCs/>
          <w:sz w:val="28"/>
          <w:szCs w:val="28"/>
        </w:rPr>
        <w:t>海正药业（杭州）有限公司</w:t>
      </w:r>
    </w:p>
    <w:p>
      <w:pPr>
        <w:spacing w:line="432" w:lineRule="auto"/>
        <w:ind w:firstLine="560"/>
        <w:rPr>
          <w:rFonts w:ascii="宋体" w:hAnsi="宋体"/>
          <w:spacing w:val="-30"/>
          <w:sz w:val="28"/>
          <w:szCs w:val="28"/>
        </w:rPr>
      </w:pPr>
      <w:r>
        <w:rPr>
          <w:rFonts w:hint="eastAsia" w:ascii="宋体" w:hAnsi="宋体"/>
          <w:sz w:val="28"/>
          <w:szCs w:val="28"/>
        </w:rPr>
        <w:t>主体资格证号：</w:t>
      </w:r>
      <w:r>
        <w:rPr>
          <w:rFonts w:ascii="宋体" w:hAnsi="宋体"/>
          <w:sz w:val="28"/>
          <w:szCs w:val="28"/>
        </w:rPr>
        <w:t>913301837766242917</w:t>
      </w:r>
    </w:p>
    <w:p>
      <w:pPr>
        <w:spacing w:line="432" w:lineRule="auto"/>
        <w:ind w:firstLine="560"/>
        <w:rPr>
          <w:rFonts w:ascii="宋体" w:hAnsi="宋体"/>
          <w:sz w:val="28"/>
          <w:szCs w:val="28"/>
        </w:rPr>
      </w:pPr>
      <w:r>
        <w:rPr>
          <w:rFonts w:hint="eastAsia" w:ascii="宋体" w:hAnsi="宋体"/>
          <w:sz w:val="28"/>
          <w:szCs w:val="28"/>
        </w:rPr>
        <w:t>注册地址/住所：浙江省杭州市富阳区胥口镇下练村</w:t>
      </w:r>
    </w:p>
    <w:p>
      <w:pPr>
        <w:tabs>
          <w:tab w:val="left" w:pos="4640"/>
        </w:tabs>
        <w:spacing w:line="432" w:lineRule="auto"/>
        <w:ind w:left="6817" w:leftChars="266" w:hanging="6258" w:hangingChars="2235"/>
        <w:rPr>
          <w:rFonts w:ascii="宋体" w:hAnsi="宋体"/>
          <w:sz w:val="28"/>
          <w:szCs w:val="28"/>
        </w:rPr>
      </w:pPr>
      <w:r>
        <w:rPr>
          <w:rFonts w:hint="eastAsia" w:ascii="宋体" w:hAnsi="宋体"/>
          <w:sz w:val="28"/>
          <w:szCs w:val="28"/>
        </w:rPr>
        <w:t>经济性质：有限责任公司   注册资本：93742万元人民币</w:t>
      </w:r>
    </w:p>
    <w:p>
      <w:pPr>
        <w:spacing w:line="432" w:lineRule="auto"/>
        <w:ind w:firstLine="560"/>
        <w:rPr>
          <w:rFonts w:ascii="宋体" w:hAnsi="宋体"/>
          <w:sz w:val="28"/>
          <w:szCs w:val="28"/>
        </w:rPr>
      </w:pPr>
      <w:r>
        <w:rPr>
          <w:rFonts w:hint="eastAsia" w:ascii="宋体" w:hAnsi="宋体"/>
          <w:sz w:val="28"/>
          <w:szCs w:val="28"/>
        </w:rPr>
        <w:t xml:space="preserve">法定代表人：白  骅  　           　职务：总经理 </w:t>
      </w:r>
    </w:p>
    <w:p>
      <w:pPr>
        <w:tabs>
          <w:tab w:val="right" w:pos="9184"/>
        </w:tabs>
        <w:spacing w:line="432" w:lineRule="auto"/>
        <w:ind w:firstLine="560"/>
        <w:rPr>
          <w:rFonts w:ascii="宋体" w:hAnsi="宋体"/>
          <w:sz w:val="28"/>
          <w:szCs w:val="28"/>
        </w:rPr>
      </w:pPr>
      <w:r>
        <w:rPr>
          <w:rFonts w:hint="eastAsia" w:ascii="宋体" w:hAnsi="宋体"/>
          <w:sz w:val="28"/>
          <w:szCs w:val="28"/>
        </w:rPr>
        <w:t>开户银行：浙江省建行富阳新登支行   帐号：</w:t>
      </w:r>
      <w:r>
        <w:rPr>
          <w:rFonts w:ascii="宋体" w:hAnsi="宋体"/>
          <w:sz w:val="28"/>
          <w:szCs w:val="28"/>
        </w:rPr>
        <w:t>33001617281059588688</w:t>
      </w:r>
    </w:p>
    <w:p>
      <w:pPr>
        <w:spacing w:line="432" w:lineRule="auto"/>
        <w:ind w:firstLine="560"/>
        <w:rPr>
          <w:rFonts w:ascii="宋体" w:hAnsi="宋体"/>
          <w:sz w:val="28"/>
          <w:szCs w:val="28"/>
        </w:rPr>
      </w:pPr>
      <w:r>
        <w:rPr>
          <w:rFonts w:hint="eastAsia" w:ascii="宋体" w:hAnsi="宋体"/>
          <w:sz w:val="28"/>
          <w:szCs w:val="28"/>
        </w:rPr>
        <w:t>邮编：311404                      电话：</w:t>
      </w:r>
      <w:r>
        <w:rPr>
          <w:rFonts w:ascii="宋体" w:hAnsi="宋体"/>
          <w:sz w:val="28"/>
          <w:szCs w:val="28"/>
        </w:rPr>
        <w:t>0571-63280820</w:t>
      </w:r>
    </w:p>
    <w:p>
      <w:pPr>
        <w:spacing w:line="432" w:lineRule="auto"/>
        <w:ind w:firstLine="560"/>
        <w:rPr>
          <w:rFonts w:ascii="宋体" w:hAnsi="宋体"/>
          <w:sz w:val="28"/>
          <w:szCs w:val="28"/>
        </w:rPr>
      </w:pPr>
    </w:p>
    <w:p>
      <w:pPr>
        <w:spacing w:line="432" w:lineRule="auto"/>
        <w:ind w:firstLine="560"/>
        <w:rPr>
          <w:rFonts w:ascii="宋体" w:hAnsi="宋体"/>
          <w:sz w:val="28"/>
          <w:szCs w:val="28"/>
        </w:rPr>
      </w:pPr>
    </w:p>
    <w:p>
      <w:pPr>
        <w:spacing w:line="432" w:lineRule="auto"/>
        <w:ind w:firstLine="560"/>
        <w:rPr>
          <w:rFonts w:ascii="宋体" w:hAnsi="宋体"/>
          <w:sz w:val="28"/>
          <w:szCs w:val="28"/>
        </w:rPr>
      </w:pPr>
    </w:p>
    <w:p>
      <w:pPr>
        <w:spacing w:line="432" w:lineRule="auto"/>
        <w:ind w:firstLine="560"/>
        <w:rPr>
          <w:rFonts w:ascii="宋体" w:hAnsi="宋体"/>
          <w:sz w:val="28"/>
          <w:szCs w:val="28"/>
        </w:rPr>
      </w:pPr>
      <w:r>
        <w:rPr>
          <w:rFonts w:hint="eastAsia" w:ascii="宋体" w:hAnsi="宋体"/>
          <w:sz w:val="28"/>
          <w:szCs w:val="28"/>
        </w:rPr>
        <w:t>受让人（以下简称乙方）：</w:t>
      </w:r>
    </w:p>
    <w:p>
      <w:pPr>
        <w:spacing w:line="432" w:lineRule="auto"/>
        <w:ind w:firstLine="560"/>
        <w:rPr>
          <w:rFonts w:ascii="宋体" w:hAnsi="宋体"/>
          <w:sz w:val="28"/>
          <w:szCs w:val="28"/>
        </w:rPr>
      </w:pPr>
      <w:r>
        <w:rPr>
          <w:rFonts w:hint="eastAsia" w:ascii="宋体" w:hAnsi="宋体"/>
          <w:sz w:val="28"/>
          <w:szCs w:val="28"/>
        </w:rPr>
        <w:t>主体资格证号或身份证号：</w:t>
      </w:r>
    </w:p>
    <w:p>
      <w:pPr>
        <w:spacing w:line="432" w:lineRule="auto"/>
        <w:ind w:firstLine="560"/>
        <w:rPr>
          <w:rFonts w:ascii="宋体" w:hAnsi="宋体"/>
          <w:sz w:val="28"/>
          <w:szCs w:val="28"/>
        </w:rPr>
      </w:pPr>
      <w:r>
        <w:rPr>
          <w:rFonts w:hint="eastAsia" w:ascii="宋体" w:hAnsi="宋体"/>
          <w:sz w:val="28"/>
          <w:szCs w:val="28"/>
        </w:rPr>
        <w:t>注册地址/住所：</w:t>
      </w:r>
    </w:p>
    <w:p>
      <w:pPr>
        <w:tabs>
          <w:tab w:val="left" w:pos="4640"/>
        </w:tabs>
        <w:spacing w:line="432" w:lineRule="auto"/>
        <w:ind w:left="6817" w:leftChars="266" w:hanging="6258" w:hangingChars="2235"/>
        <w:rPr>
          <w:rFonts w:ascii="宋体" w:hAnsi="宋体"/>
          <w:sz w:val="28"/>
          <w:szCs w:val="28"/>
        </w:rPr>
      </w:pPr>
      <w:r>
        <w:rPr>
          <w:rFonts w:hint="eastAsia" w:ascii="宋体" w:hAnsi="宋体"/>
          <w:sz w:val="28"/>
          <w:szCs w:val="28"/>
        </w:rPr>
        <w:t>经济性质：             　　　　    注册资本：</w:t>
      </w:r>
    </w:p>
    <w:p>
      <w:pPr>
        <w:tabs>
          <w:tab w:val="left" w:pos="6705"/>
        </w:tabs>
        <w:spacing w:line="432" w:lineRule="auto"/>
        <w:ind w:left="6817" w:leftChars="266" w:hanging="6258" w:hangingChars="2235"/>
        <w:rPr>
          <w:rFonts w:ascii="宋体" w:hAnsi="宋体"/>
          <w:sz w:val="28"/>
          <w:szCs w:val="28"/>
        </w:rPr>
      </w:pPr>
      <w:r>
        <w:rPr>
          <w:rFonts w:hint="eastAsia" w:ascii="宋体" w:hAnsi="宋体"/>
          <w:sz w:val="28"/>
          <w:szCs w:val="28"/>
        </w:rPr>
        <w:t xml:space="preserve">法定代表人：            　　　      职务： </w:t>
      </w:r>
      <w:r>
        <w:rPr>
          <w:rFonts w:ascii="宋体" w:hAnsi="宋体"/>
          <w:sz w:val="28"/>
          <w:szCs w:val="28"/>
        </w:rPr>
        <w:tab/>
      </w:r>
    </w:p>
    <w:p>
      <w:pPr>
        <w:tabs>
          <w:tab w:val="left" w:pos="4320"/>
          <w:tab w:val="left" w:pos="4680"/>
          <w:tab w:val="left" w:pos="5220"/>
          <w:tab w:val="left" w:pos="6900"/>
          <w:tab w:val="left" w:pos="8190"/>
        </w:tabs>
        <w:spacing w:line="432" w:lineRule="auto"/>
        <w:ind w:firstLine="560"/>
        <w:rPr>
          <w:rFonts w:ascii="宋体" w:hAnsi="宋体"/>
          <w:sz w:val="28"/>
          <w:szCs w:val="28"/>
        </w:rPr>
      </w:pPr>
      <w:r>
        <w:rPr>
          <w:rFonts w:hint="eastAsia" w:ascii="宋体" w:hAnsi="宋体"/>
          <w:sz w:val="28"/>
          <w:szCs w:val="28"/>
        </w:rPr>
        <w:t>开户银行：　　　　　　　　　　　　  帐号：</w:t>
      </w:r>
      <w:r>
        <w:rPr>
          <w:rFonts w:ascii="宋体" w:hAnsi="宋体"/>
          <w:sz w:val="28"/>
          <w:szCs w:val="28"/>
        </w:rPr>
        <w:tab/>
      </w:r>
    </w:p>
    <w:p>
      <w:pPr>
        <w:tabs>
          <w:tab w:val="left" w:pos="5040"/>
        </w:tabs>
        <w:spacing w:line="432" w:lineRule="auto"/>
        <w:ind w:firstLine="560"/>
        <w:rPr>
          <w:rFonts w:ascii="宋体" w:hAnsi="宋体"/>
          <w:sz w:val="28"/>
          <w:szCs w:val="28"/>
        </w:rPr>
      </w:pPr>
      <w:r>
        <w:rPr>
          <w:rFonts w:hint="eastAsia" w:ascii="宋体" w:hAnsi="宋体"/>
          <w:sz w:val="28"/>
          <w:szCs w:val="28"/>
        </w:rPr>
        <w:t>邮编：                              电话：</w:t>
      </w:r>
    </w:p>
    <w:p>
      <w:pPr>
        <w:tabs>
          <w:tab w:val="left" w:pos="3780"/>
        </w:tabs>
        <w:spacing w:line="360" w:lineRule="auto"/>
        <w:ind w:firstLine="560"/>
        <w:jc w:val="left"/>
        <w:rPr>
          <w:rFonts w:ascii="宋体" w:hAnsi="宋体"/>
          <w:sz w:val="28"/>
          <w:szCs w:val="28"/>
        </w:rPr>
      </w:pPr>
      <w:r>
        <w:rPr>
          <w:rFonts w:hint="eastAsia" w:ascii="宋体" w:hAnsi="宋体"/>
          <w:sz w:val="28"/>
          <w:szCs w:val="28"/>
        </w:rPr>
        <w:br w:type="page"/>
      </w:r>
      <w:r>
        <w:rPr>
          <w:rFonts w:hint="eastAsia" w:ascii="宋体" w:hAnsi="宋体"/>
          <w:sz w:val="28"/>
          <w:szCs w:val="28"/>
        </w:rPr>
        <w:t>根据《中华人民共和国合同法》和《企业国有资产交易监督管理办法》以及《企业国有产权交易操作规则》等相关法律、法规、规章及有关单位批准，甲方将持有的浙江海晟药业有限公司股权转让给乙方。为此，甲、乙双方遵循自愿、公平、诚实信用的原则及转让相关规定订立本合同，以致共同遵守。</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鉴于：</w:t>
      </w:r>
    </w:p>
    <w:p>
      <w:pPr>
        <w:ind w:firstLine="840" w:firstLineChars="300"/>
        <w:rPr>
          <w:rFonts w:ascii="宋体" w:hAnsi="宋体" w:cs="宋体"/>
          <w:sz w:val="28"/>
          <w:szCs w:val="28"/>
        </w:rPr>
      </w:pPr>
      <w:r>
        <w:rPr>
          <w:rFonts w:ascii="宋体" w:hAnsi="宋体"/>
          <w:sz w:val="28"/>
          <w:szCs w:val="28"/>
        </w:rPr>
        <w:t>1</w:t>
      </w:r>
      <w:r>
        <w:rPr>
          <w:rFonts w:hint="eastAsia" w:ascii="宋体" w:hAnsi="宋体"/>
          <w:sz w:val="28"/>
          <w:szCs w:val="28"/>
        </w:rPr>
        <w:t>、浙江海晟药业有限公司（下称“浙江海晟”）是一家专注于糖尿病领域的专业化公司。组建于2018年4月，注册资本3亿元，统一社会信用代码为91331002MA2AMRGN3Q，法定代表人白骅。经营范围：药品、医疗器械、化妆品以及食品的研发、生产及销售;生物技术推广服务;货物及技术进出口业务(法律、行政法规禁止经营的项目除外,法律、行政法规规定限制经营的项目取得许可证后方可经营)。(依法须经批准的项目,经相关部门批准后方可开展经营活动)。</w:t>
      </w:r>
    </w:p>
    <w:p>
      <w:pPr>
        <w:ind w:firstLine="560"/>
        <w:rPr>
          <w:rFonts w:ascii="宋体" w:hAnsi="宋体"/>
          <w:sz w:val="28"/>
          <w:szCs w:val="28"/>
        </w:rPr>
      </w:pPr>
      <w:r>
        <w:rPr>
          <w:rFonts w:ascii="宋体" w:hAnsi="宋体"/>
          <w:sz w:val="28"/>
          <w:szCs w:val="28"/>
        </w:rPr>
        <w:t>2</w:t>
      </w:r>
      <w:r>
        <w:rPr>
          <w:rFonts w:hint="eastAsia" w:ascii="宋体" w:hAnsi="宋体"/>
          <w:sz w:val="28"/>
          <w:szCs w:val="28"/>
        </w:rPr>
        <w:t>、标的资产经有资质的中京民信（北京）资产评估有限公司评估，出具了以</w:t>
      </w:r>
      <w:r>
        <w:rPr>
          <w:rFonts w:ascii="宋体" w:hAnsi="宋体"/>
          <w:sz w:val="28"/>
          <w:szCs w:val="28"/>
        </w:rPr>
        <w:t>2018</w:t>
      </w:r>
      <w:r>
        <w:rPr>
          <w:rFonts w:hint="eastAsia" w:ascii="宋体" w:hAnsi="宋体"/>
          <w:sz w:val="28"/>
          <w:szCs w:val="28"/>
        </w:rPr>
        <w:t>年</w:t>
      </w:r>
      <w:r>
        <w:rPr>
          <w:rFonts w:ascii="宋体" w:hAnsi="宋体"/>
          <w:sz w:val="28"/>
          <w:szCs w:val="28"/>
        </w:rPr>
        <w:t>4</w:t>
      </w:r>
      <w:r>
        <w:rPr>
          <w:rFonts w:hint="eastAsia" w:ascii="宋体" w:hAnsi="宋体"/>
          <w:sz w:val="28"/>
          <w:szCs w:val="28"/>
        </w:rPr>
        <w:t>月 3</w:t>
      </w:r>
      <w:r>
        <w:rPr>
          <w:rFonts w:ascii="宋体" w:hAnsi="宋体"/>
          <w:sz w:val="28"/>
          <w:szCs w:val="28"/>
        </w:rPr>
        <w:t>0</w:t>
      </w:r>
      <w:r>
        <w:rPr>
          <w:rFonts w:hint="eastAsia" w:ascii="宋体" w:hAnsi="宋体"/>
          <w:sz w:val="28"/>
          <w:szCs w:val="28"/>
        </w:rPr>
        <w:t>日为评估基准日的京信评字报【2018】211号《浙江海晟药业有限公司拟引入投资者进行增资扩股涉及的浙江海晟药业有限公司的股东全部权益价值资产评估报告》。</w:t>
      </w:r>
    </w:p>
    <w:p>
      <w:pPr>
        <w:ind w:firstLine="700" w:firstLineChars="250"/>
        <w:jc w:val="left"/>
        <w:rPr>
          <w:rFonts w:ascii="宋体" w:hAnsi="宋体"/>
          <w:sz w:val="28"/>
          <w:szCs w:val="28"/>
        </w:rPr>
      </w:pPr>
      <w:bookmarkStart w:id="20" w:name="待定09"/>
      <w:r>
        <w:rPr>
          <w:rFonts w:hint="eastAsia" w:ascii="宋体" w:hAnsi="宋体"/>
          <w:sz w:val="28"/>
          <w:szCs w:val="28"/>
        </w:rPr>
        <w:t>3、本次股权转让已经必要的内部决策和批准程序，资产评估报告已经椒江区国资局备案。</w:t>
      </w:r>
    </w:p>
    <w:bookmarkEnd w:id="20"/>
    <w:p>
      <w:pPr>
        <w:tabs>
          <w:tab w:val="left" w:pos="3780"/>
        </w:tabs>
        <w:spacing w:line="360" w:lineRule="auto"/>
        <w:ind w:firstLine="560"/>
        <w:jc w:val="left"/>
        <w:rPr>
          <w:rFonts w:ascii="宋体" w:hAnsi="宋体"/>
          <w:sz w:val="28"/>
          <w:szCs w:val="28"/>
        </w:rPr>
      </w:pPr>
      <w:r>
        <w:rPr>
          <w:rFonts w:hint="eastAsia" w:ascii="宋体" w:hAnsi="宋体"/>
          <w:sz w:val="28"/>
          <w:szCs w:val="28"/>
        </w:rPr>
        <w:t>4、甲、乙双方当事人对上述情况及本次股权转让的相关资料均已进行全面详细的了解。</w:t>
      </w:r>
    </w:p>
    <w:p>
      <w:pPr>
        <w:tabs>
          <w:tab w:val="left" w:pos="3780"/>
        </w:tabs>
        <w:spacing w:line="360" w:lineRule="auto"/>
        <w:ind w:firstLine="560"/>
        <w:jc w:val="left"/>
        <w:rPr>
          <w:rFonts w:hint="eastAsia" w:ascii="宋体" w:hAnsi="宋体"/>
          <w:sz w:val="28"/>
          <w:szCs w:val="28"/>
        </w:rPr>
      </w:pPr>
      <w:r>
        <w:rPr>
          <w:rFonts w:hint="eastAsia" w:ascii="宋体" w:hAnsi="宋体"/>
          <w:sz w:val="28"/>
          <w:szCs w:val="28"/>
        </w:rPr>
        <w:t>5、本次股权转让，双方当事人均已被授权。</w:t>
      </w:r>
    </w:p>
    <w:p>
      <w:pPr>
        <w:tabs>
          <w:tab w:val="left" w:pos="3780"/>
        </w:tabs>
        <w:spacing w:line="360" w:lineRule="auto"/>
        <w:ind w:firstLine="560"/>
        <w:jc w:val="left"/>
        <w:rPr>
          <w:rFonts w:ascii="宋体" w:hAnsi="宋体"/>
          <w:sz w:val="28"/>
          <w:szCs w:val="28"/>
        </w:rPr>
      </w:pP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第一条  转让的标的</w:t>
      </w:r>
    </w:p>
    <w:p>
      <w:pPr>
        <w:tabs>
          <w:tab w:val="left" w:pos="3780"/>
        </w:tabs>
        <w:spacing w:line="360" w:lineRule="auto"/>
        <w:ind w:firstLine="560"/>
        <w:jc w:val="left"/>
        <w:rPr>
          <w:rFonts w:ascii="宋体" w:hAnsi="宋体"/>
          <w:sz w:val="28"/>
          <w:szCs w:val="28"/>
        </w:rPr>
      </w:pPr>
      <w:r>
        <w:rPr>
          <w:rFonts w:hint="eastAsia" w:ascii="宋体" w:hAnsi="宋体"/>
          <w:sz w:val="28"/>
          <w:szCs w:val="28"/>
        </w:rPr>
        <w:t>甲方将持有的</w:t>
      </w:r>
      <w:r>
        <w:rPr>
          <w:rFonts w:hint="eastAsia" w:ascii="宋体" w:hAnsi="宋体"/>
          <w:sz w:val="28"/>
          <w:szCs w:val="28"/>
          <w:u w:val="single"/>
        </w:rPr>
        <w:t>浙江海晟药业有限公司</w:t>
      </w:r>
      <w:r>
        <w:rPr>
          <w:rFonts w:hint="eastAsia" w:ascii="宋体" w:hAnsi="宋体"/>
          <w:sz w:val="28"/>
          <w:szCs w:val="28"/>
        </w:rPr>
        <w:t>10815.7895万股股权有偿转让给乙方。</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第二条  转让标的企业涉及的职工安置</w:t>
      </w:r>
    </w:p>
    <w:p>
      <w:pPr>
        <w:tabs>
          <w:tab w:val="left" w:pos="3780"/>
        </w:tabs>
        <w:spacing w:line="360" w:lineRule="auto"/>
        <w:ind w:firstLine="560"/>
        <w:jc w:val="left"/>
        <w:rPr>
          <w:rFonts w:ascii="宋体" w:hAnsi="宋体"/>
          <w:b/>
          <w:sz w:val="28"/>
          <w:szCs w:val="28"/>
        </w:rPr>
      </w:pPr>
      <w:r>
        <w:rPr>
          <w:rFonts w:hint="eastAsia" w:ascii="宋体" w:hAnsi="宋体"/>
          <w:sz w:val="28"/>
          <w:szCs w:val="28"/>
        </w:rPr>
        <w:t>本次股权转让完成后，职工的劳动合同继续有效，其劳动关系、社会保险及住房公积金关系保持不变。</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第三条  转让标的企业涉及的债权、债务的承继和清偿办法。</w:t>
      </w:r>
    </w:p>
    <w:p>
      <w:pPr>
        <w:tabs>
          <w:tab w:val="left" w:pos="1620"/>
          <w:tab w:val="left" w:pos="3780"/>
        </w:tabs>
        <w:spacing w:line="360" w:lineRule="auto"/>
        <w:ind w:firstLine="560"/>
        <w:jc w:val="left"/>
        <w:rPr>
          <w:rFonts w:ascii="宋体" w:hAnsi="宋体"/>
          <w:sz w:val="28"/>
          <w:szCs w:val="28"/>
        </w:rPr>
      </w:pPr>
      <w:r>
        <w:rPr>
          <w:rFonts w:hint="eastAsia" w:ascii="宋体" w:hAnsi="宋体"/>
          <w:sz w:val="28"/>
          <w:szCs w:val="28"/>
        </w:rPr>
        <w:t>本次股权转让后，浙江海晟药业有限公司的法人主体未发生变化，为依法存续的有限责任公司。故此，其所有债权、债务依然由浙江海晟药业有限公司承继。</w:t>
      </w:r>
    </w:p>
    <w:p>
      <w:pPr>
        <w:tabs>
          <w:tab w:val="left" w:pos="1620"/>
          <w:tab w:val="left" w:pos="3780"/>
        </w:tabs>
        <w:spacing w:line="360" w:lineRule="auto"/>
        <w:ind w:firstLine="562"/>
        <w:jc w:val="left"/>
        <w:rPr>
          <w:rFonts w:ascii="宋体" w:hAnsi="宋体"/>
          <w:b/>
          <w:sz w:val="28"/>
          <w:szCs w:val="28"/>
        </w:rPr>
      </w:pPr>
      <w:r>
        <w:rPr>
          <w:rFonts w:hint="eastAsia" w:ascii="宋体" w:hAnsi="宋体"/>
          <w:b/>
          <w:sz w:val="28"/>
          <w:szCs w:val="28"/>
        </w:rPr>
        <w:t>第四条  股权转让方式</w:t>
      </w:r>
    </w:p>
    <w:p>
      <w:pPr>
        <w:tabs>
          <w:tab w:val="left" w:pos="3780"/>
        </w:tabs>
        <w:spacing w:line="360" w:lineRule="auto"/>
        <w:ind w:firstLine="560"/>
        <w:jc w:val="left"/>
        <w:rPr>
          <w:rFonts w:ascii="宋体" w:hAnsi="宋体"/>
          <w:sz w:val="28"/>
          <w:szCs w:val="28"/>
        </w:rPr>
      </w:pPr>
      <w:bookmarkStart w:id="21" w:name="待定10"/>
      <w:r>
        <w:rPr>
          <w:rFonts w:hint="eastAsia" w:ascii="宋体" w:hAnsi="宋体"/>
          <w:sz w:val="28"/>
          <w:szCs w:val="28"/>
          <w:u w:val="single"/>
        </w:rPr>
        <w:t>按照浙江海晟药业有限公司同步挂牌的增资项目交易价格</w:t>
      </w:r>
      <w:r>
        <w:rPr>
          <w:rFonts w:hint="eastAsia" w:ascii="宋体" w:hAnsi="宋体"/>
          <w:sz w:val="28"/>
          <w:szCs w:val="28"/>
        </w:rPr>
        <w:t>转让。</w:t>
      </w:r>
    </w:p>
    <w:bookmarkEnd w:id="21"/>
    <w:p>
      <w:pPr>
        <w:tabs>
          <w:tab w:val="left" w:pos="3780"/>
        </w:tabs>
        <w:spacing w:line="360" w:lineRule="auto"/>
        <w:ind w:firstLine="562"/>
        <w:jc w:val="left"/>
        <w:rPr>
          <w:rFonts w:ascii="宋体" w:hAnsi="宋体"/>
          <w:b/>
          <w:sz w:val="28"/>
          <w:szCs w:val="28"/>
        </w:rPr>
      </w:pPr>
      <w:r>
        <w:rPr>
          <w:rFonts w:hint="eastAsia" w:ascii="宋体" w:hAnsi="宋体"/>
          <w:b/>
          <w:sz w:val="28"/>
          <w:szCs w:val="28"/>
        </w:rPr>
        <w:t>第五条  股权转让价格</w:t>
      </w:r>
    </w:p>
    <w:p>
      <w:pPr>
        <w:tabs>
          <w:tab w:val="left" w:pos="3780"/>
        </w:tabs>
        <w:spacing w:line="360" w:lineRule="auto"/>
        <w:ind w:left="1" w:firstLine="537" w:firstLineChars="192"/>
        <w:jc w:val="left"/>
        <w:rPr>
          <w:rFonts w:ascii="宋体" w:hAnsi="宋体"/>
          <w:sz w:val="28"/>
          <w:szCs w:val="28"/>
        </w:rPr>
      </w:pPr>
      <w:r>
        <w:rPr>
          <w:rFonts w:hint="eastAsia" w:ascii="宋体" w:hAnsi="宋体"/>
          <w:sz w:val="28"/>
          <w:szCs w:val="28"/>
        </w:rPr>
        <w:t>甲方将本合同第一条规定的转让标的以人民币（大写）</w:t>
      </w:r>
      <w:r>
        <w:rPr>
          <w:rFonts w:hint="eastAsia" w:ascii="宋体" w:hAnsi="宋体"/>
          <w:sz w:val="28"/>
          <w:szCs w:val="28"/>
          <w:u w:val="single"/>
        </w:rPr>
        <w:t xml:space="preserve">        </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元转让给乙方。</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第六条  股权转让价款的支付方式、期限及付款条件</w:t>
      </w:r>
    </w:p>
    <w:p>
      <w:pPr>
        <w:spacing w:line="360" w:lineRule="auto"/>
        <w:ind w:firstLine="560"/>
        <w:rPr>
          <w:rFonts w:ascii="宋体" w:hAnsi="宋体"/>
          <w:sz w:val="28"/>
          <w:szCs w:val="28"/>
          <w:u w:val="single"/>
        </w:rPr>
      </w:pPr>
      <w:r>
        <w:rPr>
          <w:rFonts w:hint="eastAsia" w:ascii="宋体" w:hAnsi="宋体"/>
          <w:sz w:val="28"/>
          <w:szCs w:val="28"/>
        </w:rPr>
        <w:t>甲、乙双方在本合同签订生效后，乙方于二个工作日内，一次性足额支付60%转让价款，即人民币</w:t>
      </w:r>
      <w:r>
        <w:rPr>
          <w:rFonts w:hint="eastAsia" w:ascii="宋体" w:hAnsi="宋体"/>
          <w:sz w:val="28"/>
          <w:szCs w:val="28"/>
          <w:u w:val="single"/>
        </w:rPr>
        <w:t xml:space="preserve">          </w:t>
      </w:r>
      <w:r>
        <w:rPr>
          <w:rFonts w:hint="eastAsia" w:ascii="宋体" w:hAnsi="宋体"/>
          <w:sz w:val="28"/>
          <w:szCs w:val="28"/>
        </w:rPr>
        <w:t>。</w:t>
      </w:r>
    </w:p>
    <w:p>
      <w:pPr>
        <w:spacing w:line="360" w:lineRule="auto"/>
        <w:ind w:firstLine="560"/>
        <w:rPr>
          <w:rFonts w:ascii="宋体" w:hAnsi="宋体"/>
          <w:bCs/>
          <w:sz w:val="28"/>
          <w:szCs w:val="28"/>
        </w:rPr>
      </w:pPr>
      <w:r>
        <w:rPr>
          <w:rFonts w:hint="eastAsia" w:ascii="宋体" w:hAnsi="宋体"/>
          <w:sz w:val="28"/>
          <w:szCs w:val="28"/>
        </w:rPr>
        <w:t>上述转让成交款款项缴入</w:t>
      </w:r>
      <w:r>
        <w:rPr>
          <w:rFonts w:hint="eastAsia" w:ascii="宋体" w:hAnsi="宋体"/>
          <w:bCs/>
          <w:sz w:val="28"/>
          <w:szCs w:val="28"/>
        </w:rPr>
        <w:t>台州市产权交易所有限公司（单位名称：台州市产权交易所有限公司，开户行：</w:t>
      </w:r>
      <w:r>
        <w:rPr>
          <w:rFonts w:ascii="宋体" w:hAnsi="宋体"/>
          <w:bCs/>
          <w:sz w:val="28"/>
          <w:szCs w:val="28"/>
        </w:rPr>
        <w:t>浙江民泰商业银行台州椒江支行</w:t>
      </w:r>
      <w:r>
        <w:rPr>
          <w:rFonts w:hint="eastAsia" w:ascii="宋体" w:hAnsi="宋体"/>
          <w:bCs/>
          <w:sz w:val="28"/>
          <w:szCs w:val="28"/>
        </w:rPr>
        <w:t>，帐号：</w:t>
      </w:r>
      <w:r>
        <w:rPr>
          <w:rFonts w:ascii="宋体" w:hAnsi="宋体"/>
          <w:bCs/>
          <w:sz w:val="28"/>
          <w:szCs w:val="28"/>
        </w:rPr>
        <w:t>583016260800028）。</w:t>
      </w:r>
    </w:p>
    <w:p>
      <w:pPr>
        <w:spacing w:line="360" w:lineRule="auto"/>
        <w:ind w:firstLine="560"/>
        <w:rPr>
          <w:rFonts w:hint="eastAsia" w:ascii="宋体" w:hAnsi="宋体"/>
          <w:sz w:val="28"/>
          <w:szCs w:val="28"/>
        </w:rPr>
      </w:pPr>
      <w:r>
        <w:rPr>
          <w:rFonts w:hint="eastAsia" w:ascii="宋体" w:hAnsi="宋体"/>
          <w:sz w:val="28"/>
          <w:szCs w:val="28"/>
        </w:rPr>
        <w:t>合同订立后，乙方先期汇入的</w:t>
      </w:r>
      <w:r>
        <w:rPr>
          <w:rFonts w:hint="eastAsia" w:ascii="宋体" w:hAnsi="宋体"/>
          <w:sz w:val="28"/>
          <w:szCs w:val="28"/>
          <w:u w:val="single"/>
        </w:rPr>
        <w:t xml:space="preserve"> </w:t>
      </w:r>
      <w:r>
        <w:rPr>
          <w:rFonts w:hint="eastAsia" w:ascii="宋体" w:hAnsi="宋体"/>
          <w:sz w:val="28"/>
          <w:szCs w:val="28"/>
        </w:rPr>
        <w:t>6850万元竞买保证金转为履约保证金，该保证金可转作产权的转让价款。</w:t>
      </w:r>
    </w:p>
    <w:p>
      <w:pPr>
        <w:spacing w:line="360" w:lineRule="auto"/>
        <w:ind w:firstLine="560"/>
        <w:rPr>
          <w:rFonts w:ascii="宋体" w:hAnsi="宋体"/>
          <w:bCs/>
          <w:sz w:val="28"/>
          <w:szCs w:val="28"/>
        </w:rPr>
      </w:pPr>
      <w:r>
        <w:rPr>
          <w:rFonts w:hint="eastAsia" w:ascii="宋体" w:hAnsi="宋体"/>
          <w:sz w:val="28"/>
          <w:szCs w:val="28"/>
        </w:rPr>
        <w:t>其余价款应在产权交易合同生效后1年内付清，且提供银行保函或符合转让方要求的合法有效担保，并按同期银行贷款利率支付首次付款日至分期付款日期间的利息。</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第七条  股权交割事项</w:t>
      </w:r>
    </w:p>
    <w:p>
      <w:pPr>
        <w:tabs>
          <w:tab w:val="left" w:pos="3780"/>
        </w:tabs>
        <w:spacing w:line="360" w:lineRule="auto"/>
        <w:ind w:firstLine="560"/>
        <w:jc w:val="left"/>
        <w:rPr>
          <w:rFonts w:ascii="宋体" w:hAnsi="宋体"/>
          <w:sz w:val="28"/>
          <w:szCs w:val="28"/>
        </w:rPr>
      </w:pPr>
      <w:r>
        <w:rPr>
          <w:rFonts w:hint="eastAsia" w:ascii="宋体" w:hAnsi="宋体"/>
          <w:sz w:val="28"/>
          <w:szCs w:val="28"/>
        </w:rPr>
        <w:t>1、乙方应当在本合同所载成交款付清后，产交所出具《产权交易凭证》后五个工作日内与甲方办理股权交接手续。</w:t>
      </w:r>
    </w:p>
    <w:p>
      <w:pPr>
        <w:tabs>
          <w:tab w:val="left" w:pos="3780"/>
        </w:tabs>
        <w:spacing w:line="360" w:lineRule="auto"/>
        <w:ind w:firstLine="560"/>
        <w:jc w:val="left"/>
        <w:rPr>
          <w:rFonts w:ascii="宋体" w:hAnsi="宋体"/>
          <w:sz w:val="28"/>
          <w:szCs w:val="28"/>
        </w:rPr>
      </w:pPr>
      <w:r>
        <w:rPr>
          <w:rFonts w:hint="eastAsia" w:ascii="宋体" w:hAnsi="宋体"/>
          <w:sz w:val="28"/>
          <w:szCs w:val="28"/>
        </w:rPr>
        <w:t>2、</w:t>
      </w:r>
      <w:r>
        <w:rPr>
          <w:rFonts w:hint="eastAsia" w:ascii="宋体" w:hAnsi="宋体"/>
          <w:bCs/>
          <w:sz w:val="28"/>
          <w:szCs w:val="28"/>
        </w:rPr>
        <w:t>股权转让评估基准日（2018年4月30日）至股权转让交割日期间，标的企业经营损益不再进行审计清算，由受让方按股权受让比例享有或承担</w:t>
      </w:r>
      <w:r>
        <w:rPr>
          <w:rFonts w:hint="eastAsia" w:ascii="宋体" w:hAnsi="宋体"/>
          <w:sz w:val="28"/>
          <w:szCs w:val="28"/>
        </w:rPr>
        <w:t>。</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第八条 权证的变更</w:t>
      </w:r>
    </w:p>
    <w:p>
      <w:pPr>
        <w:tabs>
          <w:tab w:val="left" w:pos="3780"/>
        </w:tabs>
        <w:spacing w:line="360" w:lineRule="auto"/>
        <w:ind w:firstLine="560"/>
        <w:jc w:val="left"/>
        <w:rPr>
          <w:rFonts w:ascii="宋体" w:hAnsi="宋体"/>
          <w:sz w:val="28"/>
          <w:szCs w:val="28"/>
        </w:rPr>
      </w:pPr>
      <w:r>
        <w:rPr>
          <w:rFonts w:hint="eastAsia" w:ascii="宋体" w:hAnsi="宋体"/>
          <w:sz w:val="28"/>
          <w:szCs w:val="28"/>
        </w:rPr>
        <w:t>甲乙双方协商和共同配合，由乙方完成所转让股权的权证变更手续。</w:t>
      </w:r>
    </w:p>
    <w:p>
      <w:pPr>
        <w:tabs>
          <w:tab w:val="left" w:pos="3780"/>
        </w:tabs>
        <w:spacing w:line="360" w:lineRule="auto"/>
        <w:ind w:firstLine="548" w:firstLineChars="195"/>
        <w:jc w:val="left"/>
        <w:rPr>
          <w:rFonts w:ascii="宋体" w:hAnsi="宋体"/>
          <w:b/>
          <w:sz w:val="28"/>
          <w:szCs w:val="28"/>
        </w:rPr>
      </w:pPr>
      <w:r>
        <w:rPr>
          <w:rFonts w:hint="eastAsia" w:ascii="宋体" w:hAnsi="宋体"/>
          <w:b/>
          <w:sz w:val="28"/>
          <w:szCs w:val="28"/>
        </w:rPr>
        <w:t>第九条  股权转让的税收和费用</w:t>
      </w:r>
    </w:p>
    <w:p>
      <w:pPr>
        <w:tabs>
          <w:tab w:val="left" w:pos="3780"/>
        </w:tabs>
        <w:spacing w:line="360" w:lineRule="auto"/>
        <w:ind w:firstLine="560"/>
        <w:jc w:val="left"/>
        <w:rPr>
          <w:rFonts w:ascii="宋体" w:hAnsi="宋体"/>
          <w:sz w:val="28"/>
          <w:szCs w:val="28"/>
        </w:rPr>
      </w:pPr>
      <w:r>
        <w:rPr>
          <w:rFonts w:hint="eastAsia" w:ascii="宋体" w:hAnsi="宋体"/>
          <w:sz w:val="28"/>
          <w:szCs w:val="28"/>
        </w:rPr>
        <w:t>1、股权转让中涉及的有关税收，按照国家有关法律规定缴纳。</w:t>
      </w:r>
    </w:p>
    <w:p>
      <w:pPr>
        <w:tabs>
          <w:tab w:val="left" w:pos="3780"/>
        </w:tabs>
        <w:spacing w:line="360" w:lineRule="auto"/>
        <w:ind w:firstLine="560"/>
        <w:jc w:val="left"/>
        <w:rPr>
          <w:rFonts w:ascii="宋体" w:hAnsi="宋体"/>
          <w:sz w:val="28"/>
          <w:szCs w:val="28"/>
        </w:rPr>
      </w:pPr>
      <w:r>
        <w:rPr>
          <w:rFonts w:hint="eastAsia" w:ascii="宋体" w:hAnsi="宋体"/>
          <w:sz w:val="28"/>
          <w:szCs w:val="28"/>
        </w:rPr>
        <w:t>2、股权转让中涉及的交易佣金由甲、乙双方各自承担。</w:t>
      </w:r>
    </w:p>
    <w:p>
      <w:pPr>
        <w:tabs>
          <w:tab w:val="left" w:pos="3780"/>
        </w:tabs>
        <w:spacing w:line="360" w:lineRule="auto"/>
        <w:ind w:firstLine="560"/>
        <w:jc w:val="left"/>
        <w:rPr>
          <w:rFonts w:ascii="宋体" w:hAnsi="宋体"/>
          <w:sz w:val="28"/>
          <w:szCs w:val="28"/>
        </w:rPr>
      </w:pPr>
      <w:r>
        <w:rPr>
          <w:rFonts w:hint="eastAsia" w:ascii="宋体" w:hAnsi="宋体"/>
          <w:sz w:val="28"/>
          <w:szCs w:val="28"/>
        </w:rPr>
        <w:t>3、权证变更涉及的有关费用，由乙方承担。</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第十条  甲、乙双方的承诺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1、甲方的承诺：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1）对转让标的拥有合法、有效的处分权，并按国家相关法律、法规取得有效转让批准；</w:t>
      </w:r>
    </w:p>
    <w:p>
      <w:pPr>
        <w:tabs>
          <w:tab w:val="left" w:pos="3780"/>
        </w:tabs>
        <w:spacing w:line="360" w:lineRule="auto"/>
        <w:ind w:firstLine="560"/>
        <w:jc w:val="left"/>
        <w:rPr>
          <w:rFonts w:ascii="宋体" w:hAnsi="宋体"/>
          <w:sz w:val="28"/>
          <w:szCs w:val="28"/>
        </w:rPr>
      </w:pPr>
      <w:r>
        <w:rPr>
          <w:rFonts w:hint="eastAsia" w:ascii="宋体" w:hAnsi="宋体"/>
          <w:sz w:val="28"/>
          <w:szCs w:val="28"/>
        </w:rPr>
        <w:t>2）为签订本合同之前的所提交的各项证明文件及资料均为真实、完整的；</w:t>
      </w:r>
    </w:p>
    <w:p>
      <w:pPr>
        <w:tabs>
          <w:tab w:val="left" w:pos="3780"/>
        </w:tabs>
        <w:spacing w:line="360" w:lineRule="auto"/>
        <w:ind w:firstLine="560"/>
        <w:jc w:val="left"/>
        <w:rPr>
          <w:rFonts w:ascii="宋体" w:hAnsi="宋体"/>
          <w:sz w:val="28"/>
          <w:szCs w:val="28"/>
        </w:rPr>
      </w:pPr>
      <w:r>
        <w:rPr>
          <w:rFonts w:hint="eastAsia" w:ascii="宋体" w:hAnsi="宋体"/>
          <w:sz w:val="28"/>
          <w:szCs w:val="28"/>
        </w:rPr>
        <w:t>3）签订本合同所需的包括但不限于授权、审批、公司内部决策等在内的一切批准手续均已合法取得，本合同成立的前提条件均已满足；</w:t>
      </w:r>
    </w:p>
    <w:p>
      <w:pPr>
        <w:tabs>
          <w:tab w:val="left" w:pos="3780"/>
        </w:tabs>
        <w:spacing w:line="360" w:lineRule="auto"/>
        <w:ind w:firstLine="560"/>
        <w:jc w:val="left"/>
        <w:rPr>
          <w:rFonts w:ascii="宋体" w:hAnsi="宋体"/>
          <w:sz w:val="28"/>
          <w:szCs w:val="28"/>
        </w:rPr>
      </w:pPr>
      <w:r>
        <w:rPr>
          <w:rFonts w:hint="eastAsia" w:ascii="宋体" w:hAnsi="宋体"/>
          <w:sz w:val="28"/>
          <w:szCs w:val="28"/>
        </w:rPr>
        <w:t>2、乙方的承诺：</w:t>
      </w:r>
    </w:p>
    <w:p>
      <w:pPr>
        <w:tabs>
          <w:tab w:val="left" w:pos="3780"/>
        </w:tabs>
        <w:spacing w:line="360" w:lineRule="auto"/>
        <w:ind w:firstLine="560"/>
        <w:jc w:val="left"/>
        <w:rPr>
          <w:rFonts w:ascii="宋体" w:hAnsi="宋体"/>
          <w:sz w:val="28"/>
          <w:szCs w:val="28"/>
        </w:rPr>
      </w:pPr>
      <w:r>
        <w:rPr>
          <w:rFonts w:hint="eastAsia" w:ascii="宋体" w:hAnsi="宋体"/>
          <w:sz w:val="28"/>
          <w:szCs w:val="28"/>
        </w:rPr>
        <w:t>1）拥有完全的权利和行为能力进行股权受让，无欺诈行为；</w:t>
      </w:r>
    </w:p>
    <w:p>
      <w:pPr>
        <w:tabs>
          <w:tab w:val="left" w:pos="3780"/>
        </w:tabs>
        <w:spacing w:line="360" w:lineRule="auto"/>
        <w:ind w:firstLine="560"/>
        <w:jc w:val="left"/>
        <w:rPr>
          <w:rFonts w:ascii="宋体" w:hAnsi="宋体"/>
          <w:sz w:val="28"/>
          <w:szCs w:val="28"/>
        </w:rPr>
      </w:pPr>
      <w:r>
        <w:rPr>
          <w:rFonts w:hint="eastAsia" w:ascii="宋体" w:hAnsi="宋体"/>
          <w:sz w:val="28"/>
          <w:szCs w:val="28"/>
        </w:rPr>
        <w:t>2）签订本合同所需的各项授权、审批以及内部决策等在内的一切批准手续均已合法取得；</w:t>
      </w:r>
    </w:p>
    <w:p>
      <w:pPr>
        <w:tabs>
          <w:tab w:val="left" w:pos="3780"/>
        </w:tabs>
        <w:spacing w:line="360" w:lineRule="auto"/>
        <w:ind w:firstLine="560"/>
        <w:jc w:val="left"/>
        <w:rPr>
          <w:rFonts w:ascii="宋体" w:hAnsi="宋体"/>
          <w:sz w:val="28"/>
          <w:szCs w:val="28"/>
        </w:rPr>
      </w:pPr>
      <w:r>
        <w:rPr>
          <w:rFonts w:hint="eastAsia" w:ascii="宋体" w:hAnsi="宋体"/>
          <w:sz w:val="28"/>
          <w:szCs w:val="28"/>
        </w:rPr>
        <w:t>3）受让转让标的没有违反受让方具有约束力的合同、协议等所有法律文书；</w:t>
      </w:r>
    </w:p>
    <w:p>
      <w:pPr>
        <w:tabs>
          <w:tab w:val="left" w:pos="3780"/>
        </w:tabs>
        <w:spacing w:line="360" w:lineRule="auto"/>
        <w:ind w:firstLine="560"/>
        <w:jc w:val="left"/>
        <w:rPr>
          <w:rFonts w:ascii="宋体" w:hAnsi="宋体"/>
          <w:sz w:val="28"/>
          <w:szCs w:val="28"/>
        </w:rPr>
      </w:pPr>
      <w:r>
        <w:rPr>
          <w:rFonts w:hint="eastAsia" w:ascii="宋体" w:hAnsi="宋体"/>
          <w:sz w:val="28"/>
          <w:szCs w:val="28"/>
        </w:rPr>
        <w:t>4）乙方保证按本合同之约定支付转让款。</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第十一条  违约责任</w:t>
      </w:r>
    </w:p>
    <w:p>
      <w:pPr>
        <w:ind w:firstLine="560"/>
        <w:rPr>
          <w:rFonts w:ascii="宋体" w:hAnsi="宋体"/>
          <w:sz w:val="28"/>
          <w:szCs w:val="28"/>
        </w:rPr>
      </w:pPr>
      <w:r>
        <w:rPr>
          <w:rFonts w:hint="eastAsia" w:ascii="宋体" w:hAnsi="宋体"/>
          <w:sz w:val="28"/>
          <w:szCs w:val="28"/>
        </w:rPr>
        <w:t>本合同各方当事人应当按照法律规定及本合同的约定严格履行各自的义务。当事人一方不履行合同义务或者履行合同义务不符合约定的，应当承担继续履行、采取补救措施或者赔偿损失等违约责任。</w:t>
      </w:r>
    </w:p>
    <w:p>
      <w:pPr>
        <w:tabs>
          <w:tab w:val="left" w:pos="3780"/>
        </w:tabs>
        <w:spacing w:line="360" w:lineRule="auto"/>
        <w:ind w:firstLine="560"/>
        <w:jc w:val="left"/>
        <w:rPr>
          <w:rFonts w:ascii="宋体" w:hAnsi="宋体"/>
          <w:sz w:val="28"/>
          <w:szCs w:val="28"/>
        </w:rPr>
      </w:pPr>
      <w:r>
        <w:rPr>
          <w:rFonts w:hint="eastAsia" w:ascii="宋体" w:hAnsi="宋体"/>
          <w:sz w:val="28"/>
          <w:szCs w:val="28"/>
        </w:rPr>
        <w:t>1、甲方应按合同约定履行交付转让标的义务，涉及权属变更登记的应当及时协助乙方办理。如因甲方原因导致逾期交付或迟延办理权属变更登记的，则应自逾期之日起至实际交付或办理之日止按转让总价款的日</w:t>
      </w:r>
      <w:r>
        <w:rPr>
          <w:rFonts w:hint="eastAsia" w:ascii="宋体" w:hAnsi="宋体"/>
          <w:sz w:val="28"/>
          <w:szCs w:val="28"/>
          <w:u w:val="single"/>
        </w:rPr>
        <w:t>0.05%</w:t>
      </w:r>
      <w:r>
        <w:rPr>
          <w:rFonts w:hint="eastAsia" w:ascii="宋体" w:hAnsi="宋体"/>
          <w:sz w:val="28"/>
          <w:szCs w:val="28"/>
        </w:rPr>
        <w:t>向乙方支付违约金。</w:t>
      </w:r>
    </w:p>
    <w:p>
      <w:pPr>
        <w:tabs>
          <w:tab w:val="left" w:pos="3780"/>
        </w:tabs>
        <w:spacing w:line="360" w:lineRule="auto"/>
        <w:ind w:firstLine="560"/>
        <w:jc w:val="left"/>
        <w:rPr>
          <w:rFonts w:ascii="宋体" w:hAnsi="宋体"/>
          <w:sz w:val="28"/>
          <w:szCs w:val="28"/>
        </w:rPr>
      </w:pPr>
      <w:r>
        <w:rPr>
          <w:rFonts w:hint="eastAsia" w:ascii="宋体" w:hAnsi="宋体"/>
          <w:sz w:val="28"/>
          <w:szCs w:val="28"/>
        </w:rPr>
        <w:t>2、乙方违反法律或本合同约定，导致本合同目的不能实现的，甲方有权解除本合同并没收乙方的保证金及已付转让款，对所造成的实际损失乙方应当另行承担赔偿责任。</w:t>
      </w:r>
    </w:p>
    <w:p>
      <w:pPr>
        <w:tabs>
          <w:tab w:val="left" w:pos="3780"/>
        </w:tabs>
        <w:spacing w:line="360" w:lineRule="auto"/>
        <w:ind w:firstLine="560"/>
        <w:jc w:val="left"/>
        <w:rPr>
          <w:rFonts w:ascii="宋体" w:hAnsi="宋体"/>
          <w:sz w:val="28"/>
          <w:szCs w:val="28"/>
        </w:rPr>
      </w:pPr>
      <w:r>
        <w:rPr>
          <w:rFonts w:hint="eastAsia" w:ascii="宋体" w:hAnsi="宋体"/>
          <w:sz w:val="28"/>
          <w:szCs w:val="28"/>
        </w:rPr>
        <w:t>3、由于一方的过错造成本合同被认定为无效时，由过错的一方承担违约责任，双方均有过错，则由双方按责任大小承担各自相应的责任。</w:t>
      </w:r>
    </w:p>
    <w:p>
      <w:pPr>
        <w:tabs>
          <w:tab w:val="left" w:pos="3780"/>
        </w:tabs>
        <w:spacing w:line="360" w:lineRule="auto"/>
        <w:ind w:firstLine="551" w:firstLineChars="196"/>
        <w:jc w:val="left"/>
        <w:rPr>
          <w:rFonts w:ascii="宋体" w:hAnsi="宋体"/>
          <w:b/>
          <w:sz w:val="28"/>
          <w:szCs w:val="28"/>
        </w:rPr>
      </w:pPr>
      <w:r>
        <w:rPr>
          <w:rFonts w:hint="eastAsia" w:ascii="宋体" w:hAnsi="宋体"/>
          <w:b/>
          <w:sz w:val="28"/>
          <w:szCs w:val="28"/>
        </w:rPr>
        <w:t>第十二条  争议的解决方式</w:t>
      </w:r>
    </w:p>
    <w:p>
      <w:pPr>
        <w:tabs>
          <w:tab w:val="left" w:pos="3780"/>
        </w:tabs>
        <w:spacing w:line="360" w:lineRule="auto"/>
        <w:ind w:firstLine="560"/>
        <w:jc w:val="left"/>
        <w:rPr>
          <w:rFonts w:ascii="宋体" w:hAnsi="宋体"/>
          <w:sz w:val="28"/>
          <w:szCs w:val="28"/>
        </w:rPr>
      </w:pPr>
      <w:r>
        <w:rPr>
          <w:rFonts w:hint="eastAsia" w:ascii="宋体" w:hAnsi="宋体"/>
          <w:sz w:val="28"/>
          <w:szCs w:val="28"/>
        </w:rPr>
        <w:t>甲、乙双方在履行本合同过程中若发生争议，应由双方协商解决，如协商解决不下，一方当事人可向甲方所在地人民法院起诉。</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第十三条  法律适用</w:t>
      </w:r>
    </w:p>
    <w:p>
      <w:pPr>
        <w:tabs>
          <w:tab w:val="left" w:pos="3780"/>
        </w:tabs>
        <w:spacing w:line="360" w:lineRule="auto"/>
        <w:ind w:firstLine="560"/>
        <w:jc w:val="left"/>
        <w:rPr>
          <w:rFonts w:ascii="宋体" w:hAnsi="宋体"/>
          <w:sz w:val="28"/>
          <w:szCs w:val="28"/>
        </w:rPr>
      </w:pPr>
      <w:r>
        <w:rPr>
          <w:rFonts w:hint="eastAsia" w:ascii="宋体" w:hAnsi="宋体"/>
          <w:sz w:val="28"/>
          <w:szCs w:val="28"/>
        </w:rPr>
        <w:t>本合同的适用和解释均为中华人民共和国的法律。</w:t>
      </w:r>
    </w:p>
    <w:p>
      <w:pPr>
        <w:tabs>
          <w:tab w:val="left" w:pos="3780"/>
        </w:tabs>
        <w:spacing w:line="360" w:lineRule="auto"/>
        <w:ind w:firstLine="562"/>
        <w:jc w:val="left"/>
        <w:rPr>
          <w:rFonts w:ascii="宋体" w:hAnsi="宋体"/>
          <w:sz w:val="28"/>
          <w:szCs w:val="28"/>
        </w:rPr>
      </w:pPr>
      <w:r>
        <w:rPr>
          <w:rFonts w:hint="eastAsia" w:ascii="宋体" w:hAnsi="宋体"/>
          <w:b/>
          <w:sz w:val="28"/>
          <w:szCs w:val="28"/>
        </w:rPr>
        <w:t>第十四条  合同的变更</w:t>
      </w:r>
    </w:p>
    <w:p>
      <w:pPr>
        <w:tabs>
          <w:tab w:val="left" w:pos="3780"/>
        </w:tabs>
        <w:spacing w:line="360" w:lineRule="auto"/>
        <w:ind w:firstLine="560"/>
        <w:jc w:val="left"/>
        <w:rPr>
          <w:rFonts w:ascii="宋体" w:hAnsi="宋体"/>
          <w:sz w:val="28"/>
          <w:szCs w:val="28"/>
        </w:rPr>
      </w:pPr>
      <w:r>
        <w:rPr>
          <w:rFonts w:hint="eastAsia" w:ascii="宋体" w:hAnsi="宋体"/>
          <w:sz w:val="28"/>
          <w:szCs w:val="28"/>
        </w:rPr>
        <w:t>双方当事人协商一致可变更本合同，但不得损害国家和社会公共利益及不违反有关规定。</w:t>
      </w:r>
    </w:p>
    <w:p>
      <w:pPr>
        <w:tabs>
          <w:tab w:val="left" w:pos="3780"/>
        </w:tabs>
        <w:spacing w:line="360" w:lineRule="auto"/>
        <w:ind w:firstLine="562"/>
        <w:jc w:val="left"/>
        <w:rPr>
          <w:rFonts w:ascii="宋体" w:hAnsi="宋体"/>
          <w:sz w:val="28"/>
          <w:szCs w:val="28"/>
        </w:rPr>
      </w:pPr>
      <w:r>
        <w:rPr>
          <w:rFonts w:hint="eastAsia" w:ascii="宋体" w:hAnsi="宋体"/>
          <w:b/>
          <w:sz w:val="28"/>
          <w:szCs w:val="28"/>
        </w:rPr>
        <w:t>第十五条  合同的解除</w:t>
      </w:r>
    </w:p>
    <w:p>
      <w:pPr>
        <w:tabs>
          <w:tab w:val="left" w:pos="3780"/>
        </w:tabs>
        <w:spacing w:line="360" w:lineRule="auto"/>
        <w:ind w:firstLine="568"/>
        <w:jc w:val="left"/>
        <w:rPr>
          <w:rFonts w:ascii="宋体" w:hAnsi="宋体"/>
          <w:spacing w:val="2"/>
          <w:sz w:val="28"/>
          <w:szCs w:val="28"/>
        </w:rPr>
      </w:pPr>
      <w:r>
        <w:rPr>
          <w:rFonts w:ascii="宋体" w:hAnsi="宋体"/>
          <w:spacing w:val="2"/>
          <w:sz w:val="28"/>
          <w:szCs w:val="28"/>
        </w:rPr>
        <w:t>有下列情形之一的，当事人可以解除合同：</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1、</w:t>
      </w:r>
      <w:r>
        <w:rPr>
          <w:rFonts w:ascii="宋体" w:hAnsi="宋体"/>
          <w:spacing w:val="2"/>
          <w:sz w:val="28"/>
          <w:szCs w:val="28"/>
        </w:rPr>
        <w:t>因不可抗力致使不能实现合同目的；</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2、</w:t>
      </w:r>
      <w:r>
        <w:rPr>
          <w:rFonts w:ascii="宋体" w:hAnsi="宋体"/>
          <w:spacing w:val="2"/>
          <w:sz w:val="28"/>
          <w:szCs w:val="28"/>
        </w:rPr>
        <w:t>在履行期限届满之前，当事人一方明确表示或者以自己的行为表明不履行主要债务</w:t>
      </w:r>
      <w:r>
        <w:rPr>
          <w:rFonts w:hint="eastAsia" w:ascii="宋体" w:hAnsi="宋体"/>
          <w:spacing w:val="2"/>
          <w:sz w:val="28"/>
          <w:szCs w:val="28"/>
        </w:rPr>
        <w:t>，另一方有权解除合同</w:t>
      </w:r>
      <w:r>
        <w:rPr>
          <w:rFonts w:ascii="宋体" w:hAnsi="宋体"/>
          <w:spacing w:val="2"/>
          <w:sz w:val="28"/>
          <w:szCs w:val="28"/>
        </w:rPr>
        <w:t>；</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3、</w:t>
      </w:r>
      <w:r>
        <w:rPr>
          <w:rFonts w:ascii="宋体" w:hAnsi="宋体"/>
          <w:spacing w:val="2"/>
          <w:sz w:val="28"/>
          <w:szCs w:val="28"/>
        </w:rPr>
        <w:t>当事人一方迟延履行主要债务，经催告后在合理期限内仍未履行</w:t>
      </w:r>
      <w:r>
        <w:rPr>
          <w:rFonts w:hint="eastAsia" w:ascii="宋体" w:hAnsi="宋体"/>
          <w:spacing w:val="2"/>
          <w:sz w:val="28"/>
          <w:szCs w:val="28"/>
        </w:rPr>
        <w:t>，另一方有权解除合同</w:t>
      </w:r>
      <w:r>
        <w:rPr>
          <w:rFonts w:ascii="宋体" w:hAnsi="宋体"/>
          <w:spacing w:val="2"/>
          <w:sz w:val="28"/>
          <w:szCs w:val="28"/>
        </w:rPr>
        <w:t>；</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4、</w:t>
      </w:r>
      <w:r>
        <w:rPr>
          <w:rFonts w:ascii="宋体" w:hAnsi="宋体"/>
          <w:spacing w:val="2"/>
          <w:sz w:val="28"/>
          <w:szCs w:val="28"/>
        </w:rPr>
        <w:t>当事人一方迟延履行债务或者有其他违约行为致使不能实现合同目的</w:t>
      </w:r>
      <w:r>
        <w:rPr>
          <w:rFonts w:hint="eastAsia" w:ascii="宋体" w:hAnsi="宋体"/>
          <w:spacing w:val="2"/>
          <w:sz w:val="28"/>
          <w:szCs w:val="28"/>
        </w:rPr>
        <w:t>，另一方有权解除合同</w:t>
      </w:r>
      <w:r>
        <w:rPr>
          <w:rFonts w:ascii="宋体" w:hAnsi="宋体"/>
          <w:spacing w:val="2"/>
          <w:sz w:val="28"/>
          <w:szCs w:val="28"/>
        </w:rPr>
        <w:t>；</w:t>
      </w:r>
    </w:p>
    <w:p>
      <w:pPr>
        <w:tabs>
          <w:tab w:val="left" w:pos="3780"/>
        </w:tabs>
        <w:spacing w:line="360" w:lineRule="auto"/>
        <w:ind w:firstLine="568"/>
        <w:jc w:val="left"/>
        <w:rPr>
          <w:rFonts w:ascii="宋体" w:hAnsi="宋体"/>
          <w:spacing w:val="2"/>
          <w:sz w:val="28"/>
          <w:szCs w:val="28"/>
        </w:rPr>
      </w:pPr>
      <w:r>
        <w:rPr>
          <w:rFonts w:hint="eastAsia" w:ascii="宋体" w:hAnsi="宋体"/>
          <w:spacing w:val="2"/>
          <w:sz w:val="28"/>
          <w:szCs w:val="28"/>
        </w:rPr>
        <w:t>5、</w:t>
      </w:r>
      <w:r>
        <w:rPr>
          <w:rFonts w:ascii="宋体" w:hAnsi="宋体"/>
          <w:spacing w:val="2"/>
          <w:sz w:val="28"/>
          <w:szCs w:val="28"/>
        </w:rPr>
        <w:t>法律规定的其他情形。</w:t>
      </w:r>
    </w:p>
    <w:p>
      <w:pPr>
        <w:tabs>
          <w:tab w:val="left" w:pos="3780"/>
        </w:tabs>
        <w:spacing w:line="360" w:lineRule="auto"/>
        <w:ind w:firstLine="560"/>
        <w:jc w:val="left"/>
        <w:rPr>
          <w:rFonts w:ascii="宋体" w:hAnsi="宋体"/>
          <w:sz w:val="28"/>
          <w:szCs w:val="28"/>
        </w:rPr>
      </w:pPr>
      <w:r>
        <w:rPr>
          <w:rFonts w:hint="eastAsia" w:ascii="宋体" w:hAnsi="宋体"/>
          <w:sz w:val="28"/>
          <w:szCs w:val="28"/>
        </w:rPr>
        <w:t>变更或解除本合同均应采用书面形式，并送台州市产权交易所有限公司备案。</w:t>
      </w:r>
    </w:p>
    <w:p>
      <w:pPr>
        <w:tabs>
          <w:tab w:val="left" w:pos="3780"/>
        </w:tabs>
        <w:spacing w:line="360" w:lineRule="auto"/>
        <w:ind w:firstLine="562"/>
        <w:jc w:val="left"/>
        <w:rPr>
          <w:rFonts w:ascii="宋体" w:hAnsi="宋体"/>
          <w:b/>
          <w:sz w:val="28"/>
          <w:szCs w:val="28"/>
        </w:rPr>
      </w:pPr>
      <w:r>
        <w:rPr>
          <w:rFonts w:hint="eastAsia" w:ascii="宋体" w:hAnsi="宋体"/>
          <w:b/>
          <w:sz w:val="28"/>
          <w:szCs w:val="28"/>
        </w:rPr>
        <w:t>第十六条  合同的生效</w:t>
      </w:r>
    </w:p>
    <w:p>
      <w:pPr>
        <w:tabs>
          <w:tab w:val="left" w:pos="3780"/>
        </w:tabs>
        <w:spacing w:line="360" w:lineRule="auto"/>
        <w:ind w:firstLine="560"/>
        <w:jc w:val="left"/>
        <w:rPr>
          <w:rFonts w:hint="eastAsia" w:ascii="宋体" w:hAnsi="宋体"/>
          <w:sz w:val="28"/>
          <w:szCs w:val="28"/>
        </w:rPr>
      </w:pPr>
      <w:r>
        <w:rPr>
          <w:rFonts w:hint="eastAsia" w:ascii="宋体" w:hAnsi="宋体"/>
          <w:sz w:val="28"/>
          <w:szCs w:val="28"/>
        </w:rPr>
        <w:t>本合同自甲、乙双方的授权代表签字、盖章后生效。（国家法律、法规对本合同生效另有规定的，从其规定）。本合同生效后，双方对本合同内容的变更或补充应采用书面形式订立，并作为本合同的附件。附件与本合同具有同等的法律效力。</w:t>
      </w:r>
    </w:p>
    <w:p>
      <w:pPr>
        <w:tabs>
          <w:tab w:val="left" w:pos="3780"/>
        </w:tabs>
        <w:spacing w:line="360" w:lineRule="auto"/>
        <w:ind w:firstLine="560"/>
        <w:jc w:val="left"/>
        <w:rPr>
          <w:rFonts w:ascii="宋体" w:hAnsi="宋体"/>
          <w:sz w:val="28"/>
          <w:szCs w:val="28"/>
        </w:rPr>
      </w:pPr>
    </w:p>
    <w:p>
      <w:pPr>
        <w:tabs>
          <w:tab w:val="left" w:pos="3780"/>
        </w:tabs>
        <w:ind w:firstLine="571" w:firstLineChars="203"/>
        <w:rPr>
          <w:rFonts w:ascii="宋体" w:hAnsi="宋体"/>
          <w:b/>
          <w:sz w:val="28"/>
          <w:szCs w:val="28"/>
        </w:rPr>
      </w:pPr>
      <w:r>
        <w:rPr>
          <w:rFonts w:hint="eastAsia" w:ascii="宋体" w:hAnsi="宋体"/>
          <w:b/>
          <w:sz w:val="28"/>
          <w:szCs w:val="28"/>
        </w:rPr>
        <w:t>第十七条  其他约定事项</w:t>
      </w:r>
    </w:p>
    <w:p>
      <w:pPr>
        <w:tabs>
          <w:tab w:val="left" w:pos="3780"/>
        </w:tabs>
        <w:ind w:firstLine="571" w:firstLineChars="203"/>
        <w:rPr>
          <w:rFonts w:ascii="宋体" w:hAnsi="宋体"/>
          <w:b/>
          <w:sz w:val="28"/>
          <w:szCs w:val="28"/>
          <w:u w:val="single"/>
        </w:rPr>
      </w:pPr>
      <w:r>
        <w:rPr>
          <w:rFonts w:hint="eastAsia" w:ascii="宋体" w:hAnsi="宋体"/>
          <w:b/>
          <w:sz w:val="28"/>
          <w:szCs w:val="28"/>
          <w:u w:val="single"/>
        </w:rPr>
        <w:t xml:space="preserve">                                                          </w:t>
      </w:r>
    </w:p>
    <w:p>
      <w:pPr>
        <w:tabs>
          <w:tab w:val="left" w:pos="3780"/>
        </w:tabs>
        <w:spacing w:line="360" w:lineRule="auto"/>
        <w:ind w:firstLine="560"/>
        <w:jc w:val="left"/>
        <w:rPr>
          <w:rFonts w:hint="eastAsia" w:ascii="宋体" w:hAnsi="宋体"/>
          <w:sz w:val="28"/>
          <w:szCs w:val="28"/>
        </w:rPr>
      </w:pPr>
      <w:r>
        <w:rPr>
          <w:rFonts w:hint="eastAsia" w:ascii="宋体" w:hAnsi="宋体"/>
          <w:sz w:val="28"/>
          <w:szCs w:val="28"/>
        </w:rPr>
        <w:t>本合同一式</w:t>
      </w:r>
      <w:r>
        <w:rPr>
          <w:rFonts w:hint="eastAsia" w:ascii="宋体" w:hAnsi="宋体"/>
          <w:sz w:val="28"/>
          <w:szCs w:val="28"/>
          <w:u w:val="single"/>
        </w:rPr>
        <w:t xml:space="preserve"> 陆 </w:t>
      </w:r>
      <w:r>
        <w:rPr>
          <w:rFonts w:hint="eastAsia" w:ascii="宋体" w:hAnsi="宋体"/>
          <w:sz w:val="28"/>
          <w:szCs w:val="28"/>
        </w:rPr>
        <w:t>份，甲、乙双方各执</w:t>
      </w:r>
      <w:r>
        <w:rPr>
          <w:rFonts w:hint="eastAsia" w:ascii="宋体" w:hAnsi="宋体"/>
          <w:sz w:val="28"/>
          <w:szCs w:val="28"/>
          <w:u w:val="single"/>
        </w:rPr>
        <w:t xml:space="preserve"> 壹 </w:t>
      </w:r>
      <w:r>
        <w:rPr>
          <w:rFonts w:hint="eastAsia" w:ascii="宋体" w:hAnsi="宋体"/>
          <w:sz w:val="28"/>
          <w:szCs w:val="28"/>
        </w:rPr>
        <w:t>份，股权标的方执</w:t>
      </w:r>
      <w:r>
        <w:rPr>
          <w:rFonts w:hint="eastAsia" w:ascii="宋体" w:hAnsi="宋体"/>
          <w:sz w:val="28"/>
          <w:szCs w:val="28"/>
          <w:u w:val="single"/>
        </w:rPr>
        <w:t xml:space="preserve"> 壹 </w:t>
      </w:r>
      <w:r>
        <w:rPr>
          <w:rFonts w:hint="eastAsia" w:ascii="宋体" w:hAnsi="宋体"/>
          <w:sz w:val="28"/>
          <w:szCs w:val="28"/>
        </w:rPr>
        <w:t>份，台州市产权交易所有限公司执</w:t>
      </w:r>
      <w:r>
        <w:rPr>
          <w:rFonts w:hint="eastAsia" w:ascii="宋体" w:hAnsi="宋体"/>
          <w:sz w:val="28"/>
          <w:szCs w:val="28"/>
          <w:u w:val="single"/>
        </w:rPr>
        <w:t xml:space="preserve"> 壹 </w:t>
      </w:r>
      <w:r>
        <w:rPr>
          <w:rFonts w:hint="eastAsia" w:ascii="宋体" w:hAnsi="宋体"/>
          <w:sz w:val="28"/>
          <w:szCs w:val="28"/>
        </w:rPr>
        <w:t>份，其余</w:t>
      </w:r>
      <w:r>
        <w:rPr>
          <w:rFonts w:hint="eastAsia" w:ascii="宋体" w:hAnsi="宋体"/>
          <w:sz w:val="28"/>
          <w:szCs w:val="28"/>
          <w:u w:val="single"/>
        </w:rPr>
        <w:t>贰</w:t>
      </w:r>
      <w:r>
        <w:rPr>
          <w:rFonts w:hint="eastAsia" w:ascii="宋体" w:hAnsi="宋体"/>
          <w:sz w:val="28"/>
          <w:szCs w:val="28"/>
        </w:rPr>
        <w:t>份报相关部门。</w:t>
      </w:r>
    </w:p>
    <w:p>
      <w:pPr>
        <w:tabs>
          <w:tab w:val="left" w:pos="3780"/>
        </w:tabs>
        <w:spacing w:line="360" w:lineRule="auto"/>
        <w:ind w:firstLine="560"/>
        <w:jc w:val="left"/>
        <w:rPr>
          <w:rFonts w:ascii="宋体" w:hAnsi="宋体"/>
          <w:sz w:val="28"/>
          <w:szCs w:val="28"/>
        </w:rPr>
      </w:pPr>
    </w:p>
    <w:p>
      <w:pPr>
        <w:spacing w:line="360" w:lineRule="exact"/>
        <w:ind w:firstLine="560"/>
        <w:rPr>
          <w:rFonts w:ascii="宋体" w:hAnsi="宋体"/>
          <w:sz w:val="28"/>
          <w:szCs w:val="28"/>
        </w:rPr>
      </w:pPr>
      <w:r>
        <w:rPr>
          <w:rFonts w:ascii="宋体" w:hAnsi="宋体"/>
          <w:sz w:val="28"/>
          <w:szCs w:val="28"/>
        </w:rPr>
        <w:br w:type="page"/>
      </w:r>
      <w:r>
        <w:rPr>
          <w:rFonts w:hint="eastAsia" w:ascii="宋体" w:hAnsi="宋体"/>
          <w:sz w:val="28"/>
          <w:szCs w:val="28"/>
        </w:rPr>
        <w:t xml:space="preserve"> </w:t>
      </w:r>
    </w:p>
    <w:p>
      <w:pPr>
        <w:spacing w:line="360" w:lineRule="exact"/>
        <w:ind w:firstLine="560"/>
        <w:rPr>
          <w:rFonts w:ascii="宋体" w:hAnsi="宋体"/>
          <w:sz w:val="28"/>
          <w:szCs w:val="28"/>
        </w:rPr>
      </w:pPr>
    </w:p>
    <w:p>
      <w:pPr>
        <w:spacing w:line="360" w:lineRule="exact"/>
        <w:ind w:firstLine="560"/>
        <w:rPr>
          <w:rFonts w:ascii="宋体" w:hAnsi="宋体"/>
          <w:sz w:val="28"/>
          <w:szCs w:val="28"/>
        </w:rPr>
      </w:pPr>
      <w:r>
        <w:rPr>
          <w:rFonts w:hint="eastAsia" w:ascii="宋体" w:hAnsi="宋体"/>
          <w:sz w:val="28"/>
          <w:szCs w:val="28"/>
        </w:rPr>
        <w:t>(此页无正文)</w:t>
      </w:r>
    </w:p>
    <w:p>
      <w:pPr>
        <w:spacing w:line="360" w:lineRule="exact"/>
        <w:ind w:firstLine="560"/>
        <w:rPr>
          <w:rFonts w:ascii="宋体" w:hAnsi="宋体"/>
          <w:sz w:val="28"/>
          <w:szCs w:val="28"/>
        </w:rPr>
      </w:pPr>
    </w:p>
    <w:p>
      <w:pPr>
        <w:spacing w:line="360" w:lineRule="exact"/>
        <w:ind w:firstLine="560"/>
        <w:rPr>
          <w:rFonts w:ascii="宋体" w:hAnsi="宋体"/>
          <w:sz w:val="28"/>
          <w:szCs w:val="28"/>
        </w:rPr>
      </w:pPr>
    </w:p>
    <w:tbl>
      <w:tblPr>
        <w:tblStyle w:val="21"/>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出让方（甲方）：</w:t>
            </w:r>
          </w:p>
          <w:p>
            <w:pPr>
              <w:spacing w:line="360" w:lineRule="exact"/>
              <w:ind w:firstLine="840" w:firstLineChars="300"/>
              <w:rPr>
                <w:rFonts w:ascii="宋体" w:hAnsi="宋体"/>
                <w:sz w:val="28"/>
                <w:szCs w:val="28"/>
              </w:rPr>
            </w:pPr>
            <w:r>
              <w:rPr>
                <w:rFonts w:hint="eastAsia" w:ascii="宋体" w:hAnsi="宋体"/>
                <w:sz w:val="28"/>
                <w:szCs w:val="28"/>
              </w:rPr>
              <w:t>（盖章）</w:t>
            </w:r>
          </w:p>
          <w:p>
            <w:pPr>
              <w:spacing w:line="360" w:lineRule="exact"/>
              <w:ind w:firstLine="840" w:firstLineChars="300"/>
              <w:rPr>
                <w:rFonts w:ascii="宋体" w:hAnsi="宋体"/>
                <w:sz w:val="28"/>
                <w:szCs w:val="28"/>
              </w:rPr>
            </w:pPr>
          </w:p>
        </w:tc>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受让方（乙方）：</w:t>
            </w:r>
          </w:p>
          <w:p>
            <w:pPr>
              <w:spacing w:line="360" w:lineRule="exact"/>
              <w:ind w:firstLine="840" w:firstLineChars="300"/>
              <w:rPr>
                <w:rFonts w:ascii="宋体" w:hAnsi="宋体"/>
                <w:sz w:val="28"/>
                <w:szCs w:val="28"/>
              </w:rPr>
            </w:pPr>
            <w:r>
              <w:rPr>
                <w:rFonts w:hint="eastAsia" w:ascii="宋体" w:hAnsi="宋体"/>
                <w:sz w:val="28"/>
                <w:szCs w:val="28"/>
              </w:rPr>
              <w:t>（盖章）</w:t>
            </w:r>
          </w:p>
          <w:p>
            <w:pPr>
              <w:spacing w:line="360" w:lineRule="exact"/>
              <w:ind w:firstLine="840" w:firstLineChars="300"/>
              <w:rPr>
                <w:rFonts w:ascii="宋体" w:hAnsi="宋体"/>
                <w:sz w:val="28"/>
                <w:szCs w:val="28"/>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法定代表人（签字）：</w:t>
            </w:r>
          </w:p>
          <w:p>
            <w:pPr>
              <w:spacing w:line="360" w:lineRule="exact"/>
              <w:ind w:firstLine="0" w:firstLineChars="0"/>
              <w:rPr>
                <w:rFonts w:ascii="宋体" w:hAnsi="宋体"/>
                <w:sz w:val="28"/>
                <w:szCs w:val="28"/>
              </w:rPr>
            </w:pPr>
            <w:r>
              <w:rPr>
                <w:rFonts w:hint="eastAsia" w:ascii="宋体" w:hAnsi="宋体"/>
                <w:sz w:val="28"/>
                <w:szCs w:val="28"/>
              </w:rPr>
              <w:t>或授权代表：</w:t>
            </w:r>
          </w:p>
          <w:p>
            <w:pPr>
              <w:spacing w:line="360" w:lineRule="exact"/>
              <w:ind w:firstLine="0" w:firstLineChars="0"/>
              <w:rPr>
                <w:rFonts w:ascii="宋体" w:hAnsi="宋体"/>
                <w:sz w:val="28"/>
                <w:szCs w:val="28"/>
              </w:rPr>
            </w:pPr>
          </w:p>
        </w:tc>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法定代表人（签字）：</w:t>
            </w:r>
          </w:p>
          <w:p>
            <w:pPr>
              <w:spacing w:line="360" w:lineRule="exact"/>
              <w:ind w:firstLine="0" w:firstLineChars="0"/>
              <w:rPr>
                <w:rFonts w:ascii="宋体" w:hAnsi="宋体"/>
                <w:sz w:val="28"/>
                <w:szCs w:val="28"/>
              </w:rPr>
            </w:pPr>
            <w:r>
              <w:rPr>
                <w:rFonts w:hint="eastAsia" w:ascii="宋体" w:hAnsi="宋体"/>
                <w:sz w:val="28"/>
                <w:szCs w:val="28"/>
              </w:rPr>
              <w:t>或授权代表：</w:t>
            </w:r>
          </w:p>
          <w:p>
            <w:pPr>
              <w:spacing w:line="360" w:lineRule="exact"/>
              <w:ind w:firstLine="0" w:firstLineChars="0"/>
              <w:rPr>
                <w:rFonts w:ascii="宋体" w:hAnsi="宋体"/>
                <w:sz w:val="28"/>
                <w:szCs w:val="28"/>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签订时间：    年    月   日</w:t>
            </w:r>
          </w:p>
        </w:tc>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签订时间：    年  月   日</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签订地点：</w:t>
            </w:r>
          </w:p>
        </w:tc>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签订地点：</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p>
        </w:tc>
        <w:tc>
          <w:tcPr>
            <w:tcW w:w="4530" w:type="dxa"/>
            <w:vAlign w:val="center"/>
          </w:tcPr>
          <w:p>
            <w:pPr>
              <w:spacing w:line="360" w:lineRule="exact"/>
              <w:ind w:firstLine="0" w:firstLineChars="0"/>
              <w:rPr>
                <w:rFonts w:ascii="宋体" w:hAnsi="宋体"/>
                <w:sz w:val="28"/>
                <w:szCs w:val="28"/>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鉴证方：</w:t>
            </w:r>
          </w:p>
          <w:p>
            <w:pPr>
              <w:spacing w:line="360" w:lineRule="exact"/>
              <w:ind w:firstLine="0" w:firstLineChars="0"/>
              <w:rPr>
                <w:rFonts w:ascii="宋体" w:hAnsi="宋体"/>
                <w:sz w:val="28"/>
                <w:szCs w:val="28"/>
              </w:rPr>
            </w:pPr>
            <w:r>
              <w:rPr>
                <w:rFonts w:hint="eastAsia" w:ascii="宋体" w:hAnsi="宋体"/>
                <w:sz w:val="28"/>
                <w:szCs w:val="28"/>
              </w:rPr>
              <w:t>（盖章）</w:t>
            </w:r>
          </w:p>
          <w:p>
            <w:pPr>
              <w:spacing w:line="360" w:lineRule="exact"/>
              <w:ind w:firstLine="0" w:firstLineChars="0"/>
              <w:rPr>
                <w:rFonts w:ascii="宋体" w:hAnsi="宋体"/>
                <w:sz w:val="28"/>
                <w:szCs w:val="28"/>
              </w:rPr>
            </w:pPr>
          </w:p>
        </w:tc>
        <w:tc>
          <w:tcPr>
            <w:tcW w:w="4530" w:type="dxa"/>
            <w:vAlign w:val="center"/>
          </w:tcPr>
          <w:p>
            <w:pPr>
              <w:ind w:firstLine="0" w:firstLineChars="0"/>
              <w:rPr>
                <w:rFonts w:ascii="宋体" w:hAnsi="宋体"/>
                <w:sz w:val="28"/>
                <w:szCs w:val="28"/>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代表人：</w:t>
            </w:r>
          </w:p>
          <w:p>
            <w:pPr>
              <w:spacing w:line="360" w:lineRule="exact"/>
              <w:ind w:firstLine="0" w:firstLineChars="0"/>
              <w:rPr>
                <w:rFonts w:ascii="宋体" w:hAnsi="宋体"/>
                <w:sz w:val="28"/>
                <w:szCs w:val="28"/>
              </w:rPr>
            </w:pPr>
            <w:r>
              <w:rPr>
                <w:rFonts w:hint="eastAsia" w:ascii="宋体" w:hAnsi="宋体"/>
                <w:sz w:val="28"/>
                <w:szCs w:val="28"/>
              </w:rPr>
              <w:t>（签字）</w:t>
            </w:r>
          </w:p>
          <w:p>
            <w:pPr>
              <w:spacing w:line="360" w:lineRule="exact"/>
              <w:ind w:firstLine="0" w:firstLineChars="0"/>
              <w:rPr>
                <w:rFonts w:ascii="宋体" w:hAnsi="宋体"/>
                <w:sz w:val="28"/>
                <w:szCs w:val="28"/>
              </w:rPr>
            </w:pPr>
          </w:p>
        </w:tc>
        <w:tc>
          <w:tcPr>
            <w:tcW w:w="4530" w:type="dxa"/>
            <w:vAlign w:val="center"/>
          </w:tcPr>
          <w:p>
            <w:pPr>
              <w:spacing w:line="360" w:lineRule="exact"/>
              <w:ind w:firstLine="0" w:firstLineChars="0"/>
              <w:rPr>
                <w:rFonts w:ascii="宋体" w:hAnsi="宋体"/>
                <w:sz w:val="28"/>
                <w:szCs w:val="28"/>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sz w:val="28"/>
                <w:szCs w:val="28"/>
              </w:rPr>
            </w:pPr>
            <w:r>
              <w:rPr>
                <w:rFonts w:hint="eastAsia" w:ascii="宋体" w:hAnsi="宋体"/>
                <w:sz w:val="28"/>
                <w:szCs w:val="28"/>
              </w:rPr>
              <w:t>鉴证日期：    年    月   日</w:t>
            </w:r>
          </w:p>
        </w:tc>
        <w:tc>
          <w:tcPr>
            <w:tcW w:w="4530" w:type="dxa"/>
            <w:vAlign w:val="center"/>
          </w:tcPr>
          <w:p>
            <w:pPr>
              <w:spacing w:line="360" w:lineRule="exact"/>
              <w:ind w:firstLine="0" w:firstLineChars="0"/>
              <w:rPr>
                <w:rFonts w:ascii="宋体" w:hAnsi="宋体"/>
                <w:sz w:val="28"/>
                <w:szCs w:val="28"/>
              </w:rPr>
            </w:pPr>
          </w:p>
        </w:tc>
      </w:tr>
    </w:tbl>
    <w:p>
      <w:pPr>
        <w:spacing w:line="360" w:lineRule="exact"/>
        <w:ind w:firstLine="560"/>
        <w:rPr>
          <w:rFonts w:ascii="宋体" w:hAnsi="宋体"/>
          <w:sz w:val="28"/>
          <w:szCs w:val="28"/>
        </w:rPr>
      </w:pPr>
    </w:p>
    <w:p>
      <w:pPr>
        <w:pStyle w:val="2"/>
        <w:spacing w:before="100" w:beforeAutospacing="1" w:after="100" w:afterAutospacing="1" w:line="360" w:lineRule="auto"/>
        <w:jc w:val="center"/>
        <w:rPr>
          <w:sz w:val="36"/>
        </w:rPr>
      </w:pPr>
      <w:r>
        <w:rPr>
          <w:rFonts w:hint="eastAsia" w:ascii="宋体" w:hAnsi="宋体"/>
          <w:b w:val="0"/>
          <w:sz w:val="32"/>
          <w:szCs w:val="32"/>
        </w:rPr>
        <w:br w:type="page"/>
      </w:r>
      <w:bookmarkStart w:id="22" w:name="_Toc528773696"/>
      <w:r>
        <w:rPr>
          <w:rFonts w:hint="eastAsia"/>
          <w:sz w:val="36"/>
        </w:rPr>
        <w:t>转让股权相关信息</w:t>
      </w:r>
      <w:bookmarkEnd w:id="22"/>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rPr>
            </w:pPr>
            <w:r>
              <w:rPr>
                <w:rFonts w:hint="eastAsia" w:ascii="宋体" w:hAnsi="宋体" w:cs="宋体"/>
                <w:szCs w:val="21"/>
              </w:rPr>
              <w:t>项目名称</w:t>
            </w:r>
          </w:p>
        </w:tc>
        <w:tc>
          <w:tcPr>
            <w:tcW w:w="7851" w:type="dxa"/>
          </w:tcPr>
          <w:p>
            <w:pPr>
              <w:ind w:firstLine="420"/>
              <w:rPr>
                <w:rFonts w:ascii="宋体" w:hAnsi="宋体" w:cs="宋体"/>
                <w:szCs w:val="21"/>
              </w:rPr>
            </w:pPr>
            <w:r>
              <w:rPr>
                <w:rFonts w:hint="eastAsia" w:ascii="宋体" w:hAnsi="宋体" w:cs="宋体"/>
                <w:szCs w:val="21"/>
              </w:rPr>
              <w:t>浙江海晟药业有限公司股权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rPr>
            </w:pPr>
            <w:r>
              <w:rPr>
                <w:rFonts w:hint="eastAsia" w:ascii="宋体" w:hAnsi="宋体" w:cs="宋体"/>
                <w:szCs w:val="21"/>
              </w:rPr>
              <w:t>项目编号</w:t>
            </w:r>
          </w:p>
        </w:tc>
        <w:tc>
          <w:tcPr>
            <w:tcW w:w="7851" w:type="dxa"/>
          </w:tcPr>
          <w:p>
            <w:pPr>
              <w:ind w:firstLine="420"/>
              <w:rPr>
                <w:rFonts w:ascii="宋体" w:hAnsi="宋体" w:cs="宋体"/>
                <w:szCs w:val="21"/>
              </w:rPr>
            </w:pPr>
            <w:r>
              <w:rPr>
                <w:rFonts w:hint="eastAsia" w:ascii="宋体" w:hAnsi="宋体" w:cs="宋体"/>
                <w:szCs w:val="21"/>
              </w:rPr>
              <w:t>台交所挂〔2018〕29号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rPr>
            </w:pPr>
            <w:r>
              <w:rPr>
                <w:rFonts w:hint="eastAsia" w:ascii="宋体" w:hAnsi="宋体" w:cs="宋体"/>
                <w:szCs w:val="21"/>
              </w:rPr>
              <w:t>转让底价</w:t>
            </w:r>
          </w:p>
        </w:tc>
        <w:tc>
          <w:tcPr>
            <w:tcW w:w="7851" w:type="dxa"/>
          </w:tcPr>
          <w:p>
            <w:pPr>
              <w:ind w:firstLine="420"/>
              <w:rPr>
                <w:rFonts w:ascii="宋体" w:hAnsi="宋体" w:cs="宋体"/>
                <w:szCs w:val="21"/>
              </w:rPr>
            </w:pPr>
            <w:r>
              <w:rPr>
                <w:rFonts w:ascii="宋体" w:hAnsi="宋体" w:cs="宋体"/>
                <w:szCs w:val="21"/>
              </w:rPr>
              <w:t>68,500</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ind w:firstLine="0" w:firstLineChars="0"/>
              <w:rPr>
                <w:rFonts w:ascii="宋体" w:hAnsi="宋体" w:cs="宋体"/>
                <w:szCs w:val="21"/>
              </w:rPr>
            </w:pPr>
            <w:r>
              <w:rPr>
                <w:rFonts w:hint="eastAsia" w:ascii="宋体" w:hAnsi="宋体" w:cs="宋体"/>
                <w:szCs w:val="21"/>
              </w:rPr>
              <w:t>地域</w:t>
            </w:r>
          </w:p>
        </w:tc>
        <w:tc>
          <w:tcPr>
            <w:tcW w:w="7851" w:type="dxa"/>
          </w:tcPr>
          <w:p>
            <w:pPr>
              <w:ind w:firstLine="420"/>
              <w:rPr>
                <w:rFonts w:ascii="宋体" w:hAnsi="宋体" w:cs="宋体"/>
                <w:szCs w:val="21"/>
              </w:rPr>
            </w:pPr>
            <w:r>
              <w:rPr>
                <w:rFonts w:hint="eastAsia" w:ascii="宋体" w:hAnsi="宋体" w:cs="宋体"/>
                <w:szCs w:val="21"/>
              </w:rPr>
              <w:t>台州市</w:t>
            </w:r>
          </w:p>
        </w:tc>
      </w:tr>
    </w:tbl>
    <w:p>
      <w:pPr>
        <w:ind w:firstLine="0" w:firstLineChars="0"/>
        <w:rPr>
          <w:rFonts w:ascii="宋体" w:hAnsi="宋体" w:cs="宋体"/>
          <w:szCs w:val="21"/>
        </w:rPr>
      </w:pPr>
    </w:p>
    <w:tbl>
      <w:tblPr>
        <w:tblStyle w:val="21"/>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01"/>
        <w:gridCol w:w="715"/>
        <w:gridCol w:w="1628"/>
        <w:gridCol w:w="1238"/>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190" w:type="dxa"/>
            <w:vMerge w:val="restart"/>
            <w:vAlign w:val="center"/>
          </w:tcPr>
          <w:p>
            <w:pPr>
              <w:ind w:firstLine="0" w:firstLineChars="0"/>
              <w:jc w:val="center"/>
              <w:rPr>
                <w:rFonts w:ascii="宋体" w:hAnsi="宋体" w:cs="宋体"/>
                <w:szCs w:val="21"/>
              </w:rPr>
            </w:pPr>
            <w:r>
              <w:rPr>
                <w:rFonts w:hint="eastAsia" w:ascii="宋体" w:hAnsi="宋体" w:cs="宋体"/>
                <w:szCs w:val="21"/>
              </w:rPr>
              <w:t>基本情况</w:t>
            </w:r>
          </w:p>
        </w:tc>
        <w:tc>
          <w:tcPr>
            <w:tcW w:w="1616" w:type="dxa"/>
            <w:gridSpan w:val="2"/>
            <w:vAlign w:val="center"/>
          </w:tcPr>
          <w:p>
            <w:pPr>
              <w:ind w:firstLine="0" w:firstLineChars="0"/>
              <w:rPr>
                <w:rFonts w:ascii="宋体" w:hAnsi="宋体" w:cs="宋体"/>
                <w:szCs w:val="21"/>
              </w:rPr>
            </w:pPr>
            <w:r>
              <w:rPr>
                <w:rFonts w:hint="eastAsia" w:ascii="宋体" w:hAnsi="宋体" w:cs="宋体"/>
                <w:szCs w:val="21"/>
              </w:rPr>
              <w:t>申请人名称</w:t>
            </w:r>
          </w:p>
        </w:tc>
        <w:tc>
          <w:tcPr>
            <w:tcW w:w="6237" w:type="dxa"/>
            <w:gridSpan w:val="3"/>
          </w:tcPr>
          <w:p>
            <w:pPr>
              <w:ind w:firstLine="0" w:firstLineChars="0"/>
              <w:rPr>
                <w:rFonts w:ascii="宋体" w:hAnsi="宋体" w:cs="宋体"/>
                <w:szCs w:val="21"/>
              </w:rPr>
            </w:pPr>
            <w:r>
              <w:rPr>
                <w:rFonts w:hint="eastAsia" w:ascii="宋体" w:hAnsi="宋体" w:cs="宋体"/>
                <w:szCs w:val="21"/>
              </w:rPr>
              <w:t>海正药业（杭州）有限公司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标的企业名称</w:t>
            </w:r>
          </w:p>
        </w:tc>
        <w:tc>
          <w:tcPr>
            <w:tcW w:w="6237" w:type="dxa"/>
            <w:gridSpan w:val="3"/>
          </w:tcPr>
          <w:p>
            <w:pPr>
              <w:ind w:firstLine="0" w:firstLineChars="0"/>
              <w:rPr>
                <w:rFonts w:ascii="宋体" w:hAnsi="宋体" w:cs="宋体"/>
                <w:szCs w:val="21"/>
              </w:rPr>
            </w:pPr>
            <w:r>
              <w:rPr>
                <w:rFonts w:hint="eastAsia" w:ascii="宋体" w:hAnsi="宋体" w:cs="宋体"/>
                <w:szCs w:val="21"/>
              </w:rPr>
              <w:t>浙江海晟药业有限公司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企业类型</w:t>
            </w:r>
          </w:p>
        </w:tc>
        <w:tc>
          <w:tcPr>
            <w:tcW w:w="6237" w:type="dxa"/>
            <w:gridSpan w:val="3"/>
          </w:tcPr>
          <w:p>
            <w:pPr>
              <w:ind w:firstLine="0" w:firstLineChars="0"/>
              <w:rPr>
                <w:rFonts w:ascii="宋体" w:hAnsi="宋体" w:cs="宋体"/>
                <w:szCs w:val="21"/>
              </w:rPr>
            </w:pPr>
            <w:r>
              <w:rPr>
                <w:rFonts w:hint="eastAsia" w:ascii="宋体" w:hAnsi="宋体" w:cs="宋体"/>
                <w:szCs w:val="21"/>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所属行业</w:t>
            </w:r>
          </w:p>
        </w:tc>
        <w:tc>
          <w:tcPr>
            <w:tcW w:w="6237" w:type="dxa"/>
            <w:gridSpan w:val="3"/>
          </w:tcPr>
          <w:p>
            <w:pPr>
              <w:ind w:firstLine="0" w:firstLineChars="0"/>
              <w:rPr>
                <w:rFonts w:ascii="宋体" w:hAnsi="宋体" w:cs="宋体"/>
                <w:szCs w:val="21"/>
              </w:rPr>
            </w:pPr>
            <w:r>
              <w:rPr>
                <w:rFonts w:hint="eastAsia" w:ascii="宋体" w:hAnsi="宋体" w:cs="宋体"/>
                <w:szCs w:val="21"/>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经营范围</w:t>
            </w:r>
          </w:p>
        </w:tc>
        <w:tc>
          <w:tcPr>
            <w:tcW w:w="6237" w:type="dxa"/>
            <w:gridSpan w:val="3"/>
          </w:tcPr>
          <w:p>
            <w:pPr>
              <w:ind w:firstLine="0" w:firstLineChars="0"/>
              <w:rPr>
                <w:rFonts w:ascii="宋体" w:hAnsi="宋体" w:cs="宋体"/>
                <w:szCs w:val="21"/>
              </w:rPr>
            </w:pPr>
            <w:r>
              <w:rPr>
                <w:rFonts w:hint="eastAsia" w:ascii="宋体" w:hAnsi="宋体" w:cs="宋体"/>
              </w:rPr>
              <w:t>药品、兽药、食品(含食品添加剂)、饲料添加剂、化妆品、化学试剂、化工原料(除化学危险品及易制毒化学品)、医疗器械生产;药品经营;兽药经营;医药产品、医疗器械的技术研发,技术服务,技术咨询,技术成果转让;预包装食品、散装食品、保健食品、食品添加剂、饲料添加剂、化妆品、化学试剂、化工原料(除化学危险品及易制毒化学品)、医疗器械销售;成年人的非证书劳动职业技能培训;翻译服务;货物进出口(法律、行政法规禁止经营的项目除外,法律、行政法规限制经营的项目取得许可证后方可经营)。(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法定代表人</w:t>
            </w:r>
          </w:p>
        </w:tc>
        <w:tc>
          <w:tcPr>
            <w:tcW w:w="1628" w:type="dxa"/>
            <w:vAlign w:val="center"/>
          </w:tcPr>
          <w:p>
            <w:pPr>
              <w:ind w:firstLine="407" w:firstLineChars="194"/>
              <w:rPr>
                <w:rFonts w:ascii="宋体" w:hAnsi="宋体" w:cs="宋体"/>
                <w:szCs w:val="21"/>
              </w:rPr>
            </w:pPr>
            <w:r>
              <w:rPr>
                <w:rFonts w:hint="eastAsia" w:ascii="宋体" w:hAnsi="宋体" w:cs="宋体"/>
                <w:szCs w:val="21"/>
              </w:rPr>
              <w:t>白骅</w:t>
            </w:r>
          </w:p>
        </w:tc>
        <w:tc>
          <w:tcPr>
            <w:tcW w:w="1238" w:type="dxa"/>
            <w:vAlign w:val="center"/>
          </w:tcPr>
          <w:p>
            <w:pPr>
              <w:ind w:firstLine="0" w:firstLineChars="0"/>
              <w:jc w:val="center"/>
              <w:rPr>
                <w:rFonts w:ascii="宋体" w:hAnsi="宋体" w:cs="宋体"/>
                <w:szCs w:val="21"/>
              </w:rPr>
            </w:pPr>
            <w:r>
              <w:rPr>
                <w:rFonts w:hint="eastAsia" w:ascii="宋体" w:hAnsi="宋体" w:cs="宋体"/>
                <w:szCs w:val="21"/>
              </w:rPr>
              <w:t>成立日期</w:t>
            </w:r>
          </w:p>
        </w:tc>
        <w:tc>
          <w:tcPr>
            <w:tcW w:w="3371" w:type="dxa"/>
            <w:vAlign w:val="center"/>
          </w:tcPr>
          <w:p>
            <w:pPr>
              <w:ind w:firstLine="199" w:firstLineChars="95"/>
              <w:rPr>
                <w:rFonts w:ascii="宋体" w:hAnsi="宋体" w:cs="宋体"/>
                <w:szCs w:val="21"/>
              </w:rPr>
            </w:pPr>
            <w:r>
              <w:rPr>
                <w:rFonts w:hint="eastAsia" w:ascii="宋体" w:hAnsi="宋体" w:cs="宋体"/>
                <w:szCs w:val="21"/>
              </w:rPr>
              <w:t>2005年8月3日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注册资本</w:t>
            </w:r>
          </w:p>
        </w:tc>
        <w:tc>
          <w:tcPr>
            <w:tcW w:w="1628" w:type="dxa"/>
            <w:vAlign w:val="center"/>
          </w:tcPr>
          <w:p>
            <w:pPr>
              <w:ind w:firstLine="420"/>
              <w:jc w:val="center"/>
              <w:rPr>
                <w:rFonts w:ascii="宋体" w:hAnsi="宋体" w:cs="宋体"/>
                <w:szCs w:val="21"/>
              </w:rPr>
            </w:pPr>
            <w:r>
              <w:rPr>
                <w:rFonts w:hint="eastAsia" w:ascii="宋体" w:hAnsi="宋体" w:cs="宋体"/>
                <w:szCs w:val="21"/>
              </w:rPr>
              <w:t>93742万元</w:t>
            </w:r>
          </w:p>
        </w:tc>
        <w:tc>
          <w:tcPr>
            <w:tcW w:w="1238" w:type="dxa"/>
            <w:vAlign w:val="center"/>
          </w:tcPr>
          <w:p>
            <w:pPr>
              <w:ind w:firstLine="0" w:firstLineChars="0"/>
              <w:jc w:val="center"/>
              <w:rPr>
                <w:rFonts w:ascii="宋体" w:hAnsi="宋体" w:cs="宋体"/>
                <w:szCs w:val="21"/>
              </w:rPr>
            </w:pPr>
            <w:r>
              <w:rPr>
                <w:rFonts w:hint="eastAsia" w:ascii="宋体" w:hAnsi="宋体" w:cs="宋体"/>
                <w:szCs w:val="21"/>
              </w:rPr>
              <w:t>注册地</w:t>
            </w:r>
          </w:p>
        </w:tc>
        <w:tc>
          <w:tcPr>
            <w:tcW w:w="3371" w:type="dxa"/>
            <w:vAlign w:val="center"/>
          </w:tcPr>
          <w:p>
            <w:pPr>
              <w:ind w:firstLine="0" w:firstLineChars="0"/>
              <w:rPr>
                <w:rFonts w:ascii="宋体" w:hAnsi="宋体" w:cs="宋体"/>
                <w:szCs w:val="21"/>
              </w:rPr>
            </w:pPr>
            <w:r>
              <w:rPr>
                <w:rFonts w:hint="eastAsia" w:ascii="宋体" w:hAnsi="宋体" w:cs="宋体"/>
                <w:szCs w:val="21"/>
              </w:rPr>
              <w:t>浙江省杭州市富阳区胥口镇下练村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szCs w:val="21"/>
              </w:rPr>
            </w:pPr>
          </w:p>
        </w:tc>
        <w:tc>
          <w:tcPr>
            <w:tcW w:w="1616" w:type="dxa"/>
            <w:gridSpan w:val="2"/>
            <w:vMerge w:val="restart"/>
            <w:vAlign w:val="center"/>
          </w:tcPr>
          <w:p>
            <w:pPr>
              <w:ind w:firstLine="0" w:firstLineChars="0"/>
              <w:jc w:val="left"/>
              <w:rPr>
                <w:rFonts w:ascii="宋体" w:hAnsi="宋体" w:cs="宋体"/>
                <w:szCs w:val="21"/>
              </w:rPr>
            </w:pPr>
            <w:r>
              <w:rPr>
                <w:rFonts w:hint="eastAsia" w:ascii="宋体" w:hAnsi="宋体" w:cs="宋体"/>
                <w:szCs w:val="21"/>
              </w:rPr>
              <w:t>土地、建筑</w:t>
            </w:r>
          </w:p>
        </w:tc>
        <w:tc>
          <w:tcPr>
            <w:tcW w:w="1628" w:type="dxa"/>
          </w:tcPr>
          <w:p>
            <w:pPr>
              <w:ind w:firstLine="420"/>
              <w:rPr>
                <w:rFonts w:ascii="宋体" w:hAnsi="宋体" w:cs="宋体"/>
                <w:szCs w:val="21"/>
              </w:rPr>
            </w:pPr>
            <w:r>
              <w:rPr>
                <w:rFonts w:hint="eastAsia" w:ascii="宋体" w:hAnsi="宋体" w:cs="宋体"/>
                <w:szCs w:val="21"/>
              </w:rPr>
              <w:t>占地面积</w:t>
            </w:r>
          </w:p>
        </w:tc>
        <w:tc>
          <w:tcPr>
            <w:tcW w:w="4609" w:type="dxa"/>
            <w:gridSpan w:val="2"/>
          </w:tcPr>
          <w:p>
            <w:pPr>
              <w:ind w:firstLine="420"/>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szCs w:val="21"/>
              </w:rPr>
            </w:pPr>
          </w:p>
        </w:tc>
        <w:tc>
          <w:tcPr>
            <w:tcW w:w="1616" w:type="dxa"/>
            <w:gridSpan w:val="2"/>
            <w:vMerge w:val="continue"/>
            <w:vAlign w:val="center"/>
          </w:tcPr>
          <w:p>
            <w:pPr>
              <w:ind w:firstLine="420"/>
              <w:jc w:val="left"/>
              <w:rPr>
                <w:rFonts w:ascii="宋体" w:hAnsi="宋体" w:cs="宋体"/>
                <w:szCs w:val="21"/>
              </w:rPr>
            </w:pPr>
          </w:p>
        </w:tc>
        <w:tc>
          <w:tcPr>
            <w:tcW w:w="1628" w:type="dxa"/>
          </w:tcPr>
          <w:p>
            <w:pPr>
              <w:ind w:firstLine="420"/>
              <w:rPr>
                <w:rFonts w:ascii="宋体" w:hAnsi="宋体" w:cs="宋体"/>
                <w:szCs w:val="21"/>
              </w:rPr>
            </w:pPr>
            <w:r>
              <w:rPr>
                <w:rFonts w:hint="eastAsia" w:ascii="宋体" w:hAnsi="宋体" w:cs="宋体"/>
                <w:szCs w:val="21"/>
              </w:rPr>
              <w:t>建筑面积</w:t>
            </w:r>
          </w:p>
        </w:tc>
        <w:tc>
          <w:tcPr>
            <w:tcW w:w="4609" w:type="dxa"/>
            <w:gridSpan w:val="2"/>
          </w:tcPr>
          <w:p>
            <w:pPr>
              <w:ind w:firstLine="420"/>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90" w:type="dxa"/>
            <w:vMerge w:val="continue"/>
          </w:tcPr>
          <w:p>
            <w:pPr>
              <w:ind w:firstLine="420"/>
              <w:rPr>
                <w:rFonts w:ascii="宋体" w:hAnsi="宋体" w:cs="宋体"/>
                <w:szCs w:val="21"/>
              </w:rPr>
            </w:pPr>
          </w:p>
        </w:tc>
        <w:tc>
          <w:tcPr>
            <w:tcW w:w="1616" w:type="dxa"/>
            <w:gridSpan w:val="2"/>
            <w:vMerge w:val="continue"/>
            <w:vAlign w:val="center"/>
          </w:tcPr>
          <w:p>
            <w:pPr>
              <w:ind w:firstLine="420"/>
              <w:jc w:val="left"/>
              <w:rPr>
                <w:rFonts w:ascii="宋体" w:hAnsi="宋体" w:cs="宋体"/>
                <w:szCs w:val="21"/>
              </w:rPr>
            </w:pPr>
          </w:p>
        </w:tc>
        <w:tc>
          <w:tcPr>
            <w:tcW w:w="1628" w:type="dxa"/>
          </w:tcPr>
          <w:p>
            <w:pPr>
              <w:ind w:firstLine="420"/>
              <w:rPr>
                <w:rFonts w:ascii="宋体" w:hAnsi="宋体" w:cs="宋体"/>
                <w:szCs w:val="21"/>
              </w:rPr>
            </w:pPr>
            <w:r>
              <w:rPr>
                <w:rFonts w:hint="eastAsia" w:ascii="宋体" w:hAnsi="宋体" w:cs="宋体"/>
                <w:szCs w:val="21"/>
              </w:rPr>
              <w:t>土地面积</w:t>
            </w:r>
          </w:p>
        </w:tc>
        <w:tc>
          <w:tcPr>
            <w:tcW w:w="4609" w:type="dxa"/>
            <w:gridSpan w:val="2"/>
          </w:tcPr>
          <w:p>
            <w:pPr>
              <w:ind w:firstLine="420"/>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人员情况</w:t>
            </w:r>
          </w:p>
        </w:tc>
        <w:tc>
          <w:tcPr>
            <w:tcW w:w="6237" w:type="dxa"/>
            <w:gridSpan w:val="3"/>
          </w:tcPr>
          <w:p>
            <w:pPr>
              <w:ind w:firstLine="420"/>
              <w:rPr>
                <w:rFonts w:ascii="宋体" w:hAnsi="宋体" w:cs="宋体"/>
                <w:szCs w:val="21"/>
              </w:rPr>
            </w:pPr>
            <w:r>
              <w:rPr>
                <w:rFonts w:hint="eastAsia" w:ascii="宋体" w:hAnsi="宋体" w:cs="宋体"/>
                <w:szCs w:val="21"/>
              </w:rPr>
              <w:t>职工人数：16人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4" w:hRule="atLeast"/>
        </w:trPr>
        <w:tc>
          <w:tcPr>
            <w:tcW w:w="1190" w:type="dxa"/>
            <w:vMerge w:val="continue"/>
          </w:tcPr>
          <w:p>
            <w:pPr>
              <w:ind w:firstLine="420"/>
              <w:rPr>
                <w:rFonts w:ascii="宋体" w:hAnsi="宋体" w:cs="宋体"/>
                <w:szCs w:val="21"/>
              </w:rPr>
            </w:pPr>
          </w:p>
        </w:tc>
        <w:tc>
          <w:tcPr>
            <w:tcW w:w="1616" w:type="dxa"/>
            <w:gridSpan w:val="2"/>
            <w:vAlign w:val="center"/>
          </w:tcPr>
          <w:p>
            <w:pPr>
              <w:ind w:firstLine="0" w:firstLineChars="0"/>
              <w:jc w:val="left"/>
              <w:rPr>
                <w:rFonts w:ascii="宋体" w:hAnsi="宋体" w:cs="宋体"/>
                <w:szCs w:val="21"/>
              </w:rPr>
            </w:pPr>
            <w:r>
              <w:rPr>
                <w:rFonts w:hint="eastAsia" w:ascii="宋体" w:hAnsi="宋体" w:cs="宋体"/>
                <w:szCs w:val="21"/>
              </w:rPr>
              <w:t>标的企业概述</w:t>
            </w:r>
          </w:p>
        </w:tc>
        <w:tc>
          <w:tcPr>
            <w:tcW w:w="6237" w:type="dxa"/>
            <w:gridSpan w:val="3"/>
          </w:tcPr>
          <w:p>
            <w:pPr>
              <w:ind w:firstLine="420"/>
              <w:rPr>
                <w:rFonts w:ascii="宋体" w:hAnsi="宋体" w:cs="宋体"/>
                <w:szCs w:val="21"/>
              </w:rPr>
            </w:pPr>
            <w:r>
              <w:rPr>
                <w:rFonts w:hint="eastAsia" w:ascii="宋体" w:hAnsi="宋体" w:cs="宋体"/>
                <w:szCs w:val="21"/>
              </w:rPr>
              <w:t>1、标的企业股东持股情况如下（前十位）：浙江海正药业股份有限公司出资</w:t>
            </w:r>
            <w:r>
              <w:rPr>
                <w:rFonts w:ascii="宋体" w:hAnsi="宋体" w:cs="宋体"/>
                <w:szCs w:val="21"/>
              </w:rPr>
              <w:t>100,86.18</w:t>
            </w:r>
            <w:r>
              <w:rPr>
                <w:rFonts w:hint="eastAsia" w:ascii="宋体" w:hAnsi="宋体" w:cs="宋体"/>
                <w:szCs w:val="21"/>
              </w:rPr>
              <w:t>万元，占资比例</w:t>
            </w:r>
            <w:r>
              <w:rPr>
                <w:rFonts w:ascii="宋体" w:hAnsi="宋体" w:cs="宋体"/>
                <w:szCs w:val="21"/>
              </w:rPr>
              <w:t>33.62</w:t>
            </w:r>
            <w:r>
              <w:rPr>
                <w:rFonts w:hint="eastAsia" w:ascii="宋体" w:hAnsi="宋体" w:cs="宋体"/>
                <w:szCs w:val="21"/>
              </w:rPr>
              <w:t>%；海正药业（杭州）有限公司出资</w:t>
            </w:r>
            <w:r>
              <w:rPr>
                <w:rFonts w:ascii="宋体" w:hAnsi="宋体" w:cs="宋体"/>
                <w:szCs w:val="21"/>
              </w:rPr>
              <w:t>199,13.82</w:t>
            </w:r>
            <w:r>
              <w:rPr>
                <w:rFonts w:hint="eastAsia" w:ascii="宋体" w:hAnsi="宋体" w:cs="宋体"/>
                <w:szCs w:val="21"/>
              </w:rPr>
              <w:t>万元，占资比例</w:t>
            </w:r>
            <w:r>
              <w:rPr>
                <w:rFonts w:ascii="宋体" w:hAnsi="宋体" w:cs="宋体"/>
                <w:szCs w:val="21"/>
              </w:rPr>
              <w:t>66.38</w:t>
            </w:r>
            <w:r>
              <w:rPr>
                <w:rFonts w:hint="eastAsia" w:ascii="宋体" w:hAnsi="宋体" w:cs="宋体"/>
                <w:szCs w:val="21"/>
              </w:rPr>
              <w:t>%。</w:t>
            </w:r>
          </w:p>
          <w:p>
            <w:pPr>
              <w:ind w:firstLine="420"/>
              <w:rPr>
                <w:rFonts w:ascii="宋体" w:hAnsi="宋体" w:cs="宋体"/>
                <w:szCs w:val="21"/>
              </w:rPr>
            </w:pPr>
            <w:r>
              <w:rPr>
                <w:rFonts w:hint="eastAsia" w:ascii="宋体" w:hAnsi="宋体" w:cs="宋体"/>
                <w:szCs w:val="21"/>
              </w:rPr>
              <w:t>2、公司经营状况：截止2018年4月30日，公司账面总资产66,937.65万元，账面总负债8,118.22万元，账面净资产58,819.43万元。</w:t>
            </w:r>
          </w:p>
          <w:p>
            <w:pPr>
              <w:ind w:firstLine="420"/>
              <w:rPr>
                <w:rFonts w:ascii="宋体" w:hAnsi="宋体" w:cs="宋体"/>
                <w:szCs w:val="21"/>
                <w:u w:val="single"/>
              </w:rPr>
            </w:pPr>
            <w:r>
              <w:rPr>
                <w:rFonts w:hint="eastAsia" w:ascii="宋体" w:hAnsi="宋体" w:cs="宋体"/>
                <w:szCs w:val="21"/>
              </w:rPr>
              <w:t>3、标的企业股东是否有优先购买权：</w:t>
            </w:r>
            <w:r>
              <w:rPr>
                <w:rFonts w:hint="eastAsia" w:ascii="宋体" w:hAnsi="宋体" w:cs="宋体"/>
                <w:szCs w:val="21"/>
                <w:u w:val="single"/>
              </w:rPr>
              <w:t xml:space="preserve">无 </w:t>
            </w:r>
          </w:p>
          <w:p>
            <w:pPr>
              <w:ind w:firstLine="420"/>
              <w:rPr>
                <w:rFonts w:ascii="宋体" w:hAnsi="宋体" w:cs="宋体"/>
                <w:szCs w:val="21"/>
                <w:u w:val="single"/>
              </w:rPr>
            </w:pPr>
            <w:r>
              <w:rPr>
                <w:rFonts w:hint="eastAsia" w:ascii="宋体" w:hAnsi="宋体" w:cs="宋体"/>
                <w:szCs w:val="21"/>
              </w:rPr>
              <w:t>4、企业管理层是否参与受让:</w:t>
            </w:r>
            <w:r>
              <w:rPr>
                <w:rFonts w:hint="eastAsia" w:ascii="宋体" w:hAnsi="宋体" w:cs="宋体"/>
                <w:szCs w:val="21"/>
                <w:u w:val="single"/>
              </w:rPr>
              <w:t>否</w:t>
            </w:r>
          </w:p>
          <w:p>
            <w:pPr>
              <w:ind w:firstLine="420"/>
              <w:rPr>
                <w:rFonts w:ascii="宋体" w:hAnsi="宋体" w:cs="宋体"/>
                <w:szCs w:val="21"/>
              </w:rPr>
            </w:pPr>
            <w:r>
              <w:rPr>
                <w:rFonts w:hint="eastAsia" w:ascii="宋体" w:hAnsi="宋体" w:cs="宋体"/>
                <w:szCs w:val="21"/>
              </w:rPr>
              <w:t>5、其它信息披露：</w:t>
            </w:r>
          </w:p>
          <w:p>
            <w:pPr>
              <w:numPr>
                <w:ilvl w:val="0"/>
                <w:numId w:val="3"/>
              </w:numPr>
              <w:ind w:firstLine="420"/>
              <w:rPr>
                <w:rFonts w:ascii="宋体" w:hAnsi="宋体" w:cs="宋体"/>
                <w:szCs w:val="21"/>
              </w:rPr>
            </w:pPr>
            <w:r>
              <w:rPr>
                <w:rFonts w:hint="eastAsia" w:ascii="宋体" w:hAnsi="宋体" w:cs="宋体"/>
                <w:szCs w:val="21"/>
              </w:rPr>
              <w:t>本次股权转让完成后，标的企业职工的劳动合同继续有效，其劳动关系、社会保险及住房公积金关系保持不变。</w:t>
            </w:r>
          </w:p>
          <w:p>
            <w:pPr>
              <w:numPr>
                <w:ilvl w:val="0"/>
                <w:numId w:val="3"/>
              </w:numPr>
              <w:ind w:firstLine="420"/>
              <w:rPr>
                <w:rFonts w:ascii="宋体" w:hAnsi="宋体" w:cs="宋体"/>
                <w:szCs w:val="21"/>
              </w:rPr>
            </w:pPr>
            <w:r>
              <w:rPr>
                <w:rFonts w:hint="eastAsia" w:ascii="宋体" w:hAnsi="宋体" w:cs="宋体"/>
                <w:szCs w:val="21"/>
              </w:rPr>
              <w:t>本次股权转让完成后，标的企业所有债权、债务依然由标的企业承继。</w:t>
            </w:r>
          </w:p>
          <w:p>
            <w:pPr>
              <w:numPr>
                <w:ilvl w:val="0"/>
                <w:numId w:val="3"/>
              </w:numPr>
              <w:ind w:firstLine="420"/>
              <w:rPr>
                <w:rFonts w:ascii="宋体" w:hAnsi="宋体" w:cs="宋体"/>
                <w:szCs w:val="21"/>
              </w:rPr>
            </w:pPr>
            <w:r>
              <w:rPr>
                <w:rFonts w:hint="eastAsia" w:ascii="宋体" w:hAnsi="宋体" w:cs="宋体"/>
                <w:szCs w:val="21"/>
              </w:rPr>
              <w:t>股权转让评估基准日（201</w:t>
            </w:r>
            <w:r>
              <w:rPr>
                <w:rFonts w:ascii="宋体" w:hAnsi="宋体" w:cs="宋体"/>
                <w:szCs w:val="21"/>
              </w:rPr>
              <w:t>8</w:t>
            </w:r>
            <w:r>
              <w:rPr>
                <w:rFonts w:hint="eastAsia" w:ascii="宋体" w:hAnsi="宋体" w:cs="宋体"/>
                <w:szCs w:val="21"/>
              </w:rPr>
              <w:t>年</w:t>
            </w:r>
            <w:r>
              <w:rPr>
                <w:rFonts w:ascii="宋体" w:hAnsi="宋体" w:cs="宋体"/>
                <w:szCs w:val="21"/>
              </w:rPr>
              <w:t>4</w:t>
            </w:r>
            <w:r>
              <w:rPr>
                <w:rFonts w:hint="eastAsia" w:ascii="宋体" w:hAnsi="宋体" w:cs="宋体"/>
                <w:szCs w:val="21"/>
              </w:rPr>
              <w:t>月</w:t>
            </w:r>
            <w:r>
              <w:rPr>
                <w:rFonts w:ascii="宋体" w:hAnsi="宋体" w:cs="宋体"/>
                <w:szCs w:val="21"/>
              </w:rPr>
              <w:t>30</w:t>
            </w:r>
            <w:r>
              <w:rPr>
                <w:rFonts w:hint="eastAsia" w:ascii="宋体" w:hAnsi="宋体" w:cs="宋体"/>
                <w:szCs w:val="21"/>
              </w:rPr>
              <w:t>日）至股权转让交割日期间，标的企业经营损益不再进行审计清算，由受让方享有或承担。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9" w:hRule="atLeast"/>
        </w:trPr>
        <w:tc>
          <w:tcPr>
            <w:tcW w:w="2091" w:type="dxa"/>
            <w:gridSpan w:val="2"/>
            <w:vAlign w:val="center"/>
          </w:tcPr>
          <w:p>
            <w:pPr>
              <w:ind w:firstLine="420"/>
              <w:jc w:val="center"/>
              <w:rPr>
                <w:rFonts w:ascii="宋体" w:hAnsi="宋体" w:cs="宋体"/>
                <w:szCs w:val="21"/>
              </w:rPr>
            </w:pPr>
            <w:r>
              <w:rPr>
                <w:rFonts w:hint="eastAsia" w:ascii="宋体" w:hAnsi="宋体" w:cs="宋体"/>
                <w:szCs w:val="21"/>
              </w:rPr>
              <w:t>公告挂牌</w:t>
            </w:r>
          </w:p>
        </w:tc>
        <w:tc>
          <w:tcPr>
            <w:tcW w:w="6952" w:type="dxa"/>
            <w:gridSpan w:val="4"/>
          </w:tcPr>
          <w:p>
            <w:pPr>
              <w:ind w:firstLine="0" w:firstLineChars="0"/>
              <w:rPr>
                <w:rFonts w:ascii="宋体" w:hAnsi="宋体" w:cs="宋体"/>
                <w:szCs w:val="21"/>
              </w:rPr>
            </w:pPr>
            <w:r>
              <w:rPr>
                <w:rFonts w:hint="eastAsia" w:ascii="宋体" w:hAnsi="宋体" w:cs="宋体"/>
                <w:szCs w:val="21"/>
              </w:rPr>
              <w:t>1、公告挂牌期：自2018年11月29日公告日（即挂牌起始日）至2018年12月 26日下午4时整止。</w:t>
            </w:r>
          </w:p>
          <w:p>
            <w:pPr>
              <w:ind w:firstLine="0" w:firstLineChars="0"/>
              <w:rPr>
                <w:rFonts w:ascii="宋体" w:hAnsi="宋体" w:cs="宋体"/>
                <w:szCs w:val="21"/>
              </w:rPr>
            </w:pPr>
            <w:r>
              <w:rPr>
                <w:rFonts w:hint="eastAsia" w:ascii="宋体" w:hAnsi="宋体" w:cs="宋体"/>
                <w:szCs w:val="21"/>
              </w:rPr>
              <w:t>2、本次股权转让公告发布的同时，标的公司浙江海晟药业有限公司同步发布增资项目公告（台交所挂〔2018〕30号）,竞买人资格条件、交易条件、与转让相关的其他条件以增资公告为准，本转让项目不单独接受竞买人办理受让意向登记手续，竞买人须满足“浙江海晟药业有限公司增资项目”的资格条件，并承诺接受所有增资条件，成为增资项目的意向投资方。</w:t>
            </w:r>
          </w:p>
          <w:p>
            <w:pPr>
              <w:ind w:firstLine="0" w:firstLineChars="0"/>
              <w:rPr>
                <w:rFonts w:ascii="宋体" w:hAnsi="宋体" w:cs="宋体"/>
                <w:szCs w:val="21"/>
              </w:rPr>
            </w:pPr>
            <w:r>
              <w:rPr>
                <w:rFonts w:hint="eastAsia" w:ascii="宋体" w:hAnsi="宋体" w:cs="宋体"/>
                <w:szCs w:val="21"/>
              </w:rPr>
              <w:t>3、意向受让人应在报名期间2018年11月29日至12月 26 日下午4：00（节假日除外）到台州市产权交易所办理意向受让登记手续</w:t>
            </w:r>
            <w:r>
              <w:rPr>
                <w:rFonts w:hint="eastAsia" w:ascii="宋体" w:hAnsi="宋体" w:cs="宋体"/>
                <w:szCs w:val="21"/>
                <w:u w:val="single"/>
              </w:rPr>
              <w:t>。</w:t>
            </w:r>
            <w:r>
              <w:rPr>
                <w:rFonts w:hint="eastAsia" w:ascii="宋体" w:hAnsi="宋体" w:cs="宋体"/>
                <w:szCs w:val="21"/>
                <w:u w:val="single"/>
              </w:rPr>
              <w:sym w:font="Times New Roman" w:char="0000"/>
            </w:r>
            <w:r>
              <w:rPr>
                <w:rFonts w:hint="eastAsia" w:ascii="宋体" w:hAnsi="宋体" w:cs="宋体"/>
                <w:szCs w:val="21"/>
                <w:u w:val="single"/>
              </w:rPr>
              <w:t>企业（公司）法人主体资格证明文件，包含企业法人营业执照副本的复印件，法定代表人及授权委托人的身份证明及授权委托书、公司章程、相关决议等相关资料。</w:t>
            </w:r>
            <w:r>
              <w:rPr>
                <w:rFonts w:hint="eastAsia" w:ascii="宋体" w:hAnsi="宋体" w:cs="宋体"/>
                <w:szCs w:val="21"/>
              </w:rPr>
              <w:sym w:font="Times New Roman" w:char="0000"/>
            </w:r>
            <w:r>
              <w:rPr>
                <w:rFonts w:hint="eastAsia" w:ascii="宋体" w:hAnsi="宋体" w:cs="宋体"/>
                <w:szCs w:val="21"/>
              </w:rPr>
              <w:t>缴纳保证金6850万元。</w:t>
            </w:r>
          </w:p>
        </w:tc>
      </w:tr>
    </w:tbl>
    <w:p>
      <w:pPr>
        <w:ind w:firstLine="0" w:firstLineChars="0"/>
        <w:rPr>
          <w:rFonts w:ascii="宋体" w:hAnsi="宋体" w:cs="宋体"/>
          <w:szCs w:val="21"/>
        </w:rPr>
      </w:pPr>
    </w:p>
    <w:tbl>
      <w:tblPr>
        <w:tblStyle w:val="21"/>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840"/>
        <w:gridCol w:w="2100"/>
        <w:gridCol w:w="16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exact"/>
          <w:jc w:val="center"/>
        </w:trPr>
        <w:tc>
          <w:tcPr>
            <w:tcW w:w="1961" w:type="dxa"/>
            <w:vMerge w:val="restart"/>
            <w:vAlign w:val="center"/>
          </w:tcPr>
          <w:p>
            <w:pPr>
              <w:ind w:firstLine="0" w:firstLineChars="0"/>
              <w:jc w:val="center"/>
              <w:rPr>
                <w:rFonts w:ascii="宋体" w:hAnsi="宋体"/>
                <w:b/>
                <w:sz w:val="24"/>
              </w:rPr>
            </w:pPr>
            <w:r>
              <w:rPr>
                <w:rFonts w:hint="eastAsia" w:ascii="宋体" w:hAnsi="宋体"/>
                <w:b/>
                <w:sz w:val="24"/>
              </w:rPr>
              <w:t>主要财务指标</w:t>
            </w:r>
          </w:p>
          <w:p>
            <w:pPr>
              <w:ind w:firstLine="0" w:firstLineChars="0"/>
              <w:jc w:val="center"/>
              <w:rPr>
                <w:rFonts w:ascii="宋体" w:hAnsi="宋体"/>
                <w:b/>
                <w:sz w:val="24"/>
              </w:rPr>
            </w:pPr>
            <w:r>
              <w:rPr>
                <w:rFonts w:hint="eastAsia" w:ascii="宋体" w:hAnsi="宋体"/>
                <w:b/>
                <w:sz w:val="24"/>
              </w:rPr>
              <w:t>（单位：人民币万元）</w:t>
            </w:r>
          </w:p>
        </w:tc>
        <w:tc>
          <w:tcPr>
            <w:tcW w:w="7095" w:type="dxa"/>
            <w:gridSpan w:val="4"/>
            <w:vAlign w:val="center"/>
          </w:tcPr>
          <w:p>
            <w:pPr>
              <w:ind w:firstLine="480"/>
              <w:jc w:val="center"/>
              <w:rPr>
                <w:rFonts w:ascii="宋体" w:hAnsi="宋体"/>
                <w:sz w:val="24"/>
              </w:rPr>
            </w:pPr>
            <w:r>
              <w:rPr>
                <w:rFonts w:hint="eastAsia" w:ascii="宋体" w:hAnsi="宋体"/>
                <w:sz w:val="24"/>
              </w:rPr>
              <w:t>以下数据出自企业年度审计报告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rPr>
            </w:pPr>
          </w:p>
        </w:tc>
        <w:tc>
          <w:tcPr>
            <w:tcW w:w="1840" w:type="dxa"/>
            <w:vAlign w:val="center"/>
          </w:tcPr>
          <w:p>
            <w:pPr>
              <w:ind w:firstLine="0" w:firstLineChars="0"/>
              <w:jc w:val="center"/>
              <w:rPr>
                <w:rFonts w:ascii="宋体" w:hAnsi="宋体"/>
                <w:b/>
                <w:sz w:val="24"/>
              </w:rPr>
            </w:pPr>
            <w:r>
              <w:rPr>
                <w:rFonts w:hint="eastAsia" w:ascii="宋体" w:hAnsi="宋体"/>
                <w:b/>
                <w:sz w:val="24"/>
              </w:rPr>
              <w:t>年度日期</w:t>
            </w:r>
          </w:p>
        </w:tc>
        <w:tc>
          <w:tcPr>
            <w:tcW w:w="2100" w:type="dxa"/>
            <w:vAlign w:val="center"/>
          </w:tcPr>
          <w:p>
            <w:pPr>
              <w:ind w:firstLine="0" w:firstLineChars="0"/>
              <w:jc w:val="center"/>
              <w:rPr>
                <w:rFonts w:ascii="宋体" w:hAnsi="宋体"/>
                <w:b/>
                <w:sz w:val="24"/>
              </w:rPr>
            </w:pPr>
            <w:r>
              <w:rPr>
                <w:rFonts w:hint="eastAsia" w:ascii="宋体" w:hAnsi="宋体"/>
                <w:b/>
                <w:sz w:val="24"/>
              </w:rPr>
              <w:t>资产总计</w:t>
            </w:r>
          </w:p>
        </w:tc>
        <w:tc>
          <w:tcPr>
            <w:tcW w:w="1677" w:type="dxa"/>
            <w:vAlign w:val="center"/>
          </w:tcPr>
          <w:p>
            <w:pPr>
              <w:ind w:firstLine="0" w:firstLineChars="0"/>
              <w:jc w:val="center"/>
              <w:rPr>
                <w:rFonts w:ascii="宋体" w:hAnsi="宋体"/>
                <w:b/>
                <w:sz w:val="24"/>
              </w:rPr>
            </w:pPr>
            <w:r>
              <w:rPr>
                <w:rFonts w:hint="eastAsia" w:ascii="宋体" w:hAnsi="宋体"/>
                <w:b/>
                <w:sz w:val="24"/>
              </w:rPr>
              <w:t>负债总计</w:t>
            </w:r>
          </w:p>
        </w:tc>
        <w:tc>
          <w:tcPr>
            <w:tcW w:w="1478" w:type="dxa"/>
            <w:vAlign w:val="center"/>
          </w:tcPr>
          <w:p>
            <w:pPr>
              <w:ind w:firstLine="0" w:firstLineChars="0"/>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jc w:val="center"/>
              <w:rPr>
                <w:rFonts w:ascii="宋体" w:hAnsi="宋体"/>
                <w:b/>
                <w:sz w:val="24"/>
              </w:rPr>
            </w:pPr>
          </w:p>
        </w:tc>
        <w:tc>
          <w:tcPr>
            <w:tcW w:w="1840" w:type="dxa"/>
            <w:vMerge w:val="restart"/>
            <w:vAlign w:val="center"/>
          </w:tcPr>
          <w:p>
            <w:pPr>
              <w:ind w:firstLine="0" w:firstLineChars="0"/>
              <w:jc w:val="center"/>
              <w:rPr>
                <w:rFonts w:ascii="宋体" w:hAnsi="宋体"/>
                <w:sz w:val="24"/>
                <w:u w:val="single"/>
              </w:rPr>
            </w:pPr>
            <w:r>
              <w:rPr>
                <w:rFonts w:hint="eastAsia" w:ascii="宋体" w:hAnsi="宋体"/>
                <w:sz w:val="24"/>
              </w:rPr>
              <w:t>201</w:t>
            </w:r>
            <w:r>
              <w:rPr>
                <w:rFonts w:ascii="宋体" w:hAnsi="宋体"/>
                <w:sz w:val="24"/>
              </w:rPr>
              <w:t>8</w:t>
            </w:r>
            <w:r>
              <w:rPr>
                <w:rFonts w:hint="eastAsia" w:ascii="宋体" w:hAnsi="宋体"/>
                <w:sz w:val="24"/>
              </w:rPr>
              <w:t>年</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vAlign w:val="center"/>
          </w:tcPr>
          <w:p>
            <w:pPr>
              <w:ind w:firstLine="0" w:firstLineChars="0"/>
              <w:jc w:val="center"/>
              <w:rPr>
                <w:rFonts w:ascii="宋体" w:hAnsi="宋体"/>
                <w:bCs/>
                <w:sz w:val="24"/>
              </w:rPr>
            </w:pPr>
            <w:r>
              <w:rPr>
                <w:rFonts w:ascii="宋体" w:hAnsi="宋体" w:cs="宋体"/>
                <w:sz w:val="20"/>
                <w:szCs w:val="18"/>
              </w:rPr>
              <w:t>66,937.65</w:t>
            </w:r>
          </w:p>
        </w:tc>
        <w:tc>
          <w:tcPr>
            <w:tcW w:w="1677" w:type="dxa"/>
            <w:vAlign w:val="center"/>
          </w:tcPr>
          <w:p>
            <w:pPr>
              <w:ind w:firstLine="0" w:firstLineChars="0"/>
              <w:jc w:val="center"/>
              <w:rPr>
                <w:rFonts w:ascii="宋体" w:hAnsi="宋体"/>
                <w:bCs/>
                <w:sz w:val="24"/>
              </w:rPr>
            </w:pPr>
            <w:r>
              <w:rPr>
                <w:rFonts w:ascii="宋体" w:hAnsi="宋体" w:cs="宋体"/>
                <w:sz w:val="20"/>
                <w:szCs w:val="18"/>
              </w:rPr>
              <w:t>8,118.22</w:t>
            </w:r>
          </w:p>
        </w:tc>
        <w:tc>
          <w:tcPr>
            <w:tcW w:w="1478" w:type="dxa"/>
            <w:vAlign w:val="center"/>
          </w:tcPr>
          <w:p>
            <w:pPr>
              <w:ind w:firstLine="0" w:firstLineChars="0"/>
              <w:jc w:val="center"/>
              <w:rPr>
                <w:rFonts w:ascii="宋体" w:hAnsi="宋体"/>
                <w:bCs/>
                <w:sz w:val="24"/>
              </w:rPr>
            </w:pPr>
            <w:r>
              <w:rPr>
                <w:rFonts w:ascii="宋体" w:hAnsi="宋体" w:cs="宋体"/>
                <w:sz w:val="20"/>
                <w:szCs w:val="18"/>
              </w:rPr>
              <w:t>58,819.43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vMerge w:val="continue"/>
            <w:shd w:val="clear" w:color="auto" w:fill="auto"/>
            <w:vAlign w:val="center"/>
          </w:tcPr>
          <w:p>
            <w:pPr>
              <w:ind w:firstLine="0" w:firstLineChars="0"/>
              <w:jc w:val="center"/>
              <w:rPr>
                <w:rFonts w:ascii="宋体" w:hAnsi="宋体"/>
                <w:sz w:val="24"/>
                <w:u w:val="single"/>
              </w:rPr>
            </w:pPr>
          </w:p>
        </w:tc>
        <w:tc>
          <w:tcPr>
            <w:tcW w:w="2100" w:type="dxa"/>
            <w:shd w:val="clear" w:color="auto" w:fill="auto"/>
            <w:vAlign w:val="center"/>
          </w:tcPr>
          <w:p>
            <w:pPr>
              <w:ind w:firstLine="0" w:firstLineChars="0"/>
              <w:jc w:val="center"/>
              <w:rPr>
                <w:rFonts w:ascii="宋体" w:hAnsi="宋体"/>
                <w:b/>
                <w:sz w:val="24"/>
              </w:rPr>
            </w:pPr>
            <w:r>
              <w:rPr>
                <w:rFonts w:hint="eastAsia" w:ascii="宋体" w:hAnsi="宋体"/>
                <w:b/>
                <w:sz w:val="24"/>
              </w:rPr>
              <w:t>营业收入</w:t>
            </w:r>
          </w:p>
        </w:tc>
        <w:tc>
          <w:tcPr>
            <w:tcW w:w="1677" w:type="dxa"/>
            <w:shd w:val="clear" w:color="auto" w:fill="FFFFFF"/>
            <w:vAlign w:val="center"/>
          </w:tcPr>
          <w:p>
            <w:pPr>
              <w:ind w:firstLine="0" w:firstLineChars="0"/>
              <w:jc w:val="center"/>
              <w:rPr>
                <w:rFonts w:ascii="宋体" w:hAnsi="宋体"/>
                <w:b/>
                <w:sz w:val="24"/>
              </w:rPr>
            </w:pPr>
            <w:r>
              <w:rPr>
                <w:rFonts w:hint="eastAsia" w:ascii="宋体" w:hAnsi="宋体"/>
                <w:b/>
                <w:sz w:val="24"/>
              </w:rPr>
              <w:t>利润总额</w:t>
            </w:r>
          </w:p>
        </w:tc>
        <w:tc>
          <w:tcPr>
            <w:tcW w:w="1478" w:type="dxa"/>
            <w:shd w:val="clear" w:color="auto" w:fill="FFFFFF"/>
            <w:vAlign w:val="center"/>
          </w:tcPr>
          <w:p>
            <w:pPr>
              <w:ind w:firstLine="0" w:firstLineChars="0"/>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vMerge w:val="continue"/>
            <w:shd w:val="clear" w:color="auto" w:fill="auto"/>
            <w:vAlign w:val="center"/>
          </w:tcPr>
          <w:p>
            <w:pPr>
              <w:ind w:firstLine="0" w:firstLineChars="0"/>
              <w:jc w:val="center"/>
              <w:rPr>
                <w:rFonts w:ascii="宋体" w:hAnsi="宋体"/>
                <w:sz w:val="24"/>
                <w:u w:val="single"/>
              </w:rPr>
            </w:pPr>
          </w:p>
        </w:tc>
        <w:tc>
          <w:tcPr>
            <w:tcW w:w="2100" w:type="dxa"/>
            <w:shd w:val="clear" w:color="auto" w:fill="auto"/>
            <w:vAlign w:val="center"/>
          </w:tcPr>
          <w:p>
            <w:pPr>
              <w:ind w:firstLine="0" w:firstLineChars="0"/>
              <w:jc w:val="center"/>
              <w:rPr>
                <w:rFonts w:ascii="宋体" w:hAnsi="宋体"/>
                <w:sz w:val="24"/>
              </w:rPr>
            </w:pPr>
          </w:p>
        </w:tc>
        <w:tc>
          <w:tcPr>
            <w:tcW w:w="1677" w:type="dxa"/>
            <w:shd w:val="clear" w:color="auto" w:fill="FFFFFF"/>
          </w:tcPr>
          <w:p>
            <w:pPr>
              <w:ind w:firstLine="0" w:firstLineChars="0"/>
              <w:jc w:val="center"/>
              <w:rPr>
                <w:rFonts w:ascii="宋体" w:hAnsi="宋体"/>
                <w:sz w:val="24"/>
              </w:rPr>
            </w:pPr>
            <w:r>
              <w:rPr>
                <w:rFonts w:ascii="宋体" w:hAnsi="宋体" w:cs="宋体"/>
                <w:sz w:val="20"/>
                <w:szCs w:val="18"/>
              </w:rPr>
              <w:t>-9.96</w:t>
            </w:r>
          </w:p>
        </w:tc>
        <w:tc>
          <w:tcPr>
            <w:tcW w:w="1478" w:type="dxa"/>
            <w:shd w:val="clear" w:color="auto" w:fill="FFFFFF"/>
          </w:tcPr>
          <w:p>
            <w:pPr>
              <w:ind w:firstLine="0" w:firstLineChars="0"/>
              <w:jc w:val="center"/>
              <w:rPr>
                <w:rFonts w:ascii="宋体" w:hAnsi="宋体"/>
                <w:sz w:val="24"/>
              </w:rPr>
            </w:pPr>
            <w:r>
              <w:rPr>
                <w:rFonts w:ascii="宋体" w:hAnsi="宋体" w:cs="宋体"/>
                <w:sz w:val="20"/>
                <w:szCs w:val="18"/>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1840" w:type="dxa"/>
            <w:shd w:val="clear" w:color="auto" w:fill="auto"/>
            <w:vAlign w:val="center"/>
          </w:tcPr>
          <w:p>
            <w:pPr>
              <w:ind w:firstLine="0" w:firstLineChars="0"/>
              <w:jc w:val="center"/>
              <w:rPr>
                <w:rFonts w:ascii="宋体" w:hAnsi="宋体"/>
                <w:b/>
                <w:sz w:val="24"/>
              </w:rPr>
            </w:pPr>
            <w:r>
              <w:rPr>
                <w:rFonts w:hint="eastAsia" w:ascii="宋体" w:hAnsi="宋体"/>
                <w:b/>
                <w:sz w:val="24"/>
              </w:rPr>
              <w:t>审计机构</w:t>
            </w:r>
          </w:p>
        </w:tc>
        <w:tc>
          <w:tcPr>
            <w:tcW w:w="5255" w:type="dxa"/>
            <w:gridSpan w:val="3"/>
            <w:shd w:val="clear" w:color="auto" w:fill="FFFFFF"/>
            <w:vAlign w:val="center"/>
          </w:tcPr>
          <w:p>
            <w:pPr>
              <w:ind w:firstLine="0" w:firstLineChars="0"/>
              <w:jc w:val="center"/>
              <w:rPr>
                <w:rFonts w:ascii="宋体" w:hAnsi="宋体"/>
                <w:sz w:val="24"/>
              </w:rPr>
            </w:pPr>
            <w:r>
              <w:rPr>
                <w:rFonts w:hint="eastAsia" w:ascii="宋体" w:hAnsi="宋体"/>
                <w:sz w:val="24"/>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sz w:val="24"/>
              </w:rPr>
            </w:pPr>
          </w:p>
        </w:tc>
        <w:tc>
          <w:tcPr>
            <w:tcW w:w="7095" w:type="dxa"/>
            <w:gridSpan w:val="4"/>
            <w:shd w:val="clear" w:color="auto" w:fill="FFFFFF"/>
            <w:vAlign w:val="center"/>
          </w:tcPr>
          <w:p>
            <w:pPr>
              <w:ind w:firstLine="0" w:firstLineChars="0"/>
              <w:jc w:val="center"/>
              <w:rPr>
                <w:rFonts w:ascii="宋体" w:hAnsi="宋体"/>
                <w:sz w:val="24"/>
              </w:rPr>
            </w:pPr>
            <w:r>
              <w:rPr>
                <w:rFonts w:hint="eastAsia" w:ascii="宋体" w:hAnsi="宋体"/>
                <w:sz w:val="24"/>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jc w:val="center"/>
              <w:rPr>
                <w:rFonts w:ascii="宋体" w:hAnsi="宋体"/>
                <w:sz w:val="24"/>
              </w:rPr>
            </w:pPr>
          </w:p>
        </w:tc>
        <w:tc>
          <w:tcPr>
            <w:tcW w:w="1840" w:type="dxa"/>
            <w:shd w:val="clear" w:color="auto" w:fill="auto"/>
            <w:vAlign w:val="center"/>
          </w:tcPr>
          <w:p>
            <w:pPr>
              <w:ind w:firstLine="0" w:firstLineChars="0"/>
              <w:jc w:val="center"/>
              <w:rPr>
                <w:rFonts w:ascii="宋体" w:hAnsi="宋体"/>
                <w:b/>
                <w:sz w:val="24"/>
              </w:rPr>
            </w:pPr>
            <w:r>
              <w:rPr>
                <w:rFonts w:hint="eastAsia" w:ascii="宋体" w:hAnsi="宋体"/>
                <w:b/>
                <w:sz w:val="24"/>
              </w:rPr>
              <w:t>报表日期</w:t>
            </w:r>
          </w:p>
        </w:tc>
        <w:tc>
          <w:tcPr>
            <w:tcW w:w="2100" w:type="dxa"/>
            <w:shd w:val="clear" w:color="auto" w:fill="auto"/>
            <w:vAlign w:val="center"/>
          </w:tcPr>
          <w:p>
            <w:pPr>
              <w:ind w:firstLine="0" w:firstLineChars="0"/>
              <w:jc w:val="center"/>
              <w:rPr>
                <w:rFonts w:ascii="宋体" w:hAnsi="宋体"/>
                <w:b/>
                <w:sz w:val="24"/>
              </w:rPr>
            </w:pPr>
            <w:r>
              <w:rPr>
                <w:rFonts w:hint="eastAsia" w:ascii="宋体" w:hAnsi="宋体"/>
                <w:b/>
                <w:sz w:val="24"/>
              </w:rPr>
              <w:t>资产总计</w:t>
            </w:r>
          </w:p>
        </w:tc>
        <w:tc>
          <w:tcPr>
            <w:tcW w:w="1677" w:type="dxa"/>
            <w:shd w:val="clear" w:color="auto" w:fill="FFFFFF"/>
            <w:vAlign w:val="center"/>
          </w:tcPr>
          <w:p>
            <w:pPr>
              <w:ind w:firstLine="0" w:firstLineChars="0"/>
              <w:jc w:val="center"/>
              <w:rPr>
                <w:rFonts w:ascii="宋体" w:hAnsi="宋体"/>
                <w:b/>
                <w:sz w:val="24"/>
              </w:rPr>
            </w:pPr>
            <w:r>
              <w:rPr>
                <w:rFonts w:hint="eastAsia" w:ascii="宋体" w:hAnsi="宋体"/>
                <w:b/>
                <w:sz w:val="24"/>
              </w:rPr>
              <w:t>负债总计</w:t>
            </w:r>
          </w:p>
        </w:tc>
        <w:tc>
          <w:tcPr>
            <w:tcW w:w="1478" w:type="dxa"/>
            <w:shd w:val="clear" w:color="auto" w:fill="FFFFFF"/>
            <w:vAlign w:val="center"/>
          </w:tcPr>
          <w:p>
            <w:pPr>
              <w:ind w:firstLine="0" w:firstLineChars="0"/>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ind w:firstLine="0" w:firstLineChars="0"/>
              <w:jc w:val="center"/>
              <w:rPr>
                <w:rFonts w:ascii="宋体" w:hAnsi="宋体"/>
                <w:sz w:val="24"/>
              </w:rPr>
            </w:pPr>
            <w:r>
              <w:rPr>
                <w:rFonts w:hint="eastAsia" w:ascii="宋体" w:hAnsi="宋体"/>
                <w:sz w:val="24"/>
              </w:rPr>
              <w:t xml:space="preserve">2018 年 </w:t>
            </w:r>
            <w:r>
              <w:rPr>
                <w:rFonts w:ascii="宋体" w:hAnsi="宋体"/>
                <w:sz w:val="24"/>
              </w:rPr>
              <w:t>4</w:t>
            </w:r>
            <w:r>
              <w:rPr>
                <w:rFonts w:hint="eastAsia" w:ascii="宋体" w:hAnsi="宋体"/>
                <w:sz w:val="24"/>
              </w:rPr>
              <w:t>月3</w:t>
            </w:r>
            <w:r>
              <w:rPr>
                <w:rFonts w:ascii="宋体" w:hAnsi="宋体"/>
                <w:sz w:val="24"/>
              </w:rPr>
              <w:t>0</w:t>
            </w:r>
            <w:r>
              <w:rPr>
                <w:rFonts w:hint="eastAsia" w:ascii="宋体" w:hAnsi="宋体"/>
                <w:sz w:val="24"/>
              </w:rPr>
              <w:t>日</w:t>
            </w:r>
          </w:p>
        </w:tc>
        <w:tc>
          <w:tcPr>
            <w:tcW w:w="2100" w:type="dxa"/>
            <w:shd w:val="clear" w:color="auto" w:fill="auto"/>
            <w:vAlign w:val="center"/>
          </w:tcPr>
          <w:p>
            <w:pPr>
              <w:ind w:firstLine="0" w:firstLineChars="0"/>
              <w:jc w:val="center"/>
              <w:rPr>
                <w:rFonts w:ascii="宋体" w:hAnsi="宋体"/>
                <w:bCs/>
                <w:sz w:val="20"/>
              </w:rPr>
            </w:pPr>
            <w:r>
              <w:rPr>
                <w:rFonts w:ascii="宋体" w:hAnsi="宋体" w:cs="宋体"/>
                <w:sz w:val="20"/>
                <w:szCs w:val="18"/>
              </w:rPr>
              <w:t>66,937.65</w:t>
            </w:r>
          </w:p>
        </w:tc>
        <w:tc>
          <w:tcPr>
            <w:tcW w:w="1677" w:type="dxa"/>
            <w:shd w:val="clear" w:color="auto" w:fill="FFFFFF"/>
            <w:vAlign w:val="center"/>
          </w:tcPr>
          <w:p>
            <w:pPr>
              <w:ind w:firstLine="0" w:firstLineChars="0"/>
              <w:jc w:val="center"/>
              <w:rPr>
                <w:rFonts w:ascii="宋体" w:hAnsi="宋体"/>
                <w:bCs/>
                <w:sz w:val="20"/>
              </w:rPr>
            </w:pPr>
            <w:r>
              <w:rPr>
                <w:rFonts w:ascii="宋体" w:hAnsi="宋体" w:cs="宋体"/>
                <w:sz w:val="20"/>
                <w:szCs w:val="18"/>
              </w:rPr>
              <w:t>8,118.22</w:t>
            </w:r>
          </w:p>
        </w:tc>
        <w:tc>
          <w:tcPr>
            <w:tcW w:w="1478" w:type="dxa"/>
            <w:shd w:val="clear" w:color="auto" w:fill="FFFFFF"/>
            <w:vAlign w:val="center"/>
          </w:tcPr>
          <w:p>
            <w:pPr>
              <w:ind w:firstLine="0" w:firstLineChars="0"/>
              <w:jc w:val="center"/>
              <w:rPr>
                <w:rFonts w:ascii="宋体" w:hAnsi="宋体"/>
                <w:bCs/>
                <w:sz w:val="20"/>
              </w:rPr>
            </w:pPr>
            <w:r>
              <w:rPr>
                <w:rFonts w:ascii="宋体" w:hAnsi="宋体" w:cs="宋体"/>
                <w:sz w:val="20"/>
                <w:szCs w:val="18"/>
              </w:rPr>
              <w:t>58,819.43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ind w:firstLine="0" w:firstLineChars="0"/>
              <w:jc w:val="center"/>
              <w:rPr>
                <w:rFonts w:ascii="宋体" w:hAnsi="宋体"/>
                <w:b/>
                <w:sz w:val="24"/>
              </w:rPr>
            </w:pPr>
            <w:r>
              <w:rPr>
                <w:rFonts w:hint="eastAsia" w:ascii="宋体" w:hAnsi="宋体"/>
                <w:b/>
                <w:sz w:val="24"/>
              </w:rPr>
              <w:t>报表类型</w:t>
            </w:r>
          </w:p>
        </w:tc>
        <w:tc>
          <w:tcPr>
            <w:tcW w:w="2100" w:type="dxa"/>
            <w:shd w:val="clear" w:color="auto" w:fill="auto"/>
            <w:vAlign w:val="center"/>
          </w:tcPr>
          <w:p>
            <w:pPr>
              <w:ind w:firstLine="0" w:firstLineChars="0"/>
              <w:jc w:val="center"/>
              <w:rPr>
                <w:rFonts w:ascii="宋体" w:hAnsi="宋体"/>
                <w:b/>
                <w:sz w:val="24"/>
              </w:rPr>
            </w:pPr>
            <w:r>
              <w:rPr>
                <w:rFonts w:hint="eastAsia" w:ascii="宋体" w:hAnsi="宋体"/>
                <w:b/>
                <w:sz w:val="24"/>
              </w:rPr>
              <w:t>营业收入</w:t>
            </w:r>
          </w:p>
        </w:tc>
        <w:tc>
          <w:tcPr>
            <w:tcW w:w="1677" w:type="dxa"/>
            <w:shd w:val="clear" w:color="auto" w:fill="FFFFFF"/>
            <w:vAlign w:val="center"/>
          </w:tcPr>
          <w:p>
            <w:pPr>
              <w:ind w:firstLine="0" w:firstLineChars="0"/>
              <w:jc w:val="center"/>
              <w:rPr>
                <w:rFonts w:ascii="宋体" w:hAnsi="宋体"/>
                <w:b/>
                <w:sz w:val="24"/>
              </w:rPr>
            </w:pPr>
            <w:r>
              <w:rPr>
                <w:rFonts w:hint="eastAsia" w:ascii="宋体" w:hAnsi="宋体"/>
                <w:b/>
                <w:sz w:val="24"/>
              </w:rPr>
              <w:t>利润总额</w:t>
            </w:r>
          </w:p>
        </w:tc>
        <w:tc>
          <w:tcPr>
            <w:tcW w:w="1478" w:type="dxa"/>
            <w:shd w:val="clear" w:color="auto" w:fill="FFFFFF"/>
            <w:vAlign w:val="center"/>
          </w:tcPr>
          <w:p>
            <w:pPr>
              <w:ind w:firstLine="0" w:firstLineChars="0"/>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rPr>
                <w:rFonts w:ascii="宋体" w:hAnsi="宋体"/>
                <w:sz w:val="24"/>
              </w:rPr>
            </w:pPr>
          </w:p>
        </w:tc>
        <w:tc>
          <w:tcPr>
            <w:tcW w:w="1840" w:type="dxa"/>
            <w:shd w:val="clear" w:color="auto" w:fill="auto"/>
            <w:vAlign w:val="center"/>
          </w:tcPr>
          <w:p>
            <w:pPr>
              <w:ind w:firstLine="0" w:firstLineChars="0"/>
              <w:jc w:val="center"/>
              <w:rPr>
                <w:rFonts w:ascii="宋体" w:hAnsi="宋体"/>
                <w:sz w:val="24"/>
              </w:rPr>
            </w:pPr>
            <w:r>
              <w:rPr>
                <w:rFonts w:hint="eastAsia" w:ascii="宋体" w:hAnsi="宋体"/>
                <w:sz w:val="24"/>
              </w:rPr>
              <w:t>月报</w:t>
            </w:r>
            <w:r>
              <w:rPr>
                <w:rFonts w:hint="eastAsia" w:ascii="宋体" w:hAnsi="宋体"/>
              </w:rPr>
              <w:t>表</w:t>
            </w:r>
          </w:p>
        </w:tc>
        <w:tc>
          <w:tcPr>
            <w:tcW w:w="2100" w:type="dxa"/>
            <w:shd w:val="clear" w:color="auto" w:fill="auto"/>
            <w:vAlign w:val="center"/>
          </w:tcPr>
          <w:p>
            <w:pPr>
              <w:ind w:firstLine="0" w:firstLineChars="0"/>
              <w:jc w:val="center"/>
              <w:rPr>
                <w:rFonts w:ascii="宋体" w:hAnsi="宋体"/>
                <w:sz w:val="24"/>
              </w:rPr>
            </w:pPr>
          </w:p>
        </w:tc>
        <w:tc>
          <w:tcPr>
            <w:tcW w:w="1677" w:type="dxa"/>
            <w:shd w:val="clear" w:color="auto" w:fill="FFFFFF"/>
          </w:tcPr>
          <w:p>
            <w:pPr>
              <w:ind w:firstLine="0" w:firstLineChars="0"/>
              <w:jc w:val="center"/>
              <w:rPr>
                <w:rFonts w:ascii="宋体" w:hAnsi="宋体"/>
                <w:sz w:val="20"/>
              </w:rPr>
            </w:pPr>
            <w:r>
              <w:rPr>
                <w:rFonts w:ascii="宋体" w:hAnsi="宋体" w:cs="宋体"/>
                <w:sz w:val="20"/>
                <w:szCs w:val="18"/>
              </w:rPr>
              <w:t>-9.96</w:t>
            </w:r>
          </w:p>
        </w:tc>
        <w:tc>
          <w:tcPr>
            <w:tcW w:w="1478" w:type="dxa"/>
            <w:shd w:val="clear" w:color="auto" w:fill="FFFFFF"/>
          </w:tcPr>
          <w:p>
            <w:pPr>
              <w:ind w:firstLine="0" w:firstLineChars="0"/>
              <w:jc w:val="center"/>
              <w:rPr>
                <w:rFonts w:ascii="宋体" w:hAnsi="宋体"/>
                <w:sz w:val="20"/>
              </w:rPr>
            </w:pPr>
            <w:r>
              <w:rPr>
                <w:rFonts w:ascii="宋体" w:hAnsi="宋体" w:cs="宋体"/>
                <w:sz w:val="20"/>
                <w:szCs w:val="18"/>
              </w:rPr>
              <w:t>-9.96</w:t>
            </w:r>
          </w:p>
        </w:tc>
      </w:tr>
    </w:tbl>
    <w:p>
      <w:pPr>
        <w:ind w:firstLine="0" w:firstLineChars="0"/>
        <w:rPr>
          <w:rFonts w:ascii="宋体" w:hAnsi="宋体" w:cs="宋体"/>
          <w:szCs w:val="21"/>
        </w:rPr>
      </w:pPr>
    </w:p>
    <w:tbl>
      <w:tblPr>
        <w:tblStyle w:val="21"/>
        <w:tblW w:w="902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9029" w:type="dxa"/>
          </w:tcPr>
          <w:p>
            <w:pPr>
              <w:ind w:firstLine="420"/>
              <w:jc w:val="center"/>
              <w:rPr>
                <w:rFonts w:ascii="宋体" w:hAnsi="宋体" w:cs="宋体"/>
              </w:rPr>
            </w:pPr>
            <w:bookmarkStart w:id="23" w:name="待定11"/>
            <w:r>
              <w:rPr>
                <w:rFonts w:hint="eastAsia" w:ascii="宋体" w:hAnsi="宋体" w:cs="宋体"/>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9029" w:type="dxa"/>
          </w:tcPr>
          <w:p>
            <w:pPr>
              <w:ind w:left="1365" w:hanging="1365" w:hangingChars="650"/>
              <w:rPr>
                <w:rFonts w:ascii="宋体" w:hAnsi="宋体" w:cs="宋体"/>
              </w:rPr>
            </w:pPr>
            <w:r>
              <w:rPr>
                <w:rFonts w:hint="eastAsia" w:ascii="宋体" w:hAnsi="宋体" w:cs="宋体"/>
              </w:rPr>
              <w:t>出资监管单位名称： 椒江区国资局</w:t>
            </w:r>
          </w:p>
          <w:p>
            <w:pPr>
              <w:ind w:left="1365" w:hanging="1365" w:hangingChars="650"/>
              <w:rPr>
                <w:rFonts w:ascii="宋体" w:hAnsi="宋体" w:cs="宋体"/>
              </w:rPr>
            </w:pPr>
            <w:r>
              <w:rPr>
                <w:rFonts w:hint="eastAsia" w:ascii="宋体" w:hAnsi="宋体" w:cs="宋体"/>
              </w:rPr>
              <w:t>批复文件号：椒国资〔2018〕14号《关于同意浙江海晟药业有限公司增资扩股及转让海正杭州公司持有的海晟药业部分股权方案的批复》</w:t>
            </w:r>
          </w:p>
          <w:p>
            <w:pPr>
              <w:ind w:left="1365" w:hanging="1365" w:hangingChars="650"/>
              <w:rPr>
                <w:rFonts w:ascii="宋体" w:hAnsi="宋体" w:cs="宋体"/>
              </w:rPr>
            </w:pPr>
            <w:r>
              <w:rPr>
                <w:rFonts w:hint="eastAsia" w:ascii="宋体" w:hAnsi="宋体" w:cs="宋体"/>
              </w:rPr>
              <w:t>批复主要内容：同意公开挂牌转让。</w:t>
            </w:r>
          </w:p>
          <w:p>
            <w:pPr>
              <w:ind w:left="1365" w:hanging="1365" w:hangingChars="650"/>
              <w:rPr>
                <w:rFonts w:ascii="宋体" w:hAnsi="宋体" w:cs="宋体"/>
              </w:rPr>
            </w:pPr>
            <w:r>
              <w:rPr>
                <w:rFonts w:hint="eastAsia" w:ascii="宋体" w:hAnsi="宋体" w:cs="宋体"/>
              </w:rPr>
              <w:t>内部决策文件：海正药业2018年第五次临时股东大会决议。</w:t>
            </w:r>
          </w:p>
          <w:p>
            <w:pPr>
              <w:ind w:left="1365" w:hanging="1365" w:hangingChars="650"/>
              <w:rPr>
                <w:rFonts w:ascii="宋体" w:hAnsi="宋体" w:cs="宋体"/>
              </w:rPr>
            </w:pPr>
            <w:r>
              <w:rPr>
                <w:rFonts w:hint="eastAsia" w:ascii="宋体" w:hAnsi="宋体" w:cs="宋体"/>
              </w:rPr>
              <w:t xml:space="preserve">内部决策文件主要内容： 同意公开转让。 </w:t>
            </w:r>
          </w:p>
        </w:tc>
      </w:tr>
      <w:bookmarkEnd w:id="23"/>
    </w:tbl>
    <w:p>
      <w:pPr>
        <w:ind w:firstLine="422"/>
        <w:rPr>
          <w:rFonts w:ascii="宋体" w:hAnsi="宋体" w:cs="宋体"/>
          <w:b/>
          <w:szCs w:val="21"/>
        </w:rPr>
      </w:pPr>
    </w:p>
    <w:tbl>
      <w:tblPr>
        <w:tblStyle w:val="21"/>
        <w:tblW w:w="91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501"/>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89" w:type="dxa"/>
            <w:vMerge w:val="restart"/>
            <w:vAlign w:val="center"/>
          </w:tcPr>
          <w:p>
            <w:pPr>
              <w:ind w:firstLine="0" w:firstLineChars="0"/>
              <w:jc w:val="center"/>
              <w:rPr>
                <w:rFonts w:ascii="宋体" w:hAnsi="宋体" w:cs="宋体"/>
                <w:b/>
                <w:szCs w:val="21"/>
              </w:rPr>
            </w:pPr>
            <w:r>
              <w:rPr>
                <w:rFonts w:hint="eastAsia" w:ascii="宋体" w:hAnsi="宋体" w:cs="宋体"/>
                <w:b/>
                <w:szCs w:val="21"/>
              </w:rPr>
              <w:t>中介机构</w:t>
            </w:r>
          </w:p>
        </w:tc>
        <w:tc>
          <w:tcPr>
            <w:tcW w:w="3501" w:type="dxa"/>
            <w:vAlign w:val="center"/>
          </w:tcPr>
          <w:p>
            <w:pPr>
              <w:ind w:firstLine="422"/>
              <w:jc w:val="center"/>
              <w:rPr>
                <w:rFonts w:ascii="宋体" w:hAnsi="宋体" w:cs="宋体"/>
                <w:b/>
                <w:szCs w:val="21"/>
              </w:rPr>
            </w:pPr>
            <w:r>
              <w:rPr>
                <w:rFonts w:hint="eastAsia" w:ascii="宋体" w:hAnsi="宋体" w:cs="宋体"/>
                <w:b/>
                <w:szCs w:val="21"/>
              </w:rPr>
              <w:t>律 师 事 务 所</w:t>
            </w:r>
          </w:p>
        </w:tc>
        <w:tc>
          <w:tcPr>
            <w:tcW w:w="4350" w:type="dxa"/>
            <w:vAlign w:val="center"/>
          </w:tcPr>
          <w:p>
            <w:pPr>
              <w:ind w:firstLine="420"/>
              <w:jc w:val="center"/>
              <w:rPr>
                <w:rFonts w:ascii="宋体" w:hAnsi="宋体" w:cs="宋体"/>
                <w:szCs w:val="21"/>
              </w:rPr>
            </w:pPr>
            <w:r>
              <w:rPr>
                <w:rFonts w:hint="eastAsia" w:ascii="宋体" w:hAnsi="宋体" w:cs="宋体"/>
                <w:szCs w:val="21"/>
              </w:rPr>
              <w:t>锦天城律师事务所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89" w:type="dxa"/>
            <w:vMerge w:val="continue"/>
            <w:vAlign w:val="center"/>
          </w:tcPr>
          <w:p>
            <w:pPr>
              <w:ind w:firstLine="422"/>
              <w:jc w:val="center"/>
              <w:rPr>
                <w:rFonts w:ascii="宋体" w:hAnsi="宋体" w:cs="宋体"/>
                <w:b/>
                <w:szCs w:val="21"/>
              </w:rPr>
            </w:pPr>
          </w:p>
        </w:tc>
        <w:tc>
          <w:tcPr>
            <w:tcW w:w="3501" w:type="dxa"/>
            <w:vAlign w:val="center"/>
          </w:tcPr>
          <w:p>
            <w:pPr>
              <w:ind w:firstLine="422"/>
              <w:jc w:val="center"/>
              <w:rPr>
                <w:rFonts w:ascii="宋体" w:hAnsi="宋体" w:cs="宋体"/>
                <w:b/>
                <w:szCs w:val="21"/>
              </w:rPr>
            </w:pPr>
            <w:r>
              <w:rPr>
                <w:rFonts w:hint="eastAsia" w:ascii="宋体" w:hAnsi="宋体" w:cs="宋体"/>
                <w:b/>
                <w:szCs w:val="21"/>
              </w:rPr>
              <w:t>会 计 师 事 务 所</w:t>
            </w:r>
          </w:p>
        </w:tc>
        <w:tc>
          <w:tcPr>
            <w:tcW w:w="4350" w:type="dxa"/>
            <w:vAlign w:val="center"/>
          </w:tcPr>
          <w:p>
            <w:pPr>
              <w:ind w:firstLine="420"/>
              <w:jc w:val="center"/>
              <w:rPr>
                <w:rFonts w:ascii="宋体" w:hAnsi="宋体" w:cs="宋体"/>
                <w:szCs w:val="21"/>
              </w:rPr>
            </w:pPr>
            <w:r>
              <w:rPr>
                <w:rFonts w:hint="eastAsia" w:ascii="宋体" w:hAnsi="宋体" w:cs="宋体"/>
                <w:szCs w:val="21"/>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89" w:type="dxa"/>
            <w:vMerge w:val="continue"/>
            <w:vAlign w:val="center"/>
          </w:tcPr>
          <w:p>
            <w:pPr>
              <w:ind w:firstLine="422"/>
              <w:jc w:val="center"/>
              <w:rPr>
                <w:rFonts w:ascii="宋体" w:hAnsi="宋体" w:cs="宋体"/>
                <w:b/>
                <w:szCs w:val="21"/>
              </w:rPr>
            </w:pPr>
          </w:p>
        </w:tc>
        <w:tc>
          <w:tcPr>
            <w:tcW w:w="3501" w:type="dxa"/>
            <w:vAlign w:val="center"/>
          </w:tcPr>
          <w:p>
            <w:pPr>
              <w:ind w:firstLine="422"/>
              <w:jc w:val="center"/>
              <w:rPr>
                <w:rFonts w:ascii="宋体" w:hAnsi="宋体" w:cs="宋体"/>
                <w:b/>
                <w:szCs w:val="21"/>
              </w:rPr>
            </w:pPr>
            <w:r>
              <w:rPr>
                <w:rFonts w:hint="eastAsia" w:ascii="宋体" w:hAnsi="宋体" w:cs="宋体"/>
                <w:b/>
                <w:szCs w:val="21"/>
              </w:rPr>
              <w:t>评 估 事 务 所</w:t>
            </w:r>
          </w:p>
        </w:tc>
        <w:tc>
          <w:tcPr>
            <w:tcW w:w="4350" w:type="dxa"/>
            <w:vAlign w:val="center"/>
          </w:tcPr>
          <w:p>
            <w:pPr>
              <w:ind w:firstLine="420"/>
              <w:jc w:val="center"/>
              <w:rPr>
                <w:rFonts w:ascii="宋体" w:hAnsi="宋体" w:cs="宋体"/>
                <w:szCs w:val="21"/>
              </w:rPr>
            </w:pPr>
            <w:r>
              <w:rPr>
                <w:rFonts w:hint="eastAsia" w:ascii="宋体" w:hAnsi="宋体" w:cs="宋体"/>
                <w:szCs w:val="21"/>
              </w:rPr>
              <w:t>坤元资产评估有限公司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289" w:type="dxa"/>
            <w:vMerge w:val="continue"/>
            <w:vAlign w:val="center"/>
          </w:tcPr>
          <w:p>
            <w:pPr>
              <w:ind w:firstLine="422"/>
              <w:jc w:val="center"/>
              <w:rPr>
                <w:rFonts w:ascii="宋体" w:hAnsi="宋体" w:cs="宋体"/>
                <w:b/>
                <w:szCs w:val="21"/>
              </w:rPr>
            </w:pPr>
          </w:p>
        </w:tc>
        <w:tc>
          <w:tcPr>
            <w:tcW w:w="3501" w:type="dxa"/>
            <w:vAlign w:val="center"/>
          </w:tcPr>
          <w:p>
            <w:pPr>
              <w:ind w:firstLine="422"/>
              <w:jc w:val="center"/>
              <w:rPr>
                <w:rFonts w:ascii="宋体" w:hAnsi="宋体" w:cs="宋体"/>
                <w:b/>
                <w:szCs w:val="21"/>
              </w:rPr>
            </w:pPr>
            <w:r>
              <w:rPr>
                <w:rFonts w:hint="eastAsia" w:ascii="宋体" w:hAnsi="宋体" w:cs="宋体"/>
                <w:b/>
                <w:szCs w:val="21"/>
              </w:rPr>
              <w:t>评 估 基 准 日</w:t>
            </w:r>
          </w:p>
        </w:tc>
        <w:tc>
          <w:tcPr>
            <w:tcW w:w="4350" w:type="dxa"/>
            <w:vAlign w:val="center"/>
          </w:tcPr>
          <w:p>
            <w:pPr>
              <w:ind w:firstLine="420"/>
              <w:jc w:val="center"/>
              <w:rPr>
                <w:rFonts w:ascii="宋体" w:hAnsi="宋体" w:cs="宋体"/>
                <w:szCs w:val="21"/>
              </w:rPr>
            </w:pPr>
            <w:r>
              <w:rPr>
                <w:rFonts w:hint="eastAsia" w:ascii="宋体" w:hAnsi="宋体" w:cs="宋体"/>
                <w:szCs w:val="21"/>
              </w:rPr>
              <w:t>201</w:t>
            </w:r>
            <w:r>
              <w:rPr>
                <w:rFonts w:ascii="宋体" w:hAnsi="宋体" w:cs="宋体"/>
                <w:szCs w:val="21"/>
              </w:rPr>
              <w:t>8</w:t>
            </w:r>
            <w:r>
              <w:rPr>
                <w:rFonts w:hint="eastAsia" w:ascii="宋体" w:hAnsi="宋体" w:cs="宋体"/>
                <w:szCs w:val="21"/>
              </w:rPr>
              <w:t>年</w:t>
            </w:r>
            <w:r>
              <w:rPr>
                <w:rFonts w:ascii="宋体" w:hAnsi="宋体" w:cs="宋体"/>
                <w:szCs w:val="21"/>
              </w:rPr>
              <w:t>4</w:t>
            </w:r>
            <w:r>
              <w:rPr>
                <w:rFonts w:hint="eastAsia" w:ascii="宋体" w:hAnsi="宋体" w:cs="宋体"/>
                <w:szCs w:val="21"/>
              </w:rPr>
              <w:t>月</w:t>
            </w:r>
            <w:r>
              <w:rPr>
                <w:rFonts w:ascii="宋体" w:hAnsi="宋体" w:cs="宋体"/>
                <w:szCs w:val="21"/>
              </w:rPr>
              <w:t>30</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9" w:type="dxa"/>
            <w:vMerge w:val="continue"/>
            <w:vAlign w:val="center"/>
          </w:tcPr>
          <w:p>
            <w:pPr>
              <w:ind w:firstLine="422"/>
              <w:jc w:val="center"/>
              <w:rPr>
                <w:rFonts w:ascii="宋体" w:hAnsi="宋体" w:cs="宋体"/>
                <w:b/>
                <w:szCs w:val="21"/>
              </w:rPr>
            </w:pPr>
          </w:p>
        </w:tc>
        <w:tc>
          <w:tcPr>
            <w:tcW w:w="3501" w:type="dxa"/>
            <w:vAlign w:val="center"/>
          </w:tcPr>
          <w:p>
            <w:pPr>
              <w:ind w:firstLine="422"/>
              <w:jc w:val="center"/>
              <w:rPr>
                <w:rFonts w:ascii="宋体" w:hAnsi="宋体" w:cs="宋体"/>
                <w:b/>
                <w:szCs w:val="21"/>
              </w:rPr>
            </w:pPr>
            <w:r>
              <w:rPr>
                <w:rFonts w:hint="eastAsia" w:ascii="宋体" w:hAnsi="宋体" w:cs="宋体"/>
                <w:b/>
                <w:szCs w:val="21"/>
              </w:rPr>
              <w:t>评估核准（备案）机构</w:t>
            </w:r>
          </w:p>
        </w:tc>
        <w:tc>
          <w:tcPr>
            <w:tcW w:w="4350" w:type="dxa"/>
            <w:vAlign w:val="center"/>
          </w:tcPr>
          <w:p>
            <w:pPr>
              <w:ind w:firstLine="420"/>
              <w:jc w:val="center"/>
              <w:rPr>
                <w:rFonts w:ascii="宋体" w:hAnsi="宋体" w:cs="宋体"/>
                <w:szCs w:val="21"/>
              </w:rPr>
            </w:pPr>
            <w:r>
              <w:rPr>
                <w:rFonts w:hint="eastAsia" w:ascii="宋体" w:hAnsi="宋体" w:cs="宋体"/>
                <w:szCs w:val="21"/>
              </w:rPr>
              <w:t>椒江区国资局</w:t>
            </w:r>
          </w:p>
          <w:p>
            <w:pPr>
              <w:ind w:firstLine="420"/>
              <w:jc w:val="center"/>
              <w:rPr>
                <w:rFonts w:ascii="宋体" w:hAnsi="宋体" w:cs="宋体"/>
                <w:szCs w:val="21"/>
              </w:rPr>
            </w:pPr>
            <w:r>
              <w:rPr>
                <w:rFonts w:hint="eastAsia" w:ascii="宋体" w:hAnsi="宋体" w:cs="宋体"/>
                <w:szCs w:val="21"/>
              </w:rPr>
              <w:t>核准□  备案</w:t>
            </w:r>
            <w:r>
              <w:rPr>
                <w:rFonts w:hint="eastAsia" w:ascii="宋体" w:hAnsi="宋体" w:cs="宋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89" w:type="dxa"/>
            <w:vAlign w:val="center"/>
          </w:tcPr>
          <w:p>
            <w:pPr>
              <w:ind w:firstLine="0" w:firstLineChars="0"/>
              <w:jc w:val="center"/>
              <w:rPr>
                <w:rFonts w:ascii="宋体" w:hAnsi="宋体" w:cs="宋体"/>
                <w:b/>
                <w:szCs w:val="21"/>
              </w:rPr>
            </w:pPr>
            <w:bookmarkStart w:id="24" w:name="待定12" w:colFirst="1" w:colLast="1"/>
            <w:r>
              <w:rPr>
                <w:rFonts w:hint="eastAsia" w:ascii="宋体" w:hAnsi="宋体" w:cs="宋体"/>
                <w:b/>
                <w:szCs w:val="21"/>
              </w:rPr>
              <w:t>对受让方的要求</w:t>
            </w:r>
          </w:p>
        </w:tc>
        <w:tc>
          <w:tcPr>
            <w:tcW w:w="7851" w:type="dxa"/>
            <w:gridSpan w:val="2"/>
            <w:vAlign w:val="center"/>
          </w:tcPr>
          <w:p>
            <w:pPr>
              <w:ind w:firstLine="420"/>
              <w:jc w:val="left"/>
              <w:rPr>
                <w:rFonts w:ascii="宋体" w:hAnsi="宋体" w:cs="宋体"/>
                <w:szCs w:val="21"/>
              </w:rPr>
            </w:pPr>
            <w:r>
              <w:rPr>
                <w:rFonts w:hint="eastAsia" w:ascii="宋体" w:hAnsi="宋体" w:cs="宋体"/>
                <w:szCs w:val="21"/>
              </w:rPr>
              <w:t>1、本次股权转让公告发布的同时，标的公司浙江海晟药业有限公司同步发布增资项目公告（台交所挂〔2018〕30号）,意向投资人应符合本项目的全部资格条件、并承诺接受所有增资条件。意向投资人在获得资格确认并按时缴纳足额保证金后，同时获得本项目的受让资格，且意向投资人必须参与该股权份额受让。</w:t>
            </w:r>
          </w:p>
          <w:p>
            <w:pPr>
              <w:ind w:firstLine="420"/>
              <w:jc w:val="left"/>
              <w:rPr>
                <w:rFonts w:ascii="宋体" w:hAnsi="宋体" w:cs="宋体"/>
                <w:szCs w:val="21"/>
              </w:rPr>
            </w:pPr>
            <w:r>
              <w:rPr>
                <w:rFonts w:hint="eastAsia" w:ascii="宋体" w:hAnsi="宋体" w:cs="宋体"/>
                <w:szCs w:val="21"/>
              </w:rPr>
              <w:t>2、增资项目确定最终投资人、确定增资价格、确定原股东转让增资人部分股权的成交价格，本意向投资人与其他股东共同签署《股权转让协议》和《增资协议》。</w:t>
            </w:r>
          </w:p>
        </w:tc>
      </w:tr>
      <w:bookmarkEnd w:id="24"/>
    </w:tbl>
    <w:p>
      <w:pPr>
        <w:pStyle w:val="2"/>
        <w:spacing w:before="100" w:beforeAutospacing="1" w:after="100" w:afterAutospacing="1" w:line="360" w:lineRule="auto"/>
        <w:jc w:val="center"/>
        <w:rPr>
          <w:sz w:val="36"/>
        </w:rPr>
      </w:pPr>
      <w:r>
        <w:rPr>
          <w:rFonts w:ascii="宋体" w:hAnsi="宋体"/>
          <w:sz w:val="28"/>
          <w:szCs w:val="28"/>
        </w:rPr>
        <w:br w:type="page"/>
      </w:r>
      <w:bookmarkStart w:id="25" w:name="_Toc528773697"/>
      <w:r>
        <w:rPr>
          <w:rFonts w:hint="eastAsia"/>
          <w:sz w:val="36"/>
        </w:rPr>
        <w:t>台州市产权交易所有限公司</w:t>
      </w:r>
      <w:r>
        <w:rPr>
          <w:rFonts w:hint="eastAsia"/>
          <w:sz w:val="36"/>
        </w:rPr>
        <w:br w:type="textWrapping"/>
      </w:r>
      <w:r>
        <w:rPr>
          <w:rFonts w:hint="eastAsia"/>
          <w:sz w:val="36"/>
        </w:rPr>
        <w:t>简  介</w:t>
      </w:r>
      <w:bookmarkEnd w:id="25"/>
    </w:p>
    <w:p>
      <w:pPr>
        <w:spacing w:line="348" w:lineRule="auto"/>
        <w:ind w:firstLine="480"/>
        <w:rPr>
          <w:rFonts w:ascii="宋体" w:hAnsi="宋体"/>
          <w:sz w:val="24"/>
        </w:rPr>
      </w:pPr>
      <w:r>
        <w:rPr>
          <w:rFonts w:hint="eastAsia" w:ascii="宋体" w:hAnsi="宋体"/>
          <w:sz w:val="24"/>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480"/>
        <w:rPr>
          <w:rFonts w:ascii="宋体" w:hAnsi="宋体"/>
          <w:sz w:val="24"/>
        </w:rPr>
      </w:pPr>
      <w:r>
        <w:rPr>
          <w:rFonts w:hint="eastAsia" w:ascii="宋体" w:hAnsi="宋体"/>
          <w:sz w:val="24"/>
        </w:rPr>
        <w:t>台州市产权交易所有限公司为全市非上市股份有限公司的股权转让，市属企事业单位的改制与国有资本的流动，公共资源交易以及其他各类企业的产权交易提供服务。</w:t>
      </w:r>
    </w:p>
    <w:p>
      <w:pPr>
        <w:spacing w:line="348" w:lineRule="auto"/>
        <w:ind w:firstLine="480"/>
        <w:rPr>
          <w:rFonts w:ascii="宋体" w:hAnsi="宋体"/>
          <w:sz w:val="24"/>
        </w:rPr>
      </w:pPr>
      <w:r>
        <w:rPr>
          <w:rFonts w:hint="eastAsia" w:ascii="宋体" w:hAnsi="宋体"/>
          <w:sz w:val="24"/>
        </w:rPr>
        <w:t>台州市产权交易所有限公司的业务领域为：</w:t>
      </w:r>
    </w:p>
    <w:p>
      <w:pPr>
        <w:numPr>
          <w:ilvl w:val="0"/>
          <w:numId w:val="4"/>
        </w:numPr>
        <w:spacing w:line="348" w:lineRule="auto"/>
        <w:ind w:left="20" w:firstLine="480"/>
        <w:rPr>
          <w:rFonts w:ascii="宋体" w:hAnsi="宋体"/>
          <w:sz w:val="24"/>
        </w:rPr>
      </w:pPr>
      <w:r>
        <w:rPr>
          <w:rFonts w:hint="eastAsia" w:ascii="宋体" w:hAnsi="宋体"/>
          <w:sz w:val="24"/>
        </w:rPr>
        <w:t>企事业单位的国有产权转让服务；</w:t>
      </w:r>
    </w:p>
    <w:p>
      <w:pPr>
        <w:numPr>
          <w:ilvl w:val="0"/>
          <w:numId w:val="4"/>
        </w:numPr>
        <w:spacing w:line="348" w:lineRule="auto"/>
        <w:ind w:left="20" w:firstLine="480"/>
        <w:rPr>
          <w:rFonts w:ascii="宋体" w:hAnsi="宋体"/>
          <w:sz w:val="24"/>
        </w:rPr>
      </w:pPr>
      <w:r>
        <w:rPr>
          <w:rFonts w:hint="eastAsia" w:ascii="宋体" w:hAnsi="宋体"/>
          <w:sz w:val="24"/>
        </w:rPr>
        <w:t>公共资源交易服务；</w:t>
      </w:r>
    </w:p>
    <w:p>
      <w:pPr>
        <w:numPr>
          <w:ilvl w:val="0"/>
          <w:numId w:val="4"/>
        </w:numPr>
        <w:spacing w:line="348" w:lineRule="auto"/>
        <w:ind w:left="20" w:firstLine="480"/>
        <w:rPr>
          <w:rFonts w:ascii="宋体" w:hAnsi="宋体"/>
          <w:sz w:val="24"/>
        </w:rPr>
      </w:pPr>
      <w:r>
        <w:rPr>
          <w:rFonts w:hint="eastAsia" w:ascii="宋体" w:hAnsi="宋体"/>
          <w:sz w:val="24"/>
        </w:rPr>
        <w:t>非上市股份有限公司股权转让平台；</w:t>
      </w:r>
    </w:p>
    <w:p>
      <w:pPr>
        <w:numPr>
          <w:ilvl w:val="0"/>
          <w:numId w:val="4"/>
        </w:numPr>
        <w:spacing w:line="348" w:lineRule="auto"/>
        <w:ind w:left="20" w:firstLine="480"/>
        <w:rPr>
          <w:rFonts w:ascii="宋体" w:hAnsi="宋体"/>
          <w:sz w:val="24"/>
        </w:rPr>
      </w:pPr>
      <w:r>
        <w:rPr>
          <w:rFonts w:hint="eastAsia" w:ascii="宋体" w:hAnsi="宋体"/>
          <w:sz w:val="24"/>
        </w:rPr>
        <w:t>拟开展股权托管、质押服务；</w:t>
      </w:r>
    </w:p>
    <w:p>
      <w:pPr>
        <w:numPr>
          <w:ilvl w:val="0"/>
          <w:numId w:val="4"/>
        </w:numPr>
        <w:spacing w:line="348" w:lineRule="auto"/>
        <w:ind w:left="20" w:firstLine="480"/>
        <w:rPr>
          <w:rFonts w:ascii="宋体" w:hAnsi="宋体"/>
          <w:sz w:val="24"/>
        </w:rPr>
      </w:pPr>
      <w:r>
        <w:rPr>
          <w:rFonts w:hint="eastAsia" w:ascii="宋体" w:hAnsi="宋体"/>
          <w:sz w:val="24"/>
        </w:rPr>
        <w:t>其他各类企业的产权交易服务；</w:t>
      </w:r>
    </w:p>
    <w:p>
      <w:pPr>
        <w:numPr>
          <w:ilvl w:val="0"/>
          <w:numId w:val="4"/>
        </w:numPr>
        <w:spacing w:line="348" w:lineRule="auto"/>
        <w:ind w:left="20" w:firstLine="480"/>
        <w:rPr>
          <w:rFonts w:ascii="宋体" w:hAnsi="宋体"/>
          <w:sz w:val="24"/>
        </w:rPr>
      </w:pPr>
      <w:r>
        <w:rPr>
          <w:rFonts w:hint="eastAsia" w:ascii="宋体" w:hAnsi="宋体"/>
          <w:sz w:val="24"/>
        </w:rPr>
        <w:t>招商引资服务；</w:t>
      </w:r>
    </w:p>
    <w:p>
      <w:pPr>
        <w:numPr>
          <w:ilvl w:val="0"/>
          <w:numId w:val="4"/>
        </w:numPr>
        <w:spacing w:line="348" w:lineRule="auto"/>
        <w:ind w:left="20" w:firstLine="480"/>
        <w:rPr>
          <w:rFonts w:ascii="宋体" w:hAnsi="宋体"/>
          <w:sz w:val="24"/>
        </w:rPr>
      </w:pPr>
      <w:r>
        <w:rPr>
          <w:rFonts w:hint="eastAsia" w:ascii="宋体" w:hAnsi="宋体"/>
          <w:sz w:val="24"/>
        </w:rPr>
        <w:t>项目合作及融资服务；</w:t>
      </w:r>
    </w:p>
    <w:p>
      <w:pPr>
        <w:numPr>
          <w:ilvl w:val="0"/>
          <w:numId w:val="4"/>
        </w:numPr>
        <w:spacing w:line="348" w:lineRule="auto"/>
        <w:ind w:left="20" w:firstLine="480"/>
        <w:rPr>
          <w:rFonts w:ascii="宋体" w:hAnsi="宋体"/>
          <w:sz w:val="24"/>
        </w:rPr>
      </w:pPr>
      <w:r>
        <w:rPr>
          <w:rFonts w:hint="eastAsia" w:ascii="宋体" w:hAnsi="宋体"/>
          <w:sz w:val="24"/>
        </w:rPr>
        <w:t>各种相关的培训、咨询业务。</w:t>
      </w:r>
    </w:p>
    <w:p>
      <w:pPr>
        <w:spacing w:line="348" w:lineRule="auto"/>
        <w:ind w:firstLine="480"/>
        <w:rPr>
          <w:rFonts w:ascii="宋体" w:hAnsi="宋体"/>
          <w:sz w:val="24"/>
        </w:rPr>
      </w:pPr>
      <w:r>
        <w:rPr>
          <w:rFonts w:hint="eastAsia" w:ascii="宋体" w:hAnsi="宋体"/>
          <w:sz w:val="24"/>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480"/>
        <w:rPr>
          <w:rFonts w:ascii="宋体" w:hAnsi="宋体"/>
          <w:sz w:val="24"/>
        </w:rPr>
      </w:pPr>
      <w:r>
        <w:rPr>
          <w:rFonts w:hint="eastAsia" w:ascii="宋体" w:hAnsi="宋体"/>
          <w:sz w:val="24"/>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line="348" w:lineRule="auto"/>
        <w:ind w:firstLine="480"/>
      </w:pPr>
      <w:r>
        <w:rPr>
          <w:rFonts w:hint="eastAsia" w:ascii="宋体" w:hAnsi="宋体"/>
          <w:sz w:val="24"/>
        </w:rPr>
        <w:t>台州市产权交易所有限公司位于台州市市府大道777号浙江民泰商业银行五楼，邮编：318000，电话：0576-88685180，传真：0576-88685177，网址:www.tzpre.com。</w:t>
      </w:r>
    </w:p>
    <w:p>
      <w:pPr>
        <w:spacing w:line="348" w:lineRule="auto"/>
        <w:ind w:firstLine="420"/>
      </w:pPr>
    </w:p>
    <w:sectPr>
      <w:footerReference r:id="rId10" w:type="default"/>
      <w:pgSz w:w="11906" w:h="16838"/>
      <w:pgMar w:top="1440" w:right="1531" w:bottom="898" w:left="1531" w:header="851" w:footer="76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5910" cy="153035"/>
              <wp:effectExtent l="0" t="0" r="8890" b="18415"/>
              <wp:wrapNone/>
              <wp:docPr id="1" name="文本框1"/>
              <wp:cNvGraphicFramePr/>
              <a:graphic xmlns:a="http://schemas.openxmlformats.org/drawingml/2006/main">
                <a:graphicData uri="http://schemas.microsoft.com/office/word/2010/wordprocessingShape">
                  <wps:wsp>
                    <wps:cNvSpPr txBox="1">
                      <a:spLocks noChangeArrowheads="1"/>
                    </wps:cNvSpPr>
                    <wps:spPr bwMode="auto">
                      <a:xfrm>
                        <a:off x="0" y="0"/>
                        <a:ext cx="295910" cy="153035"/>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1" o:spid="_x0000_s1026" o:spt="202" type="#_x0000_t202" style="position:absolute;left:0pt;margin-top:0pt;height:12.05pt;width:23.3pt;mso-position-horizontal:center;mso-position-horizontal-relative:margin;mso-wrap-style:none;z-index:251658240;mso-width-relative:page;mso-height-relative:page;" filled="f" stroked="f" coordsize="21600,21600" o:gfxdata="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we4HTRAAAA&#10;AwEAAA8AAAAAAAAAAQAgAAAAIgAAAGRycy9kb3ducmV2LnhtbFBLAQIUABQAAAAIAIdO4kAv9iG4&#10;6wEAALMDAAAOAAAAAAAAAAEAIAAAACABAABkcnMvZTJvRG9jLnhtbFBLBQYAAAAABgAGAFkBAAB9&#10;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485C"/>
    <w:multiLevelType w:val="singleLevel"/>
    <w:tmpl w:val="8EA4485C"/>
    <w:lvl w:ilvl="0" w:tentative="0">
      <w:start w:val="1"/>
      <w:numFmt w:val="decimalEnclosedCircleChinese"/>
      <w:suff w:val="nothing"/>
      <w:lvlText w:val="%1　"/>
      <w:lvlJc w:val="left"/>
      <w:pPr>
        <w:ind w:left="0" w:firstLine="400"/>
      </w:pPr>
      <w:rPr>
        <w:rFonts w:hint="eastAsia"/>
      </w:rPr>
    </w:lvl>
  </w:abstractNum>
  <w:abstractNum w:abstractNumId="1">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4A4A7152"/>
    <w:multiLevelType w:val="singleLevel"/>
    <w:tmpl w:val="4A4A7152"/>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A4"/>
    <w:rsid w:val="00004570"/>
    <w:rsid w:val="000100E9"/>
    <w:rsid w:val="00012229"/>
    <w:rsid w:val="00016FF9"/>
    <w:rsid w:val="000231FA"/>
    <w:rsid w:val="000269A0"/>
    <w:rsid w:val="00030FDD"/>
    <w:rsid w:val="00035CD1"/>
    <w:rsid w:val="00042AE4"/>
    <w:rsid w:val="00044671"/>
    <w:rsid w:val="00044EEF"/>
    <w:rsid w:val="0004738D"/>
    <w:rsid w:val="0005023E"/>
    <w:rsid w:val="00051756"/>
    <w:rsid w:val="00053F41"/>
    <w:rsid w:val="00055B16"/>
    <w:rsid w:val="00061267"/>
    <w:rsid w:val="00076964"/>
    <w:rsid w:val="000821AA"/>
    <w:rsid w:val="000824F7"/>
    <w:rsid w:val="000834BF"/>
    <w:rsid w:val="0008505F"/>
    <w:rsid w:val="0009243F"/>
    <w:rsid w:val="00092941"/>
    <w:rsid w:val="0009400B"/>
    <w:rsid w:val="000A2955"/>
    <w:rsid w:val="000B0A55"/>
    <w:rsid w:val="000B4100"/>
    <w:rsid w:val="000B57BE"/>
    <w:rsid w:val="000C2ED3"/>
    <w:rsid w:val="000D2808"/>
    <w:rsid w:val="000D6918"/>
    <w:rsid w:val="000D748B"/>
    <w:rsid w:val="000F222B"/>
    <w:rsid w:val="000F2B25"/>
    <w:rsid w:val="000F4BDE"/>
    <w:rsid w:val="000F4FC2"/>
    <w:rsid w:val="00107782"/>
    <w:rsid w:val="00111EEF"/>
    <w:rsid w:val="00123207"/>
    <w:rsid w:val="0013072D"/>
    <w:rsid w:val="00130F44"/>
    <w:rsid w:val="001411F8"/>
    <w:rsid w:val="00152B1C"/>
    <w:rsid w:val="00172A27"/>
    <w:rsid w:val="001732B4"/>
    <w:rsid w:val="0017552D"/>
    <w:rsid w:val="00181778"/>
    <w:rsid w:val="001906A5"/>
    <w:rsid w:val="0019344B"/>
    <w:rsid w:val="001A552C"/>
    <w:rsid w:val="001A6562"/>
    <w:rsid w:val="001A6B32"/>
    <w:rsid w:val="001B1846"/>
    <w:rsid w:val="001B1BB0"/>
    <w:rsid w:val="001B2579"/>
    <w:rsid w:val="001E22AF"/>
    <w:rsid w:val="001E6520"/>
    <w:rsid w:val="001F1090"/>
    <w:rsid w:val="001F45F7"/>
    <w:rsid w:val="001F686F"/>
    <w:rsid w:val="00203894"/>
    <w:rsid w:val="0020610C"/>
    <w:rsid w:val="00206FA1"/>
    <w:rsid w:val="002109C2"/>
    <w:rsid w:val="0022652F"/>
    <w:rsid w:val="00233B14"/>
    <w:rsid w:val="00243FE1"/>
    <w:rsid w:val="002549FC"/>
    <w:rsid w:val="00273818"/>
    <w:rsid w:val="00286A13"/>
    <w:rsid w:val="00290B7C"/>
    <w:rsid w:val="00291931"/>
    <w:rsid w:val="002A0B21"/>
    <w:rsid w:val="002A1D9D"/>
    <w:rsid w:val="002D7C8A"/>
    <w:rsid w:val="002F798F"/>
    <w:rsid w:val="00303B50"/>
    <w:rsid w:val="00311FBA"/>
    <w:rsid w:val="00321650"/>
    <w:rsid w:val="003244F2"/>
    <w:rsid w:val="00330648"/>
    <w:rsid w:val="00334804"/>
    <w:rsid w:val="00337FB6"/>
    <w:rsid w:val="003415BD"/>
    <w:rsid w:val="0034479B"/>
    <w:rsid w:val="00353443"/>
    <w:rsid w:val="00384DF0"/>
    <w:rsid w:val="0038651E"/>
    <w:rsid w:val="0039580F"/>
    <w:rsid w:val="003A1C58"/>
    <w:rsid w:val="003A3B6C"/>
    <w:rsid w:val="003A7E15"/>
    <w:rsid w:val="003B02FE"/>
    <w:rsid w:val="003B1430"/>
    <w:rsid w:val="003B7C17"/>
    <w:rsid w:val="003D179C"/>
    <w:rsid w:val="003D6C02"/>
    <w:rsid w:val="004008DA"/>
    <w:rsid w:val="004073F2"/>
    <w:rsid w:val="00420AFC"/>
    <w:rsid w:val="00423FEF"/>
    <w:rsid w:val="004308F6"/>
    <w:rsid w:val="00441E7D"/>
    <w:rsid w:val="00442BD4"/>
    <w:rsid w:val="00444A32"/>
    <w:rsid w:val="00445ACB"/>
    <w:rsid w:val="00446855"/>
    <w:rsid w:val="00446939"/>
    <w:rsid w:val="004643D4"/>
    <w:rsid w:val="00466C23"/>
    <w:rsid w:val="00476299"/>
    <w:rsid w:val="004773C1"/>
    <w:rsid w:val="00483EBA"/>
    <w:rsid w:val="004A24BD"/>
    <w:rsid w:val="004B1C67"/>
    <w:rsid w:val="004C0741"/>
    <w:rsid w:val="004E00AD"/>
    <w:rsid w:val="004E24EF"/>
    <w:rsid w:val="004E4ECF"/>
    <w:rsid w:val="004F7EA6"/>
    <w:rsid w:val="00514204"/>
    <w:rsid w:val="00541110"/>
    <w:rsid w:val="00552BCA"/>
    <w:rsid w:val="005542C7"/>
    <w:rsid w:val="00554476"/>
    <w:rsid w:val="00561389"/>
    <w:rsid w:val="00562536"/>
    <w:rsid w:val="00566176"/>
    <w:rsid w:val="005754A4"/>
    <w:rsid w:val="00576B2C"/>
    <w:rsid w:val="00577F67"/>
    <w:rsid w:val="00595F8F"/>
    <w:rsid w:val="005A308E"/>
    <w:rsid w:val="005A331C"/>
    <w:rsid w:val="005A68FE"/>
    <w:rsid w:val="005B6B2C"/>
    <w:rsid w:val="005C1CFB"/>
    <w:rsid w:val="005D3834"/>
    <w:rsid w:val="005D6A68"/>
    <w:rsid w:val="005F1842"/>
    <w:rsid w:val="00601AFE"/>
    <w:rsid w:val="00602183"/>
    <w:rsid w:val="006104A6"/>
    <w:rsid w:val="00613BDA"/>
    <w:rsid w:val="006234A0"/>
    <w:rsid w:val="00627243"/>
    <w:rsid w:val="00662AB1"/>
    <w:rsid w:val="00663610"/>
    <w:rsid w:val="0066459F"/>
    <w:rsid w:val="00671F88"/>
    <w:rsid w:val="00675801"/>
    <w:rsid w:val="00676EFE"/>
    <w:rsid w:val="00694709"/>
    <w:rsid w:val="006B7891"/>
    <w:rsid w:val="006C2661"/>
    <w:rsid w:val="006C67FE"/>
    <w:rsid w:val="006E1B66"/>
    <w:rsid w:val="006F7310"/>
    <w:rsid w:val="007056AE"/>
    <w:rsid w:val="00717C6C"/>
    <w:rsid w:val="00724D65"/>
    <w:rsid w:val="00744E0D"/>
    <w:rsid w:val="007600EB"/>
    <w:rsid w:val="00775C53"/>
    <w:rsid w:val="00785FC1"/>
    <w:rsid w:val="00792174"/>
    <w:rsid w:val="007A3D7D"/>
    <w:rsid w:val="007B6D93"/>
    <w:rsid w:val="007D635C"/>
    <w:rsid w:val="007D68CD"/>
    <w:rsid w:val="007E1DD1"/>
    <w:rsid w:val="007E59F5"/>
    <w:rsid w:val="007F0311"/>
    <w:rsid w:val="007F7693"/>
    <w:rsid w:val="00803220"/>
    <w:rsid w:val="00810429"/>
    <w:rsid w:val="00822178"/>
    <w:rsid w:val="00823D5C"/>
    <w:rsid w:val="00831ADD"/>
    <w:rsid w:val="00835105"/>
    <w:rsid w:val="00835A2F"/>
    <w:rsid w:val="00851F7A"/>
    <w:rsid w:val="008551B5"/>
    <w:rsid w:val="00860CF4"/>
    <w:rsid w:val="008737A7"/>
    <w:rsid w:val="0088350F"/>
    <w:rsid w:val="00894904"/>
    <w:rsid w:val="0089657E"/>
    <w:rsid w:val="008A7333"/>
    <w:rsid w:val="008B0412"/>
    <w:rsid w:val="008D1AC9"/>
    <w:rsid w:val="008D71A8"/>
    <w:rsid w:val="008E1B7A"/>
    <w:rsid w:val="008E659E"/>
    <w:rsid w:val="008F5FEB"/>
    <w:rsid w:val="008F6847"/>
    <w:rsid w:val="0090434F"/>
    <w:rsid w:val="00905FB5"/>
    <w:rsid w:val="0092377C"/>
    <w:rsid w:val="00931359"/>
    <w:rsid w:val="00947C8E"/>
    <w:rsid w:val="0096031B"/>
    <w:rsid w:val="00980DAF"/>
    <w:rsid w:val="00994531"/>
    <w:rsid w:val="00994D89"/>
    <w:rsid w:val="009D2B02"/>
    <w:rsid w:val="009E024B"/>
    <w:rsid w:val="009E7B32"/>
    <w:rsid w:val="009F0F7F"/>
    <w:rsid w:val="009F1215"/>
    <w:rsid w:val="009F3794"/>
    <w:rsid w:val="00A20883"/>
    <w:rsid w:val="00A21133"/>
    <w:rsid w:val="00A413CA"/>
    <w:rsid w:val="00A44E7F"/>
    <w:rsid w:val="00A47F3B"/>
    <w:rsid w:val="00A54333"/>
    <w:rsid w:val="00A56449"/>
    <w:rsid w:val="00A663BF"/>
    <w:rsid w:val="00A67B10"/>
    <w:rsid w:val="00A74760"/>
    <w:rsid w:val="00AA13CA"/>
    <w:rsid w:val="00AA7E0D"/>
    <w:rsid w:val="00AD1A7D"/>
    <w:rsid w:val="00AD2B0B"/>
    <w:rsid w:val="00AD6028"/>
    <w:rsid w:val="00AE3C82"/>
    <w:rsid w:val="00AE7FCB"/>
    <w:rsid w:val="00AF7F4E"/>
    <w:rsid w:val="00B07CFC"/>
    <w:rsid w:val="00B136F0"/>
    <w:rsid w:val="00B23E51"/>
    <w:rsid w:val="00B3390F"/>
    <w:rsid w:val="00B463C3"/>
    <w:rsid w:val="00B506B7"/>
    <w:rsid w:val="00B549C8"/>
    <w:rsid w:val="00B57858"/>
    <w:rsid w:val="00B656C6"/>
    <w:rsid w:val="00B718F0"/>
    <w:rsid w:val="00B86DB1"/>
    <w:rsid w:val="00B86DE9"/>
    <w:rsid w:val="00B90BC4"/>
    <w:rsid w:val="00B92A50"/>
    <w:rsid w:val="00BA08B8"/>
    <w:rsid w:val="00BA1299"/>
    <w:rsid w:val="00BB548D"/>
    <w:rsid w:val="00BB6F95"/>
    <w:rsid w:val="00BD1E38"/>
    <w:rsid w:val="00BD4139"/>
    <w:rsid w:val="00BE431F"/>
    <w:rsid w:val="00BE7994"/>
    <w:rsid w:val="00BF1E1E"/>
    <w:rsid w:val="00C00383"/>
    <w:rsid w:val="00C03D5D"/>
    <w:rsid w:val="00C12AF9"/>
    <w:rsid w:val="00C21E6C"/>
    <w:rsid w:val="00C347D1"/>
    <w:rsid w:val="00C538E7"/>
    <w:rsid w:val="00C6046E"/>
    <w:rsid w:val="00C6585E"/>
    <w:rsid w:val="00C664E3"/>
    <w:rsid w:val="00C925EC"/>
    <w:rsid w:val="00C97DE6"/>
    <w:rsid w:val="00CC445A"/>
    <w:rsid w:val="00CD22BB"/>
    <w:rsid w:val="00CD6404"/>
    <w:rsid w:val="00CF0A6D"/>
    <w:rsid w:val="00D01E34"/>
    <w:rsid w:val="00D0333F"/>
    <w:rsid w:val="00D10AB9"/>
    <w:rsid w:val="00D11FB1"/>
    <w:rsid w:val="00D1511E"/>
    <w:rsid w:val="00D21344"/>
    <w:rsid w:val="00D2459F"/>
    <w:rsid w:val="00D36A55"/>
    <w:rsid w:val="00D37301"/>
    <w:rsid w:val="00D431B7"/>
    <w:rsid w:val="00D51CF5"/>
    <w:rsid w:val="00D64160"/>
    <w:rsid w:val="00D77044"/>
    <w:rsid w:val="00D81EFD"/>
    <w:rsid w:val="00D83892"/>
    <w:rsid w:val="00D914DF"/>
    <w:rsid w:val="00D945D6"/>
    <w:rsid w:val="00D953BB"/>
    <w:rsid w:val="00DA0308"/>
    <w:rsid w:val="00DA27CD"/>
    <w:rsid w:val="00DA47D0"/>
    <w:rsid w:val="00DB7AA5"/>
    <w:rsid w:val="00DC6543"/>
    <w:rsid w:val="00DE799D"/>
    <w:rsid w:val="00DF6FEC"/>
    <w:rsid w:val="00E06CA7"/>
    <w:rsid w:val="00E10F45"/>
    <w:rsid w:val="00E12828"/>
    <w:rsid w:val="00E14C86"/>
    <w:rsid w:val="00E204F2"/>
    <w:rsid w:val="00E21A11"/>
    <w:rsid w:val="00E220CD"/>
    <w:rsid w:val="00E269FC"/>
    <w:rsid w:val="00E27BED"/>
    <w:rsid w:val="00E334A6"/>
    <w:rsid w:val="00E5218B"/>
    <w:rsid w:val="00E67D7F"/>
    <w:rsid w:val="00E72409"/>
    <w:rsid w:val="00E72F3F"/>
    <w:rsid w:val="00E7791B"/>
    <w:rsid w:val="00E85573"/>
    <w:rsid w:val="00E85AF8"/>
    <w:rsid w:val="00EA6762"/>
    <w:rsid w:val="00EB0662"/>
    <w:rsid w:val="00EC7738"/>
    <w:rsid w:val="00ED08FB"/>
    <w:rsid w:val="00ED1F46"/>
    <w:rsid w:val="00ED3366"/>
    <w:rsid w:val="00EE0E71"/>
    <w:rsid w:val="00EF47E1"/>
    <w:rsid w:val="00EF4BC5"/>
    <w:rsid w:val="00EF536C"/>
    <w:rsid w:val="00EF5618"/>
    <w:rsid w:val="00F004DC"/>
    <w:rsid w:val="00F3462B"/>
    <w:rsid w:val="00F35A8E"/>
    <w:rsid w:val="00F44299"/>
    <w:rsid w:val="00F44A9B"/>
    <w:rsid w:val="00F510F6"/>
    <w:rsid w:val="00F51C7D"/>
    <w:rsid w:val="00F547C0"/>
    <w:rsid w:val="00F744D7"/>
    <w:rsid w:val="00F767A8"/>
    <w:rsid w:val="00F77EBF"/>
    <w:rsid w:val="00F9042D"/>
    <w:rsid w:val="00F9465B"/>
    <w:rsid w:val="00FB7AB6"/>
    <w:rsid w:val="00FD0D99"/>
    <w:rsid w:val="00FE1E62"/>
    <w:rsid w:val="00FF01F7"/>
    <w:rsid w:val="011A5255"/>
    <w:rsid w:val="019849E0"/>
    <w:rsid w:val="021B2E3A"/>
    <w:rsid w:val="02C36E7D"/>
    <w:rsid w:val="03596622"/>
    <w:rsid w:val="03A42C8F"/>
    <w:rsid w:val="03AB5609"/>
    <w:rsid w:val="03E40A94"/>
    <w:rsid w:val="0422582F"/>
    <w:rsid w:val="0441390A"/>
    <w:rsid w:val="047B475B"/>
    <w:rsid w:val="048B795B"/>
    <w:rsid w:val="04C554BC"/>
    <w:rsid w:val="04E812CF"/>
    <w:rsid w:val="04F110A3"/>
    <w:rsid w:val="04F34B2A"/>
    <w:rsid w:val="057B74E1"/>
    <w:rsid w:val="05E00B17"/>
    <w:rsid w:val="05EB178E"/>
    <w:rsid w:val="05F44340"/>
    <w:rsid w:val="062C3CDB"/>
    <w:rsid w:val="067F115E"/>
    <w:rsid w:val="06AC0CFD"/>
    <w:rsid w:val="06E42D81"/>
    <w:rsid w:val="06FB1611"/>
    <w:rsid w:val="07071B14"/>
    <w:rsid w:val="08352586"/>
    <w:rsid w:val="08A60D55"/>
    <w:rsid w:val="094C4E3A"/>
    <w:rsid w:val="095D1AD4"/>
    <w:rsid w:val="09D943BB"/>
    <w:rsid w:val="09DE0F7A"/>
    <w:rsid w:val="0A4A7484"/>
    <w:rsid w:val="0A4B1F9D"/>
    <w:rsid w:val="0A4D3DB0"/>
    <w:rsid w:val="0AF31DC3"/>
    <w:rsid w:val="0B3705F5"/>
    <w:rsid w:val="0B3D1FE1"/>
    <w:rsid w:val="0BC802E9"/>
    <w:rsid w:val="0BD41778"/>
    <w:rsid w:val="0C2A5FAD"/>
    <w:rsid w:val="0C983675"/>
    <w:rsid w:val="0CF01B2C"/>
    <w:rsid w:val="0D122AFA"/>
    <w:rsid w:val="0D416E2E"/>
    <w:rsid w:val="0D6B128A"/>
    <w:rsid w:val="0DEA21FC"/>
    <w:rsid w:val="0EA74A99"/>
    <w:rsid w:val="0F3109D9"/>
    <w:rsid w:val="0F3F0DD5"/>
    <w:rsid w:val="0F5350BB"/>
    <w:rsid w:val="0F8D6445"/>
    <w:rsid w:val="0F943237"/>
    <w:rsid w:val="105421D6"/>
    <w:rsid w:val="108D72DA"/>
    <w:rsid w:val="11134B92"/>
    <w:rsid w:val="1124702B"/>
    <w:rsid w:val="11354A9E"/>
    <w:rsid w:val="11512479"/>
    <w:rsid w:val="11754288"/>
    <w:rsid w:val="120913E9"/>
    <w:rsid w:val="122B34E8"/>
    <w:rsid w:val="12613505"/>
    <w:rsid w:val="12852636"/>
    <w:rsid w:val="12C72BBC"/>
    <w:rsid w:val="13726ECD"/>
    <w:rsid w:val="13B341E1"/>
    <w:rsid w:val="14144A88"/>
    <w:rsid w:val="142D1517"/>
    <w:rsid w:val="144430CC"/>
    <w:rsid w:val="14492AA6"/>
    <w:rsid w:val="149312D1"/>
    <w:rsid w:val="14A20267"/>
    <w:rsid w:val="14BC0E10"/>
    <w:rsid w:val="15203773"/>
    <w:rsid w:val="15D34A26"/>
    <w:rsid w:val="16353371"/>
    <w:rsid w:val="16A84292"/>
    <w:rsid w:val="17053F41"/>
    <w:rsid w:val="1736138F"/>
    <w:rsid w:val="17BC7379"/>
    <w:rsid w:val="17EC403A"/>
    <w:rsid w:val="18B235B3"/>
    <w:rsid w:val="19190F3D"/>
    <w:rsid w:val="19331F1F"/>
    <w:rsid w:val="193D193A"/>
    <w:rsid w:val="195D392C"/>
    <w:rsid w:val="19E27688"/>
    <w:rsid w:val="1A166A87"/>
    <w:rsid w:val="1A1F47EB"/>
    <w:rsid w:val="1A7136C6"/>
    <w:rsid w:val="1ABD725B"/>
    <w:rsid w:val="1ACF4868"/>
    <w:rsid w:val="1AF968B2"/>
    <w:rsid w:val="1B025BA0"/>
    <w:rsid w:val="1B481CCF"/>
    <w:rsid w:val="1B4A2C53"/>
    <w:rsid w:val="1B6B4E81"/>
    <w:rsid w:val="1C63748E"/>
    <w:rsid w:val="1CF30612"/>
    <w:rsid w:val="1D1475EB"/>
    <w:rsid w:val="1D4045A2"/>
    <w:rsid w:val="1D520B55"/>
    <w:rsid w:val="1D5F0807"/>
    <w:rsid w:val="1E07643F"/>
    <w:rsid w:val="1E084BE8"/>
    <w:rsid w:val="1FB44D91"/>
    <w:rsid w:val="20600621"/>
    <w:rsid w:val="21590CC5"/>
    <w:rsid w:val="21A62FC3"/>
    <w:rsid w:val="22225213"/>
    <w:rsid w:val="2299039F"/>
    <w:rsid w:val="22DB780B"/>
    <w:rsid w:val="2373681F"/>
    <w:rsid w:val="240D14CD"/>
    <w:rsid w:val="241D7307"/>
    <w:rsid w:val="244911F0"/>
    <w:rsid w:val="24B97E49"/>
    <w:rsid w:val="24E060A7"/>
    <w:rsid w:val="24EB2986"/>
    <w:rsid w:val="2502491F"/>
    <w:rsid w:val="2605089D"/>
    <w:rsid w:val="269760D9"/>
    <w:rsid w:val="280146E7"/>
    <w:rsid w:val="281B425C"/>
    <w:rsid w:val="28484E66"/>
    <w:rsid w:val="28596F80"/>
    <w:rsid w:val="28636E6F"/>
    <w:rsid w:val="287A453F"/>
    <w:rsid w:val="28E330A5"/>
    <w:rsid w:val="293F6E04"/>
    <w:rsid w:val="29933F42"/>
    <w:rsid w:val="299A49BB"/>
    <w:rsid w:val="29C60CD0"/>
    <w:rsid w:val="29E662F0"/>
    <w:rsid w:val="2A2655B6"/>
    <w:rsid w:val="2A273037"/>
    <w:rsid w:val="2A3A0BBC"/>
    <w:rsid w:val="2AAE4298"/>
    <w:rsid w:val="2AAE6793"/>
    <w:rsid w:val="2AE15E00"/>
    <w:rsid w:val="2BA37EAE"/>
    <w:rsid w:val="2BFC36AD"/>
    <w:rsid w:val="2C7622EF"/>
    <w:rsid w:val="2C785C0A"/>
    <w:rsid w:val="2CA41DD3"/>
    <w:rsid w:val="2CBF2AC0"/>
    <w:rsid w:val="2D342CBA"/>
    <w:rsid w:val="2D377698"/>
    <w:rsid w:val="2D4F160E"/>
    <w:rsid w:val="2D715C07"/>
    <w:rsid w:val="2D7F711A"/>
    <w:rsid w:val="2DC819DE"/>
    <w:rsid w:val="2DC9628E"/>
    <w:rsid w:val="2DF2511C"/>
    <w:rsid w:val="2EAE30CD"/>
    <w:rsid w:val="2EE229FE"/>
    <w:rsid w:val="2F332780"/>
    <w:rsid w:val="2F5E4F5B"/>
    <w:rsid w:val="2FAB6ACA"/>
    <w:rsid w:val="303F5CE4"/>
    <w:rsid w:val="30A03168"/>
    <w:rsid w:val="30A82D39"/>
    <w:rsid w:val="30D41EAC"/>
    <w:rsid w:val="30DD1A74"/>
    <w:rsid w:val="317A7265"/>
    <w:rsid w:val="32191F4C"/>
    <w:rsid w:val="328549B8"/>
    <w:rsid w:val="32886F74"/>
    <w:rsid w:val="32C9219B"/>
    <w:rsid w:val="32D21971"/>
    <w:rsid w:val="330D71CD"/>
    <w:rsid w:val="335B4D4D"/>
    <w:rsid w:val="33AA4DE5"/>
    <w:rsid w:val="33F73CD2"/>
    <w:rsid w:val="3422263A"/>
    <w:rsid w:val="34230A32"/>
    <w:rsid w:val="342A79A4"/>
    <w:rsid w:val="34A320B1"/>
    <w:rsid w:val="353A1C07"/>
    <w:rsid w:val="360E4FE9"/>
    <w:rsid w:val="36404E3F"/>
    <w:rsid w:val="36720B63"/>
    <w:rsid w:val="36E42E43"/>
    <w:rsid w:val="37154C7C"/>
    <w:rsid w:val="371B3715"/>
    <w:rsid w:val="37DE5837"/>
    <w:rsid w:val="37F479DA"/>
    <w:rsid w:val="3893636F"/>
    <w:rsid w:val="38AE1BB0"/>
    <w:rsid w:val="38BB482A"/>
    <w:rsid w:val="38D72034"/>
    <w:rsid w:val="39092226"/>
    <w:rsid w:val="39894C58"/>
    <w:rsid w:val="39DB48E0"/>
    <w:rsid w:val="3A896188"/>
    <w:rsid w:val="3AEE2BBB"/>
    <w:rsid w:val="3AFC3F0B"/>
    <w:rsid w:val="3B0349E7"/>
    <w:rsid w:val="3B3B7D28"/>
    <w:rsid w:val="3B5F79F7"/>
    <w:rsid w:val="3B93114B"/>
    <w:rsid w:val="3C61764F"/>
    <w:rsid w:val="3CA05E05"/>
    <w:rsid w:val="3D3739B8"/>
    <w:rsid w:val="3D9872C3"/>
    <w:rsid w:val="3DA15314"/>
    <w:rsid w:val="3E056BB9"/>
    <w:rsid w:val="3E274987"/>
    <w:rsid w:val="3EFC7306"/>
    <w:rsid w:val="3F143969"/>
    <w:rsid w:val="3F21283D"/>
    <w:rsid w:val="3FAF4CB9"/>
    <w:rsid w:val="403A4131"/>
    <w:rsid w:val="40ED6E7C"/>
    <w:rsid w:val="41845450"/>
    <w:rsid w:val="41F063DC"/>
    <w:rsid w:val="42882131"/>
    <w:rsid w:val="42B54F9E"/>
    <w:rsid w:val="42E84F3B"/>
    <w:rsid w:val="43403596"/>
    <w:rsid w:val="4343436A"/>
    <w:rsid w:val="43775ABD"/>
    <w:rsid w:val="440A3070"/>
    <w:rsid w:val="444B19FD"/>
    <w:rsid w:val="44EB56FC"/>
    <w:rsid w:val="45543701"/>
    <w:rsid w:val="46294B95"/>
    <w:rsid w:val="46895076"/>
    <w:rsid w:val="473F4357"/>
    <w:rsid w:val="47576D71"/>
    <w:rsid w:val="47782AF6"/>
    <w:rsid w:val="47847862"/>
    <w:rsid w:val="47985129"/>
    <w:rsid w:val="488346DD"/>
    <w:rsid w:val="48BD27FA"/>
    <w:rsid w:val="491D348C"/>
    <w:rsid w:val="492130F0"/>
    <w:rsid w:val="4A011096"/>
    <w:rsid w:val="4AE02880"/>
    <w:rsid w:val="4B012973"/>
    <w:rsid w:val="4B580182"/>
    <w:rsid w:val="4B5D7340"/>
    <w:rsid w:val="4B993CC8"/>
    <w:rsid w:val="4B9E6AC5"/>
    <w:rsid w:val="4BBB1116"/>
    <w:rsid w:val="4BE913AC"/>
    <w:rsid w:val="4BEA681C"/>
    <w:rsid w:val="4BEF27C6"/>
    <w:rsid w:val="4C4920B9"/>
    <w:rsid w:val="4CB9236D"/>
    <w:rsid w:val="4CEC55CE"/>
    <w:rsid w:val="4D851A20"/>
    <w:rsid w:val="4DBC4A28"/>
    <w:rsid w:val="4E753947"/>
    <w:rsid w:val="4ED34835"/>
    <w:rsid w:val="4EDF6C6B"/>
    <w:rsid w:val="4F254094"/>
    <w:rsid w:val="4F374CC4"/>
    <w:rsid w:val="4FCF6733"/>
    <w:rsid w:val="4FF52BF4"/>
    <w:rsid w:val="502150B0"/>
    <w:rsid w:val="502E46B1"/>
    <w:rsid w:val="50BA02FE"/>
    <w:rsid w:val="50BF7195"/>
    <w:rsid w:val="51525370"/>
    <w:rsid w:val="515677F6"/>
    <w:rsid w:val="51BD5605"/>
    <w:rsid w:val="51D718FA"/>
    <w:rsid w:val="521F4B14"/>
    <w:rsid w:val="52745592"/>
    <w:rsid w:val="52933407"/>
    <w:rsid w:val="53D70C1A"/>
    <w:rsid w:val="53E61FA4"/>
    <w:rsid w:val="53FF079E"/>
    <w:rsid w:val="540B4200"/>
    <w:rsid w:val="54100840"/>
    <w:rsid w:val="551510AF"/>
    <w:rsid w:val="55167C62"/>
    <w:rsid w:val="55672106"/>
    <w:rsid w:val="5586691D"/>
    <w:rsid w:val="55A8256D"/>
    <w:rsid w:val="55C238BF"/>
    <w:rsid w:val="55E211BC"/>
    <w:rsid w:val="55E51B76"/>
    <w:rsid w:val="560D0119"/>
    <w:rsid w:val="56193C4E"/>
    <w:rsid w:val="567129F2"/>
    <w:rsid w:val="56764886"/>
    <w:rsid w:val="56ED74A9"/>
    <w:rsid w:val="57206944"/>
    <w:rsid w:val="58090EFA"/>
    <w:rsid w:val="58407AB0"/>
    <w:rsid w:val="584A2FE9"/>
    <w:rsid w:val="587924B3"/>
    <w:rsid w:val="58D43382"/>
    <w:rsid w:val="58F011F8"/>
    <w:rsid w:val="58F802E6"/>
    <w:rsid w:val="59366BF8"/>
    <w:rsid w:val="59506E95"/>
    <w:rsid w:val="59CF144B"/>
    <w:rsid w:val="59F70CFE"/>
    <w:rsid w:val="5A55504B"/>
    <w:rsid w:val="5A70166E"/>
    <w:rsid w:val="5B310CDD"/>
    <w:rsid w:val="5CA4290E"/>
    <w:rsid w:val="5CD90E90"/>
    <w:rsid w:val="5D1715C8"/>
    <w:rsid w:val="5D2B4F05"/>
    <w:rsid w:val="5D7B386B"/>
    <w:rsid w:val="5D7D5225"/>
    <w:rsid w:val="5E0F30AD"/>
    <w:rsid w:val="5E79378D"/>
    <w:rsid w:val="5EA236D3"/>
    <w:rsid w:val="5EB36DEA"/>
    <w:rsid w:val="5EC02868"/>
    <w:rsid w:val="5FCF62BD"/>
    <w:rsid w:val="602C7C64"/>
    <w:rsid w:val="607C4170"/>
    <w:rsid w:val="60D822FE"/>
    <w:rsid w:val="61130ED3"/>
    <w:rsid w:val="612648DA"/>
    <w:rsid w:val="613D24A4"/>
    <w:rsid w:val="61957F56"/>
    <w:rsid w:val="61BF66C0"/>
    <w:rsid w:val="624A5EA4"/>
    <w:rsid w:val="63933B88"/>
    <w:rsid w:val="63DC5AE3"/>
    <w:rsid w:val="641C0F55"/>
    <w:rsid w:val="642052D3"/>
    <w:rsid w:val="6430100D"/>
    <w:rsid w:val="64657FC6"/>
    <w:rsid w:val="64DA042A"/>
    <w:rsid w:val="651A2F6C"/>
    <w:rsid w:val="652E7769"/>
    <w:rsid w:val="65BD5FF9"/>
    <w:rsid w:val="667145FD"/>
    <w:rsid w:val="66AF4687"/>
    <w:rsid w:val="66E42936"/>
    <w:rsid w:val="670B79A6"/>
    <w:rsid w:val="678A3FEA"/>
    <w:rsid w:val="67D27C62"/>
    <w:rsid w:val="687D4B12"/>
    <w:rsid w:val="68C11050"/>
    <w:rsid w:val="68D648A2"/>
    <w:rsid w:val="696049C4"/>
    <w:rsid w:val="6960616F"/>
    <w:rsid w:val="69AC5408"/>
    <w:rsid w:val="69B2569A"/>
    <w:rsid w:val="69EF1F39"/>
    <w:rsid w:val="6A2A0B23"/>
    <w:rsid w:val="6A67569D"/>
    <w:rsid w:val="6A980F46"/>
    <w:rsid w:val="6AB879E2"/>
    <w:rsid w:val="6B7D7195"/>
    <w:rsid w:val="6B8F6404"/>
    <w:rsid w:val="6BC96697"/>
    <w:rsid w:val="6C675EEA"/>
    <w:rsid w:val="6CF67383"/>
    <w:rsid w:val="6D2941B9"/>
    <w:rsid w:val="6D4D5460"/>
    <w:rsid w:val="6DE568D8"/>
    <w:rsid w:val="6DFD2FDE"/>
    <w:rsid w:val="6E1C328E"/>
    <w:rsid w:val="6E6955CB"/>
    <w:rsid w:val="6E9409CF"/>
    <w:rsid w:val="6F030322"/>
    <w:rsid w:val="6F24072D"/>
    <w:rsid w:val="6F3166F5"/>
    <w:rsid w:val="6F391EBB"/>
    <w:rsid w:val="6F6822D7"/>
    <w:rsid w:val="6FA220B1"/>
    <w:rsid w:val="700C1760"/>
    <w:rsid w:val="70244C09"/>
    <w:rsid w:val="702618AC"/>
    <w:rsid w:val="70372B56"/>
    <w:rsid w:val="706A0CF3"/>
    <w:rsid w:val="71014D1D"/>
    <w:rsid w:val="714275DF"/>
    <w:rsid w:val="71F335F0"/>
    <w:rsid w:val="71F8328C"/>
    <w:rsid w:val="73661CAA"/>
    <w:rsid w:val="73AC6B66"/>
    <w:rsid w:val="74596753"/>
    <w:rsid w:val="74945B44"/>
    <w:rsid w:val="7510601B"/>
    <w:rsid w:val="75846AEF"/>
    <w:rsid w:val="75935CB7"/>
    <w:rsid w:val="75C03C40"/>
    <w:rsid w:val="76985EA2"/>
    <w:rsid w:val="76B60492"/>
    <w:rsid w:val="76CE7275"/>
    <w:rsid w:val="77191529"/>
    <w:rsid w:val="780F284E"/>
    <w:rsid w:val="78D62F65"/>
    <w:rsid w:val="78D86DBC"/>
    <w:rsid w:val="791B013F"/>
    <w:rsid w:val="791F7711"/>
    <w:rsid w:val="796075AF"/>
    <w:rsid w:val="79E041E8"/>
    <w:rsid w:val="7A2C1281"/>
    <w:rsid w:val="7A5B654D"/>
    <w:rsid w:val="7ADB489D"/>
    <w:rsid w:val="7BE57B0E"/>
    <w:rsid w:val="7C765FBE"/>
    <w:rsid w:val="7CE271F0"/>
    <w:rsid w:val="7CF938EA"/>
    <w:rsid w:val="7CFD2CE9"/>
    <w:rsid w:val="7D3753C2"/>
    <w:rsid w:val="7D6C7155"/>
    <w:rsid w:val="7DA03BD7"/>
    <w:rsid w:val="7DB12845"/>
    <w:rsid w:val="7DBA6ED4"/>
    <w:rsid w:val="7E0D38E6"/>
    <w:rsid w:val="7E164309"/>
    <w:rsid w:val="7EB114EF"/>
    <w:rsid w:val="7EFE6E10"/>
    <w:rsid w:val="7F4C4F6B"/>
    <w:rsid w:val="7F8A5E4A"/>
    <w:rsid w:val="7FDB704E"/>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15">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6"/>
    <w:uiPriority w:val="0"/>
    <w:rPr>
      <w:b/>
      <w:bCs/>
    </w:rPr>
  </w:style>
  <w:style w:type="paragraph" w:styleId="4">
    <w:name w:val="annotation text"/>
    <w:basedOn w:val="1"/>
    <w:link w:val="25"/>
    <w:uiPriority w:val="0"/>
    <w:pPr>
      <w:jc w:val="left"/>
    </w:pPr>
  </w:style>
  <w:style w:type="paragraph" w:styleId="5">
    <w:name w:val="Body Text Indent"/>
    <w:basedOn w:val="1"/>
    <w:qFormat/>
    <w:uiPriority w:val="0"/>
    <w:pPr>
      <w:spacing w:line="440" w:lineRule="exact"/>
      <w:ind w:firstLine="720" w:firstLineChars="300"/>
    </w:pPr>
    <w:rPr>
      <w:sz w:val="24"/>
    </w:rPr>
  </w:style>
  <w:style w:type="paragraph" w:styleId="6">
    <w:name w:val="Plain Text"/>
    <w:basedOn w:val="1"/>
    <w:link w:val="28"/>
    <w:qFormat/>
    <w:uiPriority w:val="0"/>
    <w:pPr>
      <w:ind w:firstLine="0" w:firstLineChars="0"/>
    </w:pPr>
    <w:rPr>
      <w:rFonts w:ascii="宋体" w:hAnsi="Courier New"/>
    </w:rPr>
  </w:style>
  <w:style w:type="paragraph" w:styleId="7">
    <w:name w:val="Date"/>
    <w:basedOn w:val="1"/>
    <w:next w:val="1"/>
    <w:link w:val="27"/>
    <w:qFormat/>
    <w:uiPriority w:val="0"/>
    <w:pPr>
      <w:ind w:left="100" w:leftChars="2500"/>
    </w:p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iPriority w:val="39"/>
  </w:style>
  <w:style w:type="paragraph" w:styleId="13">
    <w:name w:val="HTML Preformatted"/>
    <w:basedOn w:val="1"/>
    <w:link w:val="23"/>
    <w:qFormat/>
    <w:uiPriority w:val="0"/>
    <w:rPr>
      <w:rFonts w:ascii="Courier New" w:hAnsi="Courier New"/>
      <w:sz w:val="20"/>
      <w:szCs w:val="20"/>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character" w:styleId="16">
    <w:name w:val="page number"/>
    <w:basedOn w:val="15"/>
    <w:qFormat/>
    <w:uiPriority w:val="0"/>
  </w:style>
  <w:style w:type="character" w:styleId="17">
    <w:name w:val="FollowedHyperlink"/>
    <w:qFormat/>
    <w:uiPriority w:val="0"/>
    <w:rPr>
      <w:color w:val="800080"/>
      <w:u w:val="single"/>
    </w:rPr>
  </w:style>
  <w:style w:type="character" w:styleId="18">
    <w:name w:val="Emphasis"/>
    <w:qFormat/>
    <w:uiPriority w:val="0"/>
    <w:rPr>
      <w:i/>
    </w:rPr>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TML 预设格式 Char"/>
    <w:link w:val="13"/>
    <w:qFormat/>
    <w:uiPriority w:val="0"/>
    <w:rPr>
      <w:rFonts w:ascii="Courier New" w:hAnsi="Courier New" w:cs="Courier New"/>
      <w:kern w:val="2"/>
    </w:rPr>
  </w:style>
  <w:style w:type="character" w:customStyle="1" w:styleId="24">
    <w:name w:val="标题 1 Char"/>
    <w:link w:val="2"/>
    <w:qFormat/>
    <w:uiPriority w:val="0"/>
    <w:rPr>
      <w:rFonts w:ascii="Calibri" w:hAnsi="Calibri"/>
      <w:b/>
      <w:bCs/>
      <w:kern w:val="44"/>
      <w:sz w:val="44"/>
      <w:szCs w:val="44"/>
    </w:rPr>
  </w:style>
  <w:style w:type="character" w:customStyle="1" w:styleId="25">
    <w:name w:val="批注文字 Char"/>
    <w:link w:val="4"/>
    <w:qFormat/>
    <w:uiPriority w:val="0"/>
    <w:rPr>
      <w:kern w:val="2"/>
      <w:sz w:val="21"/>
      <w:szCs w:val="24"/>
    </w:rPr>
  </w:style>
  <w:style w:type="character" w:customStyle="1" w:styleId="26">
    <w:name w:val="批注主题 Char"/>
    <w:link w:val="3"/>
    <w:qFormat/>
    <w:uiPriority w:val="0"/>
    <w:rPr>
      <w:b/>
      <w:bCs/>
      <w:kern w:val="2"/>
      <w:sz w:val="21"/>
      <w:szCs w:val="24"/>
    </w:rPr>
  </w:style>
  <w:style w:type="character" w:customStyle="1" w:styleId="27">
    <w:name w:val="日期 Char"/>
    <w:link w:val="7"/>
    <w:qFormat/>
    <w:uiPriority w:val="0"/>
    <w:rPr>
      <w:kern w:val="2"/>
      <w:sz w:val="21"/>
      <w:szCs w:val="24"/>
    </w:rPr>
  </w:style>
  <w:style w:type="character" w:customStyle="1" w:styleId="28">
    <w:name w:val="纯文本 Char"/>
    <w:link w:val="6"/>
    <w:qFormat/>
    <w:uiPriority w:val="0"/>
    <w:rPr>
      <w:rFonts w:ascii="宋体" w:hAnsi="Courier New"/>
      <w:kern w:val="2"/>
      <w:sz w:val="21"/>
      <w:szCs w:val="24"/>
    </w:rPr>
  </w:style>
  <w:style w:type="paragraph" w:customStyle="1" w:styleId="29">
    <w:name w:val="列出段落1"/>
    <w:basedOn w:val="1"/>
    <w:qFormat/>
    <w:uiPriority w:val="99"/>
    <w:pPr>
      <w:ind w:firstLine="420"/>
    </w:pPr>
    <w:rPr>
      <w:rFonts w:ascii="等线" w:hAnsi="等线" w:eastAsia="等线"/>
      <w:szCs w:val="22"/>
    </w:rPr>
  </w:style>
  <w:style w:type="paragraph" w:customStyle="1" w:styleId="30">
    <w:name w:val="Char Char"/>
    <w:basedOn w:val="1"/>
    <w:qFormat/>
    <w:uiPriority w:val="0"/>
  </w:style>
  <w:style w:type="paragraph" w:customStyle="1" w:styleId="31">
    <w:name w:val="正文表格"/>
    <w:basedOn w:val="1"/>
    <w:qFormat/>
    <w:uiPriority w:val="0"/>
    <w:pPr>
      <w:spacing w:before="60" w:after="60"/>
    </w:pPr>
    <w:rPr>
      <w:sz w:val="24"/>
    </w:rPr>
  </w:style>
  <w:style w:type="paragraph" w:customStyle="1" w:styleId="32">
    <w:name w:val="1"/>
    <w:basedOn w:val="1"/>
    <w:next w:val="8"/>
    <w:qFormat/>
    <w:uiPriority w:val="0"/>
    <w:pPr>
      <w:spacing w:before="60" w:after="60"/>
      <w:ind w:firstLine="425"/>
    </w:pPr>
    <w:rPr>
      <w:sz w:val="24"/>
    </w:rPr>
  </w:style>
  <w:style w:type="paragraph" w:customStyle="1" w:styleId="33">
    <w:name w:val="p0"/>
    <w:basedOn w:val="1"/>
    <w:qFormat/>
    <w:uiPriority w:val="0"/>
    <w:pPr>
      <w:widowControl/>
    </w:pPr>
    <w:rPr>
      <w:kern w:val="0"/>
      <w:szCs w:val="21"/>
    </w:rPr>
  </w:style>
  <w:style w:type="paragraph" w:styleId="34">
    <w:name w:val="List Paragraph"/>
    <w:basedOn w:val="1"/>
    <w:qFormat/>
    <w:uiPriority w:val="99"/>
    <w:pPr>
      <w:ind w:firstLine="420"/>
    </w:pPr>
  </w:style>
  <w:style w:type="paragraph" w:customStyle="1" w:styleId="3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E2AED-92BA-4949-807D-549CD6AB3B8B}">
  <ds:schemaRefs/>
</ds:datastoreItem>
</file>

<file path=docProps/app.xml><?xml version="1.0" encoding="utf-8"?>
<Properties xmlns="http://schemas.openxmlformats.org/officeDocument/2006/extended-properties" xmlns:vt="http://schemas.openxmlformats.org/officeDocument/2006/docPropsVTypes">
  <Template>Normal</Template>
  <Pages>29</Pages>
  <Words>2126</Words>
  <Characters>12119</Characters>
  <Lines>100</Lines>
  <Paragraphs>28</Paragraphs>
  <TotalTime>18</TotalTime>
  <ScaleCrop>false</ScaleCrop>
  <LinksUpToDate>false</LinksUpToDate>
  <CharactersWithSpaces>14217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2018-10-31T10:08:00Z</dcterms:created>
  <dc:creator>Administrator</dc:creator>
  <cp:lastModifiedBy>多年以后</cp:lastModifiedBy>
  <cp:lastPrinted>2018-10-31T07:13:00Z</cp:lastPrinted>
  <dcterms:modified xsi:type="dcterms:W3CDTF">2018-11-28T02:12:21Z</dcterms:modified>
  <dc:title>浙江丰安生物制药有限公司14.9723%国有法人股权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